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gif" ContentType="image/gi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BC5A16">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bookmarkStart w:id="0" w:name="_Toc24942"/>
      <w:bookmarkStart w:id="1" w:name="_Toc26333"/>
    </w:p>
    <w:p w14:paraId="4523E515">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p>
    <w:p w14:paraId="6D22025B">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bookmarkStart w:id="410" w:name="_GoBack"/>
      <w:bookmarkEnd w:id="410"/>
    </w:p>
    <w:p w14:paraId="14FA2B8A">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p>
    <w:p w14:paraId="1EC958E0">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p>
    <w:p w14:paraId="34E292E8">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p>
    <w:p w14:paraId="7106B041">
      <w:pPr>
        <w:keepNext w:val="0"/>
        <w:keepLines w:val="0"/>
        <w:pageBreakBefore w:val="0"/>
        <w:kinsoku/>
        <w:overflowPunct/>
        <w:topLinePunct w:val="0"/>
        <w:bidi w:val="0"/>
        <w:adjustRightInd w:val="0"/>
        <w:snapToGrid w:val="0"/>
        <w:spacing w:afterAutospacing="0" w:line="360" w:lineRule="auto"/>
        <w:ind w:firstLine="425"/>
        <w:jc w:val="center"/>
        <w:rPr>
          <w:b/>
          <w:color w:val="000000"/>
          <w:spacing w:val="80"/>
          <w:sz w:val="36"/>
          <w:szCs w:val="36"/>
        </w:rPr>
      </w:pPr>
    </w:p>
    <w:p w14:paraId="36A467E0">
      <w:pPr>
        <w:keepNext w:val="0"/>
        <w:keepLines w:val="0"/>
        <w:pageBreakBefore w:val="0"/>
        <w:kinsoku/>
        <w:overflowPunct/>
        <w:topLinePunct w:val="0"/>
        <w:bidi w:val="0"/>
        <w:adjustRightInd w:val="0"/>
        <w:snapToGrid w:val="0"/>
        <w:spacing w:afterAutospacing="0" w:line="360" w:lineRule="auto"/>
        <w:ind w:firstLine="964" w:firstLineChars="200"/>
        <w:jc w:val="center"/>
        <w:rPr>
          <w:rFonts w:ascii="宋体" w:hAnsi="宋体" w:cs="宋体"/>
          <w:b/>
          <w:bCs/>
          <w:color w:val="000000"/>
          <w:sz w:val="48"/>
          <w:szCs w:val="48"/>
        </w:rPr>
      </w:pPr>
      <w:r>
        <w:rPr>
          <w:rFonts w:hint="eastAsia" w:ascii="宋体" w:hAnsi="宋体" w:cs="宋体"/>
          <w:b/>
          <w:bCs/>
          <w:sz w:val="48"/>
          <w:szCs w:val="48"/>
        </w:rPr>
        <w:t>南宁智诚汽车零部件制造有限责任公司</w:t>
      </w:r>
    </w:p>
    <w:p w14:paraId="2C614EB8">
      <w:pPr>
        <w:keepNext w:val="0"/>
        <w:keepLines w:val="0"/>
        <w:pageBreakBefore w:val="0"/>
        <w:kinsoku/>
        <w:overflowPunct/>
        <w:topLinePunct w:val="0"/>
        <w:bidi w:val="0"/>
        <w:adjustRightInd w:val="0"/>
        <w:snapToGrid w:val="0"/>
        <w:spacing w:afterAutospacing="0" w:line="360" w:lineRule="auto"/>
        <w:rPr>
          <w:b/>
          <w:color w:val="000000"/>
          <w:sz w:val="44"/>
          <w:szCs w:val="44"/>
        </w:rPr>
      </w:pPr>
    </w:p>
    <w:p w14:paraId="6AC9C296">
      <w:pPr>
        <w:pStyle w:val="519"/>
        <w:keepNext w:val="0"/>
        <w:keepLines w:val="0"/>
        <w:pageBreakBefore w:val="0"/>
        <w:kinsoku/>
        <w:overflowPunct/>
        <w:topLinePunct w:val="0"/>
        <w:bidi w:val="0"/>
        <w:adjustRightInd w:val="0"/>
        <w:snapToGrid w:val="0"/>
        <w:spacing w:before="0" w:after="0" w:afterAutospacing="0" w:line="360" w:lineRule="auto"/>
        <w:rPr>
          <w:rFonts w:hint="eastAsia"/>
          <w:b w:val="0"/>
          <w:bCs w:val="0"/>
          <w:u w:val="single"/>
          <w:lang w:eastAsia="zh-CN"/>
        </w:rPr>
      </w:pPr>
      <w:r>
        <w:rPr>
          <w:rFonts w:hint="eastAsia"/>
          <w:b w:val="0"/>
          <w:bCs w:val="0"/>
          <w:u w:val="single"/>
          <w:lang w:eastAsia="zh-CN"/>
        </w:rPr>
        <w:t>涂装、总装车间生产线设备技术改造项目</w:t>
      </w:r>
    </w:p>
    <w:p w14:paraId="45008179">
      <w:pPr>
        <w:pStyle w:val="519"/>
        <w:keepNext w:val="0"/>
        <w:keepLines w:val="0"/>
        <w:pageBreakBefore w:val="0"/>
        <w:kinsoku/>
        <w:overflowPunct/>
        <w:topLinePunct w:val="0"/>
        <w:bidi w:val="0"/>
        <w:adjustRightInd w:val="0"/>
        <w:snapToGrid w:val="0"/>
        <w:spacing w:before="0" w:after="0" w:afterAutospacing="0" w:line="360" w:lineRule="auto"/>
        <w:rPr>
          <w:b w:val="0"/>
          <w:bCs w:val="0"/>
        </w:rPr>
      </w:pPr>
      <w:r>
        <w:rPr>
          <w:b w:val="0"/>
          <w:bCs w:val="0"/>
        </w:rPr>
        <w:t>技术任务书</w:t>
      </w:r>
      <w:r>
        <w:rPr>
          <w:b w:val="0"/>
          <w:bCs w:val="0"/>
        </w:rPr>
        <w:tab/>
      </w:r>
    </w:p>
    <w:p w14:paraId="70159B03">
      <w:pPr>
        <w:keepNext w:val="0"/>
        <w:keepLines w:val="0"/>
        <w:pageBreakBefore w:val="0"/>
        <w:kinsoku/>
        <w:overflowPunct/>
        <w:topLinePunct w:val="0"/>
        <w:bidi w:val="0"/>
        <w:adjustRightInd w:val="0"/>
        <w:snapToGrid w:val="0"/>
        <w:spacing w:afterAutospacing="0" w:line="360" w:lineRule="auto"/>
        <w:ind w:firstLine="425"/>
        <w:jc w:val="center"/>
        <w:rPr>
          <w:b/>
          <w:color w:val="000000"/>
          <w:sz w:val="48"/>
          <w:szCs w:val="48"/>
        </w:rPr>
      </w:pPr>
    </w:p>
    <w:p w14:paraId="2BC57603">
      <w:pPr>
        <w:keepNext w:val="0"/>
        <w:keepLines w:val="0"/>
        <w:pageBreakBefore w:val="0"/>
        <w:kinsoku/>
        <w:overflowPunct/>
        <w:topLinePunct w:val="0"/>
        <w:bidi w:val="0"/>
        <w:adjustRightInd w:val="0"/>
        <w:snapToGrid w:val="0"/>
        <w:spacing w:afterAutospacing="0" w:line="360" w:lineRule="auto"/>
        <w:jc w:val="center"/>
        <w:rPr>
          <w:b/>
          <w:bCs/>
          <w:color w:val="000000"/>
          <w:sz w:val="44"/>
        </w:rPr>
      </w:pPr>
    </w:p>
    <w:p w14:paraId="2B4464A0">
      <w:pPr>
        <w:keepNext w:val="0"/>
        <w:keepLines w:val="0"/>
        <w:pageBreakBefore w:val="0"/>
        <w:kinsoku/>
        <w:overflowPunct/>
        <w:topLinePunct w:val="0"/>
        <w:bidi w:val="0"/>
        <w:adjustRightInd w:val="0"/>
        <w:snapToGrid w:val="0"/>
        <w:spacing w:afterAutospacing="0" w:line="360" w:lineRule="auto"/>
        <w:jc w:val="center"/>
        <w:rPr>
          <w:b/>
          <w:bCs/>
          <w:color w:val="000000"/>
          <w:sz w:val="44"/>
        </w:rPr>
      </w:pPr>
    </w:p>
    <w:p w14:paraId="09DF2FD5">
      <w:pPr>
        <w:keepNext w:val="0"/>
        <w:keepLines w:val="0"/>
        <w:pageBreakBefore w:val="0"/>
        <w:kinsoku/>
        <w:overflowPunct/>
        <w:topLinePunct w:val="0"/>
        <w:bidi w:val="0"/>
        <w:adjustRightInd w:val="0"/>
        <w:snapToGrid w:val="0"/>
        <w:spacing w:afterAutospacing="0" w:line="360" w:lineRule="auto"/>
        <w:jc w:val="center"/>
        <w:rPr>
          <w:b/>
          <w:bCs/>
          <w:color w:val="000000"/>
          <w:sz w:val="44"/>
        </w:rPr>
      </w:pPr>
    </w:p>
    <w:p w14:paraId="5DF03825">
      <w:pPr>
        <w:keepNext w:val="0"/>
        <w:keepLines w:val="0"/>
        <w:pageBreakBefore w:val="0"/>
        <w:kinsoku/>
        <w:overflowPunct/>
        <w:topLinePunct w:val="0"/>
        <w:bidi w:val="0"/>
        <w:adjustRightInd w:val="0"/>
        <w:snapToGrid w:val="0"/>
        <w:spacing w:afterAutospacing="0" w:line="360" w:lineRule="auto"/>
        <w:jc w:val="center"/>
        <w:rPr>
          <w:b/>
          <w:bCs/>
          <w:color w:val="000000"/>
          <w:sz w:val="44"/>
        </w:rPr>
      </w:pPr>
    </w:p>
    <w:p w14:paraId="14125BE0">
      <w:pPr>
        <w:pStyle w:val="402"/>
        <w:pageBreakBefore w:val="0"/>
        <w:kinsoku/>
        <w:wordWrap/>
        <w:topLinePunct w:val="0"/>
        <w:bidi w:val="0"/>
        <w:adjustRightInd w:val="0"/>
        <w:snapToGrid w:val="0"/>
        <w:spacing w:before="0" w:after="0" w:afterAutospacing="0" w:line="360" w:lineRule="auto"/>
        <w:ind w:left="0" w:leftChars="0" w:firstLine="0" w:firstLineChars="0"/>
        <w:jc w:val="both"/>
        <w:rPr>
          <w:rFonts w:hint="eastAsia" w:ascii="宋体" w:hAnsi="宋体" w:eastAsia="宋体" w:cs="宋体"/>
          <w:sz w:val="44"/>
          <w:szCs w:val="52"/>
        </w:rPr>
        <w:sectPr>
          <w:headerReference r:id="rId3" w:type="default"/>
          <w:pgSz w:w="11906" w:h="16838"/>
          <w:pgMar w:top="1440" w:right="1134" w:bottom="1440" w:left="1334" w:header="851" w:footer="992" w:gutter="0"/>
          <w:cols w:space="425" w:num="1"/>
          <w:docGrid w:type="lines" w:linePitch="312" w:charSpace="0"/>
        </w:sectPr>
      </w:pPr>
    </w:p>
    <w:bookmarkEnd w:id="0"/>
    <w:bookmarkEnd w:id="1"/>
    <w:p w14:paraId="0CD316BE">
      <w:pPr>
        <w:pStyle w:val="402"/>
        <w:pageBreakBefore w:val="0"/>
        <w:kinsoku/>
        <w:wordWrap/>
        <w:topLinePunct w:val="0"/>
        <w:bidi w:val="0"/>
        <w:adjustRightInd w:val="0"/>
        <w:snapToGrid w:val="0"/>
        <w:spacing w:before="0" w:after="0" w:afterAutospacing="0" w:line="360" w:lineRule="auto"/>
        <w:ind w:left="0" w:leftChars="0" w:firstLine="0" w:firstLineChars="0"/>
        <w:jc w:val="both"/>
      </w:pPr>
    </w:p>
    <w:p w14:paraId="39AC39E9">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rPr>
          <w:rFonts w:hint="eastAsia" w:ascii="宋体" w:hAnsi="宋体" w:eastAsia="宋体" w:cs="宋体"/>
          <w:b/>
          <w:bCs w:val="0"/>
        </w:rPr>
        <w:fldChar w:fldCharType="begin"/>
      </w:r>
      <w:r>
        <w:rPr>
          <w:rFonts w:hint="eastAsia" w:ascii="宋体" w:hAnsi="宋体" w:eastAsia="宋体" w:cs="宋体"/>
          <w:b/>
          <w:bCs w:val="0"/>
        </w:rPr>
        <w:instrText xml:space="preserve"> HYPERLINK \l "_Toc30842" </w:instrText>
      </w:r>
      <w:r>
        <w:rPr>
          <w:rFonts w:hint="eastAsia" w:ascii="宋体" w:hAnsi="宋体" w:eastAsia="宋体" w:cs="宋体"/>
          <w:b/>
          <w:bCs w:val="0"/>
        </w:rPr>
        <w:fldChar w:fldCharType="separate"/>
      </w:r>
      <w:r>
        <w:rPr>
          <w:rFonts w:hint="eastAsia" w:ascii="宋体" w:hAnsi="宋体" w:eastAsia="宋体" w:cs="宋体"/>
          <w:b/>
          <w:bCs w:val="0"/>
          <w:sz w:val="30"/>
          <w:szCs w:val="30"/>
        </w:rPr>
        <w:t>一、标的内容</w:t>
      </w:r>
    </w:p>
    <w:p w14:paraId="2CC43344">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b/>
          <w:bCs w:val="0"/>
          <w:sz w:val="30"/>
          <w:szCs w:val="30"/>
        </w:rPr>
        <w:fldChar w:fldCharType="end"/>
      </w:r>
      <w:r>
        <w:rPr>
          <w:rFonts w:hint="eastAsia" w:ascii="宋体" w:hAnsi="宋体" w:eastAsia="宋体" w:cs="宋体"/>
          <w:b/>
          <w:bCs w:val="0"/>
        </w:rPr>
        <w:fldChar w:fldCharType="begin"/>
      </w:r>
      <w:r>
        <w:rPr>
          <w:rFonts w:hint="eastAsia" w:ascii="宋体" w:hAnsi="宋体" w:eastAsia="宋体" w:cs="宋体"/>
          <w:b/>
          <w:bCs w:val="0"/>
        </w:rPr>
        <w:instrText xml:space="preserve"> HYPERLINK \l "_Toc24846" </w:instrText>
      </w:r>
      <w:r>
        <w:rPr>
          <w:rFonts w:hint="eastAsia" w:ascii="宋体" w:hAnsi="宋体" w:eastAsia="宋体" w:cs="宋体"/>
          <w:b/>
          <w:bCs w:val="0"/>
        </w:rPr>
        <w:fldChar w:fldCharType="separate"/>
      </w:r>
      <w:r>
        <w:rPr>
          <w:rFonts w:hint="eastAsia" w:ascii="宋体" w:hAnsi="宋体" w:eastAsia="宋体" w:cs="宋体"/>
          <w:b/>
          <w:bCs w:val="0"/>
          <w:sz w:val="30"/>
          <w:szCs w:val="30"/>
        </w:rPr>
        <w:t>二、技术要求</w:t>
      </w:r>
    </w:p>
    <w:p w14:paraId="69D3284A">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b/>
          <w:bCs w:val="0"/>
          <w:sz w:val="30"/>
          <w:szCs w:val="30"/>
        </w:rPr>
        <w:fldChar w:fldCharType="begin"/>
      </w:r>
      <w:r>
        <w:rPr>
          <w:rFonts w:hint="eastAsia" w:ascii="宋体" w:hAnsi="宋体" w:eastAsia="宋体" w:cs="宋体"/>
          <w:b/>
          <w:bCs w:val="0"/>
          <w:sz w:val="30"/>
          <w:szCs w:val="30"/>
        </w:rPr>
        <w:instrText xml:space="preserve"> PAGEREF _Toc24846 \h </w:instrText>
      </w:r>
      <w:r>
        <w:rPr>
          <w:rFonts w:hint="eastAsia" w:ascii="宋体" w:hAnsi="宋体" w:eastAsia="宋体" w:cs="宋体"/>
          <w:b/>
          <w:bCs w:val="0"/>
          <w:sz w:val="30"/>
          <w:szCs w:val="30"/>
        </w:rPr>
        <w:fldChar w:fldCharType="separate"/>
      </w:r>
      <w:r>
        <w:rPr>
          <w:rFonts w:hint="eastAsia" w:ascii="宋体" w:hAnsi="宋体" w:eastAsia="宋体" w:cs="宋体"/>
          <w:b/>
          <w:bCs w:val="0"/>
          <w:sz w:val="30"/>
          <w:szCs w:val="30"/>
        </w:rPr>
        <w:fldChar w:fldCharType="end"/>
      </w:r>
      <w:r>
        <w:rPr>
          <w:rFonts w:hint="eastAsia" w:ascii="宋体" w:hAnsi="宋体" w:eastAsia="宋体" w:cs="宋体"/>
          <w:b/>
          <w:bCs w:val="0"/>
          <w:sz w:val="30"/>
          <w:szCs w:val="30"/>
        </w:rPr>
        <w:fldChar w:fldCharType="end"/>
      </w:r>
      <w:r>
        <w:rPr>
          <w:rFonts w:hint="eastAsia" w:ascii="宋体" w:hAnsi="宋体" w:eastAsia="宋体" w:cs="宋体"/>
          <w:b/>
          <w:bCs w:val="0"/>
        </w:rPr>
        <w:fldChar w:fldCharType="begin"/>
      </w:r>
      <w:r>
        <w:rPr>
          <w:rFonts w:hint="eastAsia" w:ascii="宋体" w:hAnsi="宋体" w:eastAsia="宋体" w:cs="宋体"/>
          <w:b/>
          <w:bCs w:val="0"/>
        </w:rPr>
        <w:instrText xml:space="preserve"> HYPERLINK \l "_Toc27285" </w:instrText>
      </w:r>
      <w:r>
        <w:rPr>
          <w:rFonts w:hint="eastAsia" w:ascii="宋体" w:hAnsi="宋体" w:eastAsia="宋体" w:cs="宋体"/>
          <w:b/>
          <w:bCs w:val="0"/>
        </w:rPr>
        <w:fldChar w:fldCharType="separate"/>
      </w:r>
      <w:r>
        <w:rPr>
          <w:rFonts w:hint="eastAsia" w:ascii="宋体" w:hAnsi="宋体" w:eastAsia="宋体" w:cs="宋体"/>
          <w:b/>
          <w:bCs w:val="0"/>
          <w:sz w:val="30"/>
          <w:szCs w:val="30"/>
        </w:rPr>
        <w:t>三、质量要求</w:t>
      </w:r>
      <w:r>
        <w:rPr>
          <w:rFonts w:hint="eastAsia" w:ascii="宋体" w:hAnsi="宋体" w:eastAsia="宋体" w:cs="宋体"/>
          <w:b/>
          <w:bCs w:val="0"/>
          <w:sz w:val="30"/>
          <w:szCs w:val="30"/>
        </w:rPr>
        <w:fldChar w:fldCharType="end"/>
      </w:r>
    </w:p>
    <w:p w14:paraId="3F8BFB38">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"_Toc19753" </w:instrText>
      </w:r>
      <w:r>
        <w:rPr>
          <w:rFonts w:hint="eastAsia" w:ascii="宋体" w:hAnsi="宋体" w:eastAsia="宋体" w:cs="宋体"/>
          <w:b/>
          <w:bCs w:val="0"/>
        </w:rPr>
        <w:fldChar w:fldCharType="separate"/>
      </w:r>
      <w:r>
        <w:rPr>
          <w:rFonts w:hint="eastAsia" w:ascii="宋体" w:hAnsi="宋体" w:eastAsia="宋体" w:cs="宋体"/>
          <w:b/>
          <w:bCs w:val="0"/>
          <w:sz w:val="30"/>
          <w:szCs w:val="30"/>
        </w:rPr>
        <w:t>四、交货期及交货方式</w:t>
      </w:r>
      <w:r>
        <w:rPr>
          <w:rFonts w:hint="eastAsia" w:ascii="宋体" w:hAnsi="宋体" w:eastAsia="宋体" w:cs="宋体"/>
          <w:b/>
          <w:bCs w:val="0"/>
          <w:sz w:val="30"/>
          <w:szCs w:val="30"/>
        </w:rPr>
        <w:fldChar w:fldCharType="end"/>
      </w:r>
    </w:p>
    <w:p w14:paraId="0433F396">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"_Toc13733" </w:instrText>
      </w:r>
      <w:r>
        <w:rPr>
          <w:rFonts w:hint="eastAsia" w:ascii="宋体" w:hAnsi="宋体" w:eastAsia="宋体" w:cs="宋体"/>
          <w:b/>
          <w:bCs w:val="0"/>
        </w:rPr>
        <w:fldChar w:fldCharType="separate"/>
      </w:r>
      <w:r>
        <w:rPr>
          <w:rFonts w:hint="eastAsia" w:ascii="宋体" w:hAnsi="宋体" w:eastAsia="宋体" w:cs="宋体"/>
          <w:b/>
          <w:bCs w:val="0"/>
          <w:sz w:val="30"/>
          <w:szCs w:val="30"/>
        </w:rPr>
        <w:t>五、设备安装</w:t>
      </w:r>
      <w:r>
        <w:rPr>
          <w:rFonts w:hint="eastAsia" w:ascii="宋体" w:hAnsi="宋体" w:eastAsia="宋体" w:cs="宋体"/>
          <w:b/>
          <w:bCs w:val="0"/>
          <w:sz w:val="30"/>
          <w:szCs w:val="30"/>
        </w:rPr>
        <w:fldChar w:fldCharType="end"/>
      </w:r>
    </w:p>
    <w:p w14:paraId="677528A1">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"_Toc25207" </w:instrText>
      </w:r>
      <w:r>
        <w:rPr>
          <w:rFonts w:hint="eastAsia" w:ascii="宋体" w:hAnsi="宋体" w:eastAsia="宋体" w:cs="宋体"/>
          <w:b/>
          <w:bCs w:val="0"/>
        </w:rPr>
        <w:fldChar w:fldCharType="separate"/>
      </w:r>
      <w:r>
        <w:rPr>
          <w:rFonts w:hint="eastAsia" w:ascii="宋体" w:hAnsi="宋体" w:eastAsia="宋体" w:cs="宋体"/>
          <w:b/>
          <w:bCs w:val="0"/>
          <w:sz w:val="30"/>
          <w:szCs w:val="30"/>
        </w:rPr>
        <w:t>六、图纸会签与验收</w:t>
      </w:r>
      <w:r>
        <w:rPr>
          <w:rFonts w:hint="eastAsia" w:ascii="宋体" w:hAnsi="宋体" w:eastAsia="宋体" w:cs="宋体"/>
          <w:b/>
          <w:bCs w:val="0"/>
          <w:sz w:val="30"/>
          <w:szCs w:val="30"/>
        </w:rPr>
        <w:fldChar w:fldCharType="end"/>
      </w:r>
    </w:p>
    <w:p w14:paraId="3412AF31">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"_Toc9315" </w:instrText>
      </w:r>
      <w:r>
        <w:rPr>
          <w:rFonts w:hint="eastAsia" w:ascii="宋体" w:hAnsi="宋体" w:eastAsia="宋体" w:cs="宋体"/>
          <w:b/>
          <w:bCs w:val="0"/>
        </w:rPr>
        <w:fldChar w:fldCharType="separate"/>
      </w:r>
      <w:r>
        <w:rPr>
          <w:rFonts w:hint="eastAsia" w:ascii="宋体" w:hAnsi="宋体" w:eastAsia="宋体" w:cs="宋体"/>
          <w:b/>
          <w:bCs w:val="0"/>
          <w:sz w:val="30"/>
          <w:szCs w:val="30"/>
        </w:rPr>
        <w:t>七、售后服务</w:t>
      </w:r>
      <w:r>
        <w:rPr>
          <w:rFonts w:hint="eastAsia" w:ascii="宋体" w:hAnsi="宋体" w:eastAsia="宋体" w:cs="宋体"/>
          <w:b/>
          <w:bCs w:val="0"/>
          <w:sz w:val="30"/>
          <w:szCs w:val="30"/>
        </w:rPr>
        <w:fldChar w:fldCharType="end"/>
      </w:r>
    </w:p>
    <w:p w14:paraId="3347C810">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val="0"/>
          <w:sz w:val="30"/>
          <w:szCs w:val="30"/>
          <w:lang w:eastAsia="zh-CN"/>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"_Toc21484" </w:instrText>
      </w:r>
      <w:r>
        <w:rPr>
          <w:rFonts w:hint="eastAsia" w:ascii="宋体" w:hAnsi="宋体" w:eastAsia="宋体" w:cs="宋体"/>
          <w:b/>
          <w:bCs w:val="0"/>
        </w:rPr>
        <w:fldChar w:fldCharType="separate"/>
      </w:r>
      <w:r>
        <w:rPr>
          <w:rFonts w:hint="eastAsia" w:ascii="宋体" w:hAnsi="宋体" w:eastAsia="宋体" w:cs="宋体"/>
          <w:b/>
          <w:bCs w:val="0"/>
          <w:sz w:val="30"/>
          <w:szCs w:val="30"/>
        </w:rPr>
        <w:t>八、安全与保密</w:t>
      </w:r>
      <w:r>
        <w:rPr>
          <w:rFonts w:hint="eastAsia" w:ascii="宋体" w:hAnsi="宋体" w:eastAsia="宋体" w:cs="宋体"/>
          <w:b/>
          <w:bCs w:val="0"/>
          <w:sz w:val="30"/>
          <w:szCs w:val="30"/>
        </w:rPr>
        <w:fldChar w:fldCharType="end"/>
      </w:r>
    </w:p>
    <w:p w14:paraId="282FB035">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b/>
          <w:bCs w:val="0"/>
          <w:color w:val="000000"/>
          <w:sz w:val="30"/>
          <w:szCs w:val="30"/>
        </w:rPr>
      </w:pPr>
      <w:r>
        <w:rPr>
          <w:rFonts w:hint="eastAsia"/>
          <w:b/>
          <w:bCs w:val="0"/>
          <w:color w:val="000000"/>
          <w:sz w:val="30"/>
          <w:szCs w:val="30"/>
          <w:lang w:eastAsia="zh-CN"/>
        </w:rPr>
        <w:t>九、</w:t>
      </w:r>
      <w:r>
        <w:rPr>
          <w:rFonts w:hint="eastAsia" w:ascii="宋体" w:hAnsi="宋体"/>
          <w:b/>
          <w:bCs w:val="0"/>
          <w:color w:val="000000"/>
          <w:sz w:val="30"/>
          <w:szCs w:val="30"/>
        </w:rPr>
        <w:t>培训</w:t>
      </w:r>
    </w:p>
    <w:p w14:paraId="56212CD6">
      <w:pPr>
        <w:pageBreakBefore w:val="0"/>
        <w:kinsoku/>
        <w:wordWrap/>
        <w:topLinePunct w:val="0"/>
        <w:bidi w:val="0"/>
        <w:adjustRightInd w:val="0"/>
        <w:snapToGrid w:val="0"/>
        <w:spacing w:afterAutospacing="0" w:line="360" w:lineRule="auto"/>
        <w:ind w:left="0" w:leftChars="0" w:firstLine="0" w:firstLineChars="0"/>
        <w:jc w:val="both"/>
        <w:rPr>
          <w:rFonts w:hint="eastAsia" w:ascii="宋体" w:hAnsi="宋体"/>
          <w:b/>
          <w:bCs w:val="0"/>
          <w:color w:val="000000"/>
          <w:sz w:val="30"/>
          <w:szCs w:val="30"/>
        </w:rPr>
      </w:pPr>
      <w:r>
        <w:rPr>
          <w:rFonts w:hint="eastAsia" w:ascii="宋体" w:hAnsi="宋体"/>
          <w:b/>
          <w:bCs w:val="0"/>
          <w:color w:val="000000"/>
          <w:sz w:val="30"/>
          <w:szCs w:val="30"/>
          <w:lang w:eastAsia="zh-CN"/>
        </w:rPr>
        <w:t>十</w:t>
      </w:r>
      <w:r>
        <w:rPr>
          <w:rFonts w:hint="eastAsia" w:ascii="宋体" w:hAnsi="宋体"/>
          <w:b/>
          <w:bCs w:val="0"/>
          <w:color w:val="000000"/>
          <w:sz w:val="30"/>
          <w:szCs w:val="30"/>
        </w:rPr>
        <w:t>、资料辅件</w:t>
      </w:r>
    </w:p>
    <w:p w14:paraId="396BFAFF">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30"/>
          <w:szCs w:val="30"/>
        </w:rPr>
      </w:pPr>
      <w:r>
        <w:rPr>
          <w:rFonts w:hint="eastAsia" w:ascii="宋体" w:hAnsi="宋体" w:eastAsia="宋体" w:cs="宋体"/>
          <w:b/>
          <w:bCs w:val="0"/>
        </w:rPr>
        <w:fldChar w:fldCharType="begin"/>
      </w:r>
      <w:r>
        <w:rPr>
          <w:rFonts w:hint="eastAsia" w:ascii="宋体" w:hAnsi="宋体" w:eastAsia="宋体" w:cs="宋体"/>
          <w:b/>
          <w:bCs w:val="0"/>
        </w:rPr>
        <w:instrText xml:space="preserve"> HYPERLINK \l "_Toc14873" </w:instrText>
      </w:r>
      <w:r>
        <w:rPr>
          <w:rFonts w:hint="eastAsia" w:ascii="宋体" w:hAnsi="宋体" w:eastAsia="宋体" w:cs="宋体"/>
          <w:b/>
          <w:bCs w:val="0"/>
        </w:rPr>
        <w:fldChar w:fldCharType="separate"/>
      </w:r>
      <w:r>
        <w:rPr>
          <w:rFonts w:hint="eastAsia" w:cs="宋体"/>
          <w:b/>
          <w:bCs w:val="0"/>
          <w:sz w:val="30"/>
          <w:szCs w:val="30"/>
          <w:lang w:eastAsia="zh-CN"/>
        </w:rPr>
        <w:t>十一</w:t>
      </w:r>
      <w:r>
        <w:rPr>
          <w:rFonts w:hint="eastAsia" w:ascii="宋体" w:hAnsi="宋体" w:eastAsia="宋体" w:cs="宋体"/>
          <w:b/>
          <w:bCs w:val="0"/>
          <w:sz w:val="30"/>
          <w:szCs w:val="30"/>
        </w:rPr>
        <w:t>、其它</w:t>
      </w:r>
      <w:r>
        <w:rPr>
          <w:rFonts w:hint="eastAsia" w:ascii="宋体" w:hAnsi="宋体" w:eastAsia="宋体" w:cs="宋体"/>
          <w:b/>
          <w:bCs w:val="0"/>
          <w:sz w:val="30"/>
          <w:szCs w:val="30"/>
        </w:rPr>
        <w:fldChar w:fldCharType="end"/>
      </w:r>
    </w:p>
    <w:p w14:paraId="528BE628">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30"/>
          <w:szCs w:val="30"/>
          <w:lang w:eastAsia="zh-CN"/>
        </w:rPr>
      </w:pPr>
      <w:r>
        <w:rPr>
          <w:rFonts w:hint="eastAsia" w:ascii="宋体" w:hAnsi="宋体" w:eastAsia="宋体" w:cs="宋体"/>
          <w:b/>
          <w:bCs/>
        </w:rPr>
        <w:fldChar w:fldCharType="begin"/>
      </w:r>
      <w:r>
        <w:rPr>
          <w:rFonts w:hint="eastAsia" w:ascii="宋体" w:hAnsi="宋体" w:eastAsia="宋体" w:cs="宋体"/>
          <w:b/>
          <w:bCs/>
        </w:rPr>
        <w:instrText xml:space="preserve"> HYPERLINK \l "_Toc14873" </w:instrText>
      </w:r>
      <w:r>
        <w:rPr>
          <w:rFonts w:hint="eastAsia" w:ascii="宋体" w:hAnsi="宋体" w:eastAsia="宋体" w:cs="宋体"/>
          <w:b/>
          <w:bCs/>
        </w:rPr>
        <w:fldChar w:fldCharType="separate"/>
      </w:r>
      <w:r>
        <w:rPr>
          <w:rFonts w:hint="eastAsia" w:ascii="宋体" w:hAnsi="宋体" w:eastAsia="宋体" w:cs="宋体"/>
          <w:b/>
          <w:bCs/>
          <w:sz w:val="30"/>
          <w:szCs w:val="30"/>
          <w:lang w:eastAsia="zh-CN"/>
        </w:rPr>
        <w:t>十</w:t>
      </w:r>
      <w:r>
        <w:rPr>
          <w:rFonts w:hint="eastAsia" w:cs="宋体"/>
          <w:b/>
          <w:bCs/>
          <w:sz w:val="30"/>
          <w:szCs w:val="30"/>
          <w:lang w:eastAsia="zh-CN"/>
        </w:rPr>
        <w:t>二</w:t>
      </w:r>
      <w:r>
        <w:rPr>
          <w:rFonts w:hint="eastAsia" w:ascii="宋体" w:hAnsi="宋体" w:eastAsia="宋体" w:cs="宋体"/>
          <w:b/>
          <w:bCs/>
          <w:sz w:val="30"/>
          <w:szCs w:val="30"/>
        </w:rPr>
        <w:t>、</w:t>
      </w:r>
      <w:r>
        <w:rPr>
          <w:rFonts w:hint="eastAsia" w:ascii="宋体" w:hAnsi="宋体" w:eastAsia="宋体" w:cs="宋体"/>
          <w:b/>
          <w:bCs/>
          <w:sz w:val="30"/>
          <w:szCs w:val="30"/>
          <w:lang w:eastAsia="zh-CN"/>
        </w:rPr>
        <w:t>附件：</w:t>
      </w:r>
    </w:p>
    <w:p w14:paraId="6C80343C">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30"/>
          <w:szCs w:val="30"/>
        </w:rPr>
      </w:pPr>
      <w:r>
        <w:rPr>
          <w:rFonts w:hint="eastAsia" w:ascii="宋体" w:hAnsi="宋体" w:eastAsia="宋体" w:cs="宋体"/>
          <w:b/>
          <w:bCs/>
          <w:sz w:val="24"/>
          <w:szCs w:val="24"/>
          <w:lang w:val="en-US" w:eastAsia="zh-CN"/>
        </w:rPr>
        <w:t>附件一</w:t>
      </w:r>
      <w:r>
        <w:rPr>
          <w:rFonts w:hint="eastAsia" w:cs="宋体"/>
          <w:b/>
          <w:bCs/>
          <w:sz w:val="24"/>
          <w:szCs w:val="24"/>
          <w:lang w:val="en-US" w:eastAsia="zh-CN"/>
        </w:rPr>
        <w:t>、涂装</w:t>
      </w:r>
      <w:r>
        <w:rPr>
          <w:rFonts w:hint="eastAsia" w:ascii="宋体" w:hAnsi="宋体" w:eastAsia="宋体" w:cs="宋体"/>
          <w:b/>
          <w:bCs/>
          <w:sz w:val="24"/>
          <w:szCs w:val="24"/>
          <w:lang w:val="en-US" w:eastAsia="zh-CN"/>
        </w:rPr>
        <w:t>工作区域技术要求</w:t>
      </w:r>
      <w:r>
        <w:rPr>
          <w:rFonts w:hint="eastAsia" w:ascii="宋体" w:hAnsi="宋体" w:eastAsia="宋体" w:cs="宋体"/>
          <w:b/>
          <w:bCs/>
          <w:sz w:val="30"/>
          <w:szCs w:val="30"/>
        </w:rPr>
        <w:fldChar w:fldCharType="end"/>
      </w:r>
    </w:p>
    <w:p w14:paraId="3B993E5B">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8"/>
          <w:szCs w:val="28"/>
          <w:lang w:val="en-US" w:eastAsia="zh-CN"/>
        </w:rPr>
      </w:pPr>
      <w:r>
        <w:rPr>
          <w:rFonts w:hint="eastAsia" w:ascii="宋体" w:hAnsi="宋体" w:eastAsia="宋体" w:cs="宋体"/>
          <w:b/>
          <w:bCs/>
          <w:sz w:val="24"/>
          <w:szCs w:val="24"/>
        </w:rPr>
        <w:t>附件二</w:t>
      </w:r>
      <w:r>
        <w:rPr>
          <w:rFonts w:hint="eastAsia" w:cs="宋体"/>
          <w:b/>
          <w:bCs/>
          <w:sz w:val="24"/>
          <w:szCs w:val="24"/>
          <w:lang w:eastAsia="zh-CN"/>
        </w:rPr>
        <w:t>、</w:t>
      </w:r>
      <w:r>
        <w:rPr>
          <w:rFonts w:hint="eastAsia" w:ascii="宋体" w:hAnsi="宋体" w:eastAsia="宋体" w:cs="宋体"/>
          <w:b/>
          <w:bCs/>
          <w:sz w:val="24"/>
          <w:szCs w:val="24"/>
        </w:rPr>
        <w:t>集中供胶、漆、蜡系统技术要求</w:t>
      </w:r>
    </w:p>
    <w:p w14:paraId="5C4DE3E7">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8"/>
          <w:szCs w:val="28"/>
          <w:lang w:val="en-US" w:eastAsia="zh-CN"/>
        </w:rPr>
      </w:pPr>
      <w:r>
        <w:rPr>
          <w:rFonts w:hint="eastAsia" w:ascii="宋体" w:hAnsi="宋体" w:eastAsia="宋体" w:cs="宋体"/>
          <w:b/>
          <w:bCs/>
          <w:sz w:val="24"/>
          <w:szCs w:val="24"/>
        </w:rPr>
        <w:t>附件三</w:t>
      </w:r>
      <w:r>
        <w:rPr>
          <w:rFonts w:hint="eastAsia" w:cs="宋体"/>
          <w:b/>
          <w:bCs/>
          <w:sz w:val="24"/>
          <w:szCs w:val="24"/>
          <w:lang w:eastAsia="zh-CN"/>
        </w:rPr>
        <w:t>、</w:t>
      </w:r>
      <w:r>
        <w:rPr>
          <w:rFonts w:hint="eastAsia" w:ascii="宋体" w:hAnsi="宋体" w:eastAsia="宋体" w:cs="宋体"/>
          <w:b/>
          <w:bCs/>
          <w:sz w:val="24"/>
          <w:szCs w:val="24"/>
        </w:rPr>
        <w:t>涂装车间机器人设备技术任务书</w:t>
      </w:r>
    </w:p>
    <w:p w14:paraId="543E0EEC">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8"/>
          <w:szCs w:val="28"/>
          <w:lang w:val="en-US" w:eastAsia="zh-CN"/>
        </w:rPr>
      </w:pPr>
      <w:r>
        <w:rPr>
          <w:rFonts w:hint="eastAsia" w:ascii="宋体" w:hAnsi="宋体" w:eastAsia="宋体" w:cs="宋体"/>
          <w:b/>
          <w:bCs/>
          <w:sz w:val="24"/>
          <w:szCs w:val="24"/>
        </w:rPr>
        <w:t>附件</w:t>
      </w:r>
      <w:r>
        <w:rPr>
          <w:rFonts w:hint="eastAsia" w:ascii="宋体" w:hAnsi="宋体" w:eastAsia="宋体" w:cs="宋体"/>
          <w:b/>
          <w:bCs/>
          <w:sz w:val="24"/>
          <w:szCs w:val="24"/>
          <w:lang w:eastAsia="zh-CN"/>
        </w:rPr>
        <w:t>四</w:t>
      </w:r>
      <w:r>
        <w:rPr>
          <w:rFonts w:hint="eastAsia" w:cs="宋体"/>
          <w:b/>
          <w:bCs/>
          <w:sz w:val="24"/>
          <w:szCs w:val="24"/>
          <w:lang w:eastAsia="zh-CN"/>
        </w:rPr>
        <w:t>、</w:t>
      </w:r>
      <w:r>
        <w:rPr>
          <w:rFonts w:hint="eastAsia" w:ascii="宋体" w:hAnsi="宋体" w:eastAsia="宋体" w:cs="宋体"/>
          <w:b/>
          <w:bCs/>
          <w:sz w:val="24"/>
          <w:szCs w:val="24"/>
        </w:rPr>
        <w:t>涂装车间空调系统</w:t>
      </w:r>
      <w:r>
        <w:rPr>
          <w:rFonts w:hint="eastAsia" w:ascii="宋体" w:hAnsi="宋体" w:eastAsia="宋体" w:cs="宋体"/>
          <w:b/>
          <w:bCs/>
          <w:sz w:val="24"/>
          <w:szCs w:val="24"/>
          <w:lang w:val="en-US" w:eastAsia="zh-CN"/>
        </w:rPr>
        <w:t>技术要求</w:t>
      </w:r>
    </w:p>
    <w:p w14:paraId="70D90062">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8"/>
          <w:szCs w:val="28"/>
          <w:lang w:val="en-US" w:eastAsia="zh-CN"/>
        </w:rPr>
      </w:pPr>
      <w:r>
        <w:rPr>
          <w:rFonts w:hint="eastAsia" w:ascii="宋体" w:hAnsi="宋体" w:eastAsia="宋体" w:cs="宋体"/>
          <w:b/>
          <w:bCs/>
          <w:sz w:val="24"/>
          <w:szCs w:val="24"/>
        </w:rPr>
        <w:t>附件</w:t>
      </w:r>
      <w:r>
        <w:rPr>
          <w:rFonts w:hint="eastAsia" w:ascii="宋体" w:hAnsi="宋体" w:eastAsia="宋体" w:cs="宋体"/>
          <w:b/>
          <w:bCs/>
          <w:sz w:val="24"/>
          <w:szCs w:val="24"/>
          <w:lang w:eastAsia="zh-CN"/>
        </w:rPr>
        <w:t>五</w:t>
      </w:r>
      <w:r>
        <w:rPr>
          <w:rFonts w:hint="eastAsia" w:cs="宋体"/>
          <w:b/>
          <w:bCs/>
          <w:sz w:val="24"/>
          <w:szCs w:val="24"/>
          <w:lang w:eastAsia="zh-CN"/>
        </w:rPr>
        <w:t>、</w:t>
      </w:r>
      <w:r>
        <w:rPr>
          <w:rFonts w:hint="eastAsia" w:ascii="宋体" w:hAnsi="宋体" w:eastAsia="宋体" w:cs="宋体"/>
          <w:b/>
          <w:bCs/>
          <w:sz w:val="24"/>
          <w:szCs w:val="24"/>
        </w:rPr>
        <w:t>涂装车间机械化输送设备技术要求</w:t>
      </w:r>
    </w:p>
    <w:p w14:paraId="71C15EB2">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8"/>
          <w:szCs w:val="28"/>
          <w:lang w:val="en-US" w:eastAsia="zh-CN"/>
        </w:rPr>
      </w:pPr>
      <w:r>
        <w:rPr>
          <w:rFonts w:hint="eastAsia" w:ascii="宋体" w:hAnsi="宋体" w:eastAsia="宋体" w:cs="宋体"/>
          <w:b/>
          <w:bCs/>
          <w:sz w:val="24"/>
          <w:szCs w:val="24"/>
        </w:rPr>
        <w:t>附件</w:t>
      </w:r>
      <w:r>
        <w:rPr>
          <w:rFonts w:hint="eastAsia" w:ascii="宋体" w:hAnsi="宋体" w:eastAsia="宋体" w:cs="宋体"/>
          <w:b/>
          <w:bCs/>
          <w:sz w:val="24"/>
          <w:szCs w:val="24"/>
          <w:lang w:eastAsia="zh-CN"/>
        </w:rPr>
        <w:t>六</w:t>
      </w:r>
      <w:r>
        <w:rPr>
          <w:rFonts w:hint="eastAsia" w:cs="宋体"/>
          <w:b/>
          <w:bCs/>
          <w:sz w:val="24"/>
          <w:szCs w:val="24"/>
          <w:lang w:eastAsia="zh-CN"/>
        </w:rPr>
        <w:t>、</w:t>
      </w:r>
      <w:r>
        <w:rPr>
          <w:rFonts w:hint="eastAsia" w:ascii="宋体" w:hAnsi="宋体" w:eastAsia="宋体" w:cs="宋体"/>
          <w:b/>
          <w:bCs/>
          <w:sz w:val="24"/>
          <w:szCs w:val="24"/>
        </w:rPr>
        <w:t>涂装车间电气设备设备技术要求</w:t>
      </w:r>
    </w:p>
    <w:p w14:paraId="1A99CC37">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b/>
          <w:bCs/>
          <w:sz w:val="24"/>
          <w:szCs w:val="24"/>
        </w:rPr>
      </w:pPr>
      <w:bookmarkStart w:id="2" w:name="OLE_LINK20"/>
      <w:r>
        <w:rPr>
          <w:rFonts w:hint="eastAsia" w:ascii="宋体" w:hAnsi="宋体" w:eastAsia="宋体" w:cs="宋体"/>
          <w:b/>
          <w:bCs/>
          <w:sz w:val="24"/>
          <w:szCs w:val="24"/>
          <w:lang w:val="en-US" w:eastAsia="zh-CN"/>
        </w:rPr>
        <w:t>附件七</w:t>
      </w:r>
      <w:r>
        <w:rPr>
          <w:rFonts w:hint="eastAsia" w:cs="宋体"/>
          <w:b/>
          <w:bCs/>
          <w:sz w:val="24"/>
          <w:szCs w:val="24"/>
          <w:lang w:val="en-US" w:eastAsia="zh-CN"/>
        </w:rPr>
        <w:t>、</w:t>
      </w:r>
      <w:r>
        <w:rPr>
          <w:rFonts w:hint="eastAsia"/>
          <w:b/>
          <w:bCs/>
          <w:sz w:val="24"/>
          <w:szCs w:val="24"/>
          <w:lang w:eastAsia="zh-CN"/>
        </w:rPr>
        <w:t>总装</w:t>
      </w:r>
      <w:r>
        <w:rPr>
          <w:rFonts w:hint="eastAsia"/>
          <w:b/>
          <w:bCs/>
          <w:sz w:val="24"/>
          <w:szCs w:val="24"/>
          <w:lang w:val="en-US" w:eastAsia="zh-CN"/>
        </w:rPr>
        <w:t>车间</w:t>
      </w:r>
      <w:r>
        <w:rPr>
          <w:b/>
          <w:bCs/>
          <w:sz w:val="24"/>
          <w:szCs w:val="24"/>
        </w:rPr>
        <w:t>通用设备技术要求</w:t>
      </w:r>
    </w:p>
    <w:p w14:paraId="2ADF40A7">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b/>
          <w:bCs/>
          <w:sz w:val="24"/>
          <w:szCs w:val="24"/>
        </w:rPr>
      </w:pPr>
      <w:r>
        <w:rPr>
          <w:rFonts w:hint="eastAsia" w:cs="宋体"/>
          <w:b/>
          <w:bCs/>
          <w:sz w:val="24"/>
          <w:szCs w:val="24"/>
          <w:lang w:val="en-US" w:eastAsia="zh-CN"/>
        </w:rPr>
        <w:t>附件八、</w:t>
      </w:r>
      <w:bookmarkEnd w:id="2"/>
      <w:bookmarkStart w:id="3" w:name="OLE_LINK22"/>
      <w:r>
        <w:rPr>
          <w:rFonts w:hint="eastAsia"/>
          <w:b/>
          <w:bCs/>
          <w:sz w:val="24"/>
          <w:szCs w:val="24"/>
          <w:lang w:eastAsia="zh-CN"/>
        </w:rPr>
        <w:t>总装</w:t>
      </w:r>
      <w:r>
        <w:rPr>
          <w:rFonts w:hint="eastAsia"/>
          <w:b/>
          <w:bCs/>
          <w:sz w:val="24"/>
          <w:szCs w:val="24"/>
          <w:lang w:val="en-US" w:eastAsia="zh-CN"/>
        </w:rPr>
        <w:t>车间</w:t>
      </w:r>
      <w:r>
        <w:rPr>
          <w:b/>
          <w:bCs/>
          <w:sz w:val="24"/>
          <w:szCs w:val="24"/>
        </w:rPr>
        <w:t>生产线设备技术要求</w:t>
      </w:r>
    </w:p>
    <w:p w14:paraId="196C0DE5">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4"/>
          <w:szCs w:val="24"/>
          <w:lang w:val="en-US" w:eastAsia="zh-CN"/>
        </w:rPr>
      </w:pPr>
      <w:r>
        <w:rPr>
          <w:rFonts w:hint="eastAsia"/>
          <w:b/>
          <w:bCs/>
          <w:sz w:val="24"/>
          <w:szCs w:val="24"/>
          <w:lang w:val="en-US" w:eastAsia="zh-CN"/>
        </w:rPr>
        <w:t>附件九、</w:t>
      </w:r>
      <w:r>
        <w:rPr>
          <w:rFonts w:hint="eastAsia" w:ascii="宋体" w:hAnsi="宋体" w:eastAsia="宋体" w:cs="宋体"/>
          <w:b/>
          <w:bCs/>
          <w:sz w:val="24"/>
          <w:szCs w:val="24"/>
          <w:lang w:val="en-US" w:eastAsia="zh-CN"/>
        </w:rPr>
        <w:t>设备外购件品牌清单</w:t>
      </w:r>
    </w:p>
    <w:p w14:paraId="70C78ABC">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附件十、车间工程界面划分</w:t>
      </w:r>
    </w:p>
    <w:p w14:paraId="4EE645BB">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default" w:ascii="宋体" w:hAnsi="宋体" w:eastAsia="宋体" w:cs="宋体"/>
          <w:sz w:val="24"/>
          <w:szCs w:val="24"/>
          <w:lang w:val="en-US" w:eastAsia="zh-CN"/>
        </w:rPr>
      </w:pPr>
    </w:p>
    <w:p w14:paraId="033575EA">
      <w:pPr>
        <w:pStyle w:val="473"/>
        <w:pageBreakBefore w:val="0"/>
        <w:tabs>
          <w:tab w:val="right" w:leader="dot" w:pos="9638"/>
        </w:tabs>
        <w:kinsoku/>
        <w:wordWrap/>
        <w:topLinePunct w:val="0"/>
        <w:bidi w:val="0"/>
        <w:adjustRightInd w:val="0"/>
        <w:snapToGrid w:val="0"/>
        <w:spacing w:afterAutospacing="0" w:line="360" w:lineRule="auto"/>
        <w:ind w:left="0" w:leftChars="0" w:firstLine="0" w:firstLineChars="0"/>
        <w:jc w:val="left"/>
        <w:rPr>
          <w:rFonts w:hint="default"/>
          <w:sz w:val="24"/>
          <w:szCs w:val="24"/>
          <w:lang w:val="en-US" w:eastAsia="zh-CN"/>
        </w:rPr>
      </w:pPr>
    </w:p>
    <w:bookmarkEnd w:id="3"/>
    <w:p w14:paraId="3AFBD47C">
      <w:pPr>
        <w:pStyle w:val="241"/>
        <w:pageBreakBefore w:val="0"/>
        <w:kinsoku/>
        <w:wordWrap/>
        <w:topLinePunct w:val="0"/>
        <w:bidi w:val="0"/>
        <w:adjustRightInd w:val="0"/>
        <w:snapToGrid w:val="0"/>
        <w:spacing w:afterAutospacing="0" w:line="360" w:lineRule="auto"/>
        <w:ind w:left="0" w:leftChars="0" w:firstLine="0" w:firstLineChars="0"/>
        <w:jc w:val="both"/>
        <w:rPr>
          <w:rFonts w:hint="eastAsia" w:ascii="宋体" w:hAnsi="宋体" w:eastAsia="宋体" w:cs="宋体"/>
        </w:rPr>
      </w:pPr>
      <w:r>
        <w:rPr>
          <w:rFonts w:hint="eastAsia" w:ascii="宋体" w:hAnsi="宋体" w:eastAsia="宋体" w:cs="宋体"/>
          <w:sz w:val="30"/>
          <w:szCs w:val="30"/>
        </w:rPr>
        <w:fldChar w:fldCharType="end"/>
      </w:r>
      <w:bookmarkStart w:id="4" w:name="_Toc13022"/>
      <w:bookmarkStart w:id="5" w:name="_Toc16486"/>
      <w:bookmarkStart w:id="6" w:name="_Toc11267_WPSOffice_Level1"/>
      <w:bookmarkStart w:id="7" w:name="_Toc21144_WPSOffice_Level1"/>
      <w:r>
        <w:rPr>
          <w:rFonts w:hint="eastAsia" w:ascii="宋体" w:hAnsi="宋体" w:eastAsia="宋体" w:cs="宋体"/>
        </w:rPr>
        <w:br w:type="page"/>
      </w:r>
    </w:p>
    <w:p w14:paraId="3E050AAA">
      <w:pPr>
        <w:pStyle w:val="2"/>
        <w:pageBreakBefore w:val="0"/>
        <w:kinsoku/>
        <w:wordWrap/>
        <w:topLinePunct w:val="0"/>
        <w:bidi w:val="0"/>
        <w:adjustRightInd w:val="0"/>
        <w:snapToGrid w:val="0"/>
        <w:spacing w:before="0" w:afterAutospacing="0" w:line="360" w:lineRule="auto"/>
        <w:ind w:left="0" w:leftChars="0" w:firstLine="0" w:firstLineChars="0"/>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rPr>
        <w:t>一、标的内容</w:t>
      </w:r>
      <w:bookmarkEnd w:id="4"/>
      <w:bookmarkEnd w:id="5"/>
      <w:bookmarkEnd w:id="6"/>
      <w:bookmarkEnd w:id="7"/>
    </w:p>
    <w:p w14:paraId="792DFFEE">
      <w:pPr>
        <w:pStyle w:val="17"/>
        <w:pageBreakBefore w:val="0"/>
        <w:widowControl w:val="0"/>
        <w:numPr>
          <w:ilvl w:val="-1"/>
          <w:numId w:val="0"/>
        </w:numPr>
        <w:kinsoku/>
        <w:wordWrap/>
        <w:topLinePunct w:val="0"/>
        <w:bidi w:val="0"/>
        <w:adjustRightInd w:val="0"/>
        <w:snapToGrid w:val="0"/>
        <w:spacing w:before="0" w:after="0" w:afterAutospacing="0" w:line="360" w:lineRule="auto"/>
        <w:ind w:left="0" w:leftChars="0" w:firstLine="0" w:firstLineChars="0"/>
        <w:jc w:val="both"/>
        <w:rPr>
          <w:rFonts w:hint="eastAsia" w:ascii="宋体" w:hAnsi="宋体" w:eastAsia="宋体" w:cs="宋体"/>
          <w:sz w:val="24"/>
          <w:szCs w:val="24"/>
        </w:rPr>
      </w:pPr>
      <w:bookmarkStart w:id="8" w:name="_Toc7121_WPSOffice_Level2"/>
      <w:bookmarkStart w:id="9" w:name="_Toc10151_WPSOffice_Level2"/>
      <w:r>
        <w:rPr>
          <w:rFonts w:hint="eastAsia" w:ascii="宋体" w:hAnsi="宋体" w:cs="宋体"/>
          <w:sz w:val="24"/>
          <w:szCs w:val="24"/>
          <w:lang w:val="en-US" w:eastAsia="zh-CN"/>
        </w:rPr>
        <w:t>1.</w:t>
      </w:r>
      <w:r>
        <w:rPr>
          <w:rFonts w:hint="eastAsia" w:ascii="宋体" w:hAnsi="宋体" w:eastAsia="宋体" w:cs="宋体"/>
          <w:sz w:val="24"/>
          <w:szCs w:val="24"/>
        </w:rPr>
        <w:t>设计要求</w:t>
      </w:r>
      <w:bookmarkEnd w:id="8"/>
      <w:bookmarkEnd w:id="9"/>
    </w:p>
    <w:p w14:paraId="3CCF582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负责涂装</w:t>
      </w:r>
      <w:r>
        <w:rPr>
          <w:rFonts w:hint="eastAsia" w:ascii="宋体" w:hAnsi="宋体" w:cs="宋体"/>
          <w:lang w:eastAsia="zh-CN"/>
        </w:rPr>
        <w:t>、总装</w:t>
      </w:r>
      <w:r>
        <w:rPr>
          <w:rFonts w:hint="eastAsia" w:ascii="宋体" w:hAnsi="宋体" w:eastAsia="宋体" w:cs="宋体"/>
        </w:rPr>
        <w:t>车间整车线非标设备的设计、制造、运输、安装、调试、人员培训、技术资料提供、生产陪伴与售后服务等。本项目为交钥匙工程，包括所有的工艺过程和设备以及与此相关的机械、电气、控制功能等，</w:t>
      </w:r>
      <w:r>
        <w:rPr>
          <w:rFonts w:hint="eastAsia" w:ascii="宋体" w:hAnsi="宋体" w:cs="宋体"/>
          <w:lang w:eastAsia="zh-CN"/>
        </w:rPr>
        <w:t>投标人</w:t>
      </w:r>
      <w:r>
        <w:rPr>
          <w:rFonts w:hint="eastAsia" w:ascii="宋体" w:hAnsi="宋体" w:eastAsia="宋体" w:cs="宋体"/>
        </w:rPr>
        <w:t>须确保项目进度、质量、安全等（招标要求的）目标的达成。</w:t>
      </w:r>
    </w:p>
    <w:p w14:paraId="14504E85">
      <w:pPr>
        <w:pStyle w:val="17"/>
        <w:pageBreakBefore w:val="0"/>
        <w:numPr>
          <w:ilvl w:val="-1"/>
          <w:numId w:val="0"/>
        </w:numPr>
        <w:kinsoku/>
        <w:wordWrap/>
        <w:topLinePunct w:val="0"/>
        <w:bidi w:val="0"/>
        <w:adjustRightInd w:val="0"/>
        <w:snapToGrid w:val="0"/>
        <w:spacing w:before="0" w:after="0" w:afterAutospacing="0" w:line="240" w:lineRule="auto"/>
        <w:ind w:left="0" w:leftChars="0" w:firstLine="0" w:firstLineChars="0"/>
        <w:rPr>
          <w:rFonts w:hint="eastAsia"/>
        </w:rPr>
      </w:pPr>
      <w:r>
        <w:t>主要设备清单：</w:t>
      </w:r>
    </w:p>
    <w:tbl>
      <w:tblPr>
        <w:tblStyle w:val="44"/>
        <w:tblpPr w:leftFromText="180" w:rightFromText="180" w:vertAnchor="text" w:horzAnchor="page" w:tblpX="1311" w:tblpY="463"/>
        <w:tblOverlap w:val="never"/>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2572"/>
        <w:gridCol w:w="778"/>
        <w:gridCol w:w="918"/>
        <w:gridCol w:w="4726"/>
      </w:tblGrid>
      <w:tr w14:paraId="6B7B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Merge w:val="restart"/>
            <w:vAlign w:val="center"/>
          </w:tcPr>
          <w:p w14:paraId="53E0CFE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333" w:type="pct"/>
            <w:vMerge w:val="restart"/>
            <w:vAlign w:val="center"/>
          </w:tcPr>
          <w:p w14:paraId="45D2380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招标货物名称</w:t>
            </w:r>
          </w:p>
        </w:tc>
        <w:tc>
          <w:tcPr>
            <w:tcW w:w="403" w:type="pct"/>
            <w:vMerge w:val="restart"/>
            <w:vAlign w:val="center"/>
          </w:tcPr>
          <w:p w14:paraId="1E527F0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数量</w:t>
            </w:r>
          </w:p>
        </w:tc>
        <w:tc>
          <w:tcPr>
            <w:tcW w:w="476" w:type="pct"/>
            <w:vMerge w:val="restart"/>
            <w:vAlign w:val="center"/>
          </w:tcPr>
          <w:p w14:paraId="1A892C5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单位</w:t>
            </w:r>
          </w:p>
        </w:tc>
        <w:tc>
          <w:tcPr>
            <w:tcW w:w="2449" w:type="pct"/>
            <w:vMerge w:val="restart"/>
            <w:vAlign w:val="center"/>
          </w:tcPr>
          <w:p w14:paraId="601ADB9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主要规格参数</w:t>
            </w:r>
          </w:p>
        </w:tc>
      </w:tr>
      <w:tr w14:paraId="08D4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Merge w:val="continue"/>
            <w:vAlign w:val="center"/>
          </w:tcPr>
          <w:p w14:paraId="1509A84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p>
        </w:tc>
        <w:tc>
          <w:tcPr>
            <w:tcW w:w="1333" w:type="pct"/>
            <w:vMerge w:val="continue"/>
            <w:vAlign w:val="center"/>
          </w:tcPr>
          <w:p w14:paraId="04362C2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p>
        </w:tc>
        <w:tc>
          <w:tcPr>
            <w:tcW w:w="403" w:type="pct"/>
            <w:vMerge w:val="continue"/>
            <w:vAlign w:val="center"/>
          </w:tcPr>
          <w:p w14:paraId="34CC929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p>
        </w:tc>
        <w:tc>
          <w:tcPr>
            <w:tcW w:w="476" w:type="pct"/>
            <w:vMerge w:val="continue"/>
            <w:vAlign w:val="center"/>
          </w:tcPr>
          <w:p w14:paraId="335E9D7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p>
        </w:tc>
        <w:tc>
          <w:tcPr>
            <w:tcW w:w="2449" w:type="pct"/>
            <w:vMerge w:val="continue"/>
            <w:vAlign w:val="center"/>
          </w:tcPr>
          <w:p w14:paraId="727BA65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p>
        </w:tc>
      </w:tr>
      <w:tr w14:paraId="4072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3686627">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1333" w:type="pct"/>
            <w:vAlign w:val="center"/>
          </w:tcPr>
          <w:p w14:paraId="3D753795">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前处理非标设备</w:t>
            </w:r>
          </w:p>
        </w:tc>
        <w:tc>
          <w:tcPr>
            <w:tcW w:w="403" w:type="pct"/>
            <w:vAlign w:val="center"/>
          </w:tcPr>
          <w:p w14:paraId="5D6657C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w:t>
            </w:r>
          </w:p>
        </w:tc>
        <w:tc>
          <w:tcPr>
            <w:tcW w:w="476" w:type="pct"/>
            <w:vAlign w:val="center"/>
          </w:tcPr>
          <w:p w14:paraId="2C56787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套</w:t>
            </w:r>
          </w:p>
        </w:tc>
        <w:tc>
          <w:tcPr>
            <w:tcW w:w="2449" w:type="pct"/>
            <w:vAlign w:val="center"/>
          </w:tcPr>
          <w:p w14:paraId="2977598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详见相关附件</w:t>
            </w:r>
          </w:p>
        </w:tc>
      </w:tr>
      <w:tr w14:paraId="0C73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4A767B94">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p>
        </w:tc>
        <w:tc>
          <w:tcPr>
            <w:tcW w:w="1333" w:type="pct"/>
            <w:vAlign w:val="center"/>
          </w:tcPr>
          <w:p w14:paraId="566AA827">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电泳非标设备</w:t>
            </w:r>
          </w:p>
        </w:tc>
        <w:tc>
          <w:tcPr>
            <w:tcW w:w="403" w:type="pct"/>
            <w:vAlign w:val="center"/>
          </w:tcPr>
          <w:p w14:paraId="096A1DC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193E1D9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0681FED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3BF3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25C88FC7">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w:t>
            </w:r>
          </w:p>
        </w:tc>
        <w:tc>
          <w:tcPr>
            <w:tcW w:w="1333" w:type="pct"/>
            <w:vAlign w:val="center"/>
          </w:tcPr>
          <w:p w14:paraId="7BADBECD">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工位室体非标设备</w:t>
            </w:r>
          </w:p>
        </w:tc>
        <w:tc>
          <w:tcPr>
            <w:tcW w:w="403" w:type="pct"/>
            <w:vAlign w:val="center"/>
          </w:tcPr>
          <w:p w14:paraId="31FAD58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6CFA800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0947AED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6C18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177192B0">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1333" w:type="pct"/>
            <w:vAlign w:val="center"/>
          </w:tcPr>
          <w:p w14:paraId="41691E5D">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烘干室体、强冷室体非标设备</w:t>
            </w:r>
          </w:p>
        </w:tc>
        <w:tc>
          <w:tcPr>
            <w:tcW w:w="403" w:type="pct"/>
            <w:vAlign w:val="center"/>
          </w:tcPr>
          <w:p w14:paraId="1D2F3BE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0890E7B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75151BF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4A4A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8B0E869">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1333" w:type="pct"/>
            <w:vAlign w:val="center"/>
          </w:tcPr>
          <w:p w14:paraId="4AC84D2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水泵</w:t>
            </w:r>
          </w:p>
        </w:tc>
        <w:tc>
          <w:tcPr>
            <w:tcW w:w="403" w:type="pct"/>
            <w:vAlign w:val="center"/>
          </w:tcPr>
          <w:p w14:paraId="710D549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653A773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4179C5B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不含地坑排污泵，地坑排污泵提资由</w:t>
            </w:r>
            <w:r>
              <w:rPr>
                <w:rFonts w:hint="eastAsia" w:ascii="宋体" w:hAnsi="宋体" w:eastAsia="宋体" w:cs="宋体"/>
                <w:sz w:val="24"/>
                <w:szCs w:val="24"/>
                <w:lang w:eastAsia="zh-CN"/>
              </w:rPr>
              <w:t>投标人</w:t>
            </w:r>
            <w:r>
              <w:rPr>
                <w:rFonts w:hint="eastAsia" w:ascii="宋体" w:hAnsi="宋体" w:eastAsia="宋体" w:cs="宋体"/>
                <w:sz w:val="24"/>
                <w:szCs w:val="24"/>
              </w:rPr>
              <w:t>负责</w:t>
            </w:r>
          </w:p>
        </w:tc>
      </w:tr>
      <w:tr w14:paraId="2CB49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E850CBF">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1333" w:type="pct"/>
            <w:vAlign w:val="center"/>
          </w:tcPr>
          <w:p w14:paraId="7DC5E6D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送排风机</w:t>
            </w:r>
          </w:p>
        </w:tc>
        <w:tc>
          <w:tcPr>
            <w:tcW w:w="403" w:type="pct"/>
            <w:vAlign w:val="center"/>
          </w:tcPr>
          <w:p w14:paraId="1F30484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16EAB63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502530C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空调风机除外</w:t>
            </w:r>
          </w:p>
        </w:tc>
      </w:tr>
      <w:tr w14:paraId="6E802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7FB954B7">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1333" w:type="pct"/>
            <w:vAlign w:val="center"/>
          </w:tcPr>
          <w:p w14:paraId="09C443B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风淋室</w:t>
            </w:r>
          </w:p>
        </w:tc>
        <w:tc>
          <w:tcPr>
            <w:tcW w:w="403" w:type="pct"/>
            <w:vAlign w:val="center"/>
          </w:tcPr>
          <w:p w14:paraId="30B1389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3B3CFAF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75844B1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含喷漆室及车间入口风淋室</w:t>
            </w:r>
          </w:p>
        </w:tc>
      </w:tr>
      <w:tr w14:paraId="3546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7436416">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c>
          <w:tcPr>
            <w:tcW w:w="1333" w:type="pct"/>
            <w:vAlign w:val="center"/>
          </w:tcPr>
          <w:p w14:paraId="0DCB45B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滑橇清洗间</w:t>
            </w:r>
          </w:p>
        </w:tc>
        <w:tc>
          <w:tcPr>
            <w:tcW w:w="403" w:type="pct"/>
            <w:vAlign w:val="center"/>
          </w:tcPr>
          <w:p w14:paraId="36BEF8A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6173CF1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5D069EE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含清洗设备</w:t>
            </w:r>
          </w:p>
        </w:tc>
      </w:tr>
      <w:tr w14:paraId="5DC93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6AFF846">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9</w:t>
            </w:r>
          </w:p>
        </w:tc>
        <w:tc>
          <w:tcPr>
            <w:tcW w:w="1333" w:type="pct"/>
            <w:vAlign w:val="center"/>
          </w:tcPr>
          <w:p w14:paraId="32CE3AFD">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lang w:eastAsia="zh-CN"/>
              </w:rPr>
            </w:pPr>
            <w:r>
              <w:rPr>
                <w:rFonts w:hint="eastAsia" w:ascii="宋体" w:hAnsi="宋体" w:eastAsia="宋体" w:cs="宋体"/>
                <w:sz w:val="24"/>
                <w:szCs w:val="24"/>
              </w:rPr>
              <w:t>机器</w:t>
            </w:r>
            <w:r>
              <w:rPr>
                <w:rFonts w:hint="eastAsia" w:ascii="宋体" w:hAnsi="宋体" w:eastAsia="宋体" w:cs="宋体"/>
                <w:sz w:val="24"/>
                <w:szCs w:val="24"/>
                <w:lang w:eastAsia="zh-CN"/>
              </w:rPr>
              <w:t>人</w:t>
            </w:r>
          </w:p>
        </w:tc>
        <w:tc>
          <w:tcPr>
            <w:tcW w:w="403" w:type="pct"/>
            <w:vAlign w:val="center"/>
          </w:tcPr>
          <w:p w14:paraId="42A48A4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3A0135B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0032687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44CA8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245BE8E6">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10</w:t>
            </w:r>
          </w:p>
        </w:tc>
        <w:tc>
          <w:tcPr>
            <w:tcW w:w="1333" w:type="pct"/>
            <w:vAlign w:val="center"/>
          </w:tcPr>
          <w:p w14:paraId="71D7F15D">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输调漆系统</w:t>
            </w:r>
          </w:p>
        </w:tc>
        <w:tc>
          <w:tcPr>
            <w:tcW w:w="403" w:type="pct"/>
            <w:vAlign w:val="center"/>
          </w:tcPr>
          <w:p w14:paraId="36A1CCC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5D825C5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7C511E9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3B01B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A79581B">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11</w:t>
            </w:r>
          </w:p>
        </w:tc>
        <w:tc>
          <w:tcPr>
            <w:tcW w:w="1333" w:type="pct"/>
            <w:vAlign w:val="center"/>
          </w:tcPr>
          <w:p w14:paraId="1F9299A7">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供胶系统、供蜡系统</w:t>
            </w:r>
          </w:p>
        </w:tc>
        <w:tc>
          <w:tcPr>
            <w:tcW w:w="403" w:type="pct"/>
            <w:vAlign w:val="center"/>
          </w:tcPr>
          <w:p w14:paraId="49E8577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0A5C60C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04105AE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044C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648756A">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12</w:t>
            </w:r>
          </w:p>
        </w:tc>
        <w:tc>
          <w:tcPr>
            <w:tcW w:w="1333" w:type="pct"/>
            <w:vAlign w:val="center"/>
          </w:tcPr>
          <w:p w14:paraId="3CF40DEF">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涂装</w:t>
            </w:r>
            <w:r>
              <w:rPr>
                <w:rFonts w:hint="eastAsia" w:ascii="宋体" w:hAnsi="宋体" w:eastAsia="宋体" w:cs="宋体"/>
                <w:sz w:val="24"/>
                <w:szCs w:val="24"/>
              </w:rPr>
              <w:t>机械化输送</w:t>
            </w:r>
          </w:p>
        </w:tc>
        <w:tc>
          <w:tcPr>
            <w:tcW w:w="403" w:type="pct"/>
            <w:vAlign w:val="center"/>
          </w:tcPr>
          <w:p w14:paraId="2123441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42748EE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06CD260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4A36B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7E00874F">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13</w:t>
            </w:r>
          </w:p>
        </w:tc>
        <w:tc>
          <w:tcPr>
            <w:tcW w:w="1333" w:type="pct"/>
            <w:vAlign w:val="center"/>
          </w:tcPr>
          <w:p w14:paraId="0FE6BCBC">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涂装</w:t>
            </w:r>
            <w:r>
              <w:rPr>
                <w:rFonts w:hint="eastAsia" w:ascii="宋体" w:hAnsi="宋体" w:eastAsia="宋体" w:cs="宋体"/>
                <w:sz w:val="24"/>
                <w:szCs w:val="24"/>
              </w:rPr>
              <w:t>电气</w:t>
            </w:r>
          </w:p>
        </w:tc>
        <w:tc>
          <w:tcPr>
            <w:tcW w:w="403" w:type="pct"/>
            <w:vAlign w:val="center"/>
          </w:tcPr>
          <w:p w14:paraId="333FE9F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5BEE931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3D93712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5CC9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EC084B5">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14</w:t>
            </w:r>
          </w:p>
        </w:tc>
        <w:tc>
          <w:tcPr>
            <w:tcW w:w="1333" w:type="pct"/>
            <w:vAlign w:val="center"/>
          </w:tcPr>
          <w:p w14:paraId="3E798628">
            <w:pPr>
              <w:pStyle w:val="17"/>
              <w:keepNext w:val="0"/>
              <w:keepLines w:val="0"/>
              <w:pageBreakBefore w:val="0"/>
              <w:numPr>
                <w:ilvl w:val="0"/>
                <w:numId w:val="0"/>
              </w:numPr>
              <w:kinsoku/>
              <w:overflowPunct/>
              <w:topLinePunct w:val="0"/>
              <w:bidi w:val="0"/>
              <w:adjustRightInd w:val="0"/>
              <w:snapToGrid w:val="0"/>
              <w:spacing w:before="0" w:after="0"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涂装</w:t>
            </w:r>
            <w:r>
              <w:rPr>
                <w:rFonts w:hint="eastAsia" w:ascii="宋体" w:hAnsi="宋体" w:eastAsia="宋体" w:cs="宋体"/>
                <w:sz w:val="24"/>
                <w:szCs w:val="24"/>
              </w:rPr>
              <w:t>中控室</w:t>
            </w:r>
          </w:p>
        </w:tc>
        <w:tc>
          <w:tcPr>
            <w:tcW w:w="403" w:type="pct"/>
            <w:vAlign w:val="center"/>
          </w:tcPr>
          <w:p w14:paraId="516B8D2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p>
        </w:tc>
        <w:tc>
          <w:tcPr>
            <w:tcW w:w="476" w:type="pct"/>
            <w:vAlign w:val="center"/>
          </w:tcPr>
          <w:p w14:paraId="610A03A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套</w:t>
            </w:r>
          </w:p>
        </w:tc>
        <w:tc>
          <w:tcPr>
            <w:tcW w:w="2449" w:type="pct"/>
            <w:vAlign w:val="center"/>
          </w:tcPr>
          <w:p w14:paraId="47F15E3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lang w:eastAsia="zh-CN"/>
              </w:rPr>
              <w:t>详见相关附件</w:t>
            </w:r>
          </w:p>
        </w:tc>
      </w:tr>
      <w:tr w14:paraId="603B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240D476C">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c>
          <w:tcPr>
            <w:tcW w:w="1333" w:type="pct"/>
            <w:vAlign w:val="center"/>
          </w:tcPr>
          <w:p w14:paraId="101B3C0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内饰线</w:t>
            </w:r>
          </w:p>
        </w:tc>
        <w:tc>
          <w:tcPr>
            <w:tcW w:w="403" w:type="pct"/>
            <w:vAlign w:val="center"/>
          </w:tcPr>
          <w:p w14:paraId="455946C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4F201CF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72EBD3B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18工位设备主体利旧、部分改造。含存储手推台车</w:t>
            </w:r>
          </w:p>
        </w:tc>
      </w:tr>
      <w:tr w14:paraId="73D3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851B7BF">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16</w:t>
            </w:r>
          </w:p>
        </w:tc>
        <w:tc>
          <w:tcPr>
            <w:tcW w:w="1333" w:type="pct"/>
            <w:vAlign w:val="center"/>
          </w:tcPr>
          <w:p w14:paraId="76C923D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底盘线</w:t>
            </w:r>
          </w:p>
        </w:tc>
        <w:tc>
          <w:tcPr>
            <w:tcW w:w="403" w:type="pct"/>
            <w:vAlign w:val="center"/>
          </w:tcPr>
          <w:p w14:paraId="1A94226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66AD034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3F7891D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lang w:val="en-US"/>
              </w:rPr>
            </w:pPr>
            <w:r>
              <w:rPr>
                <w:rFonts w:hint="eastAsia" w:ascii="宋体" w:hAnsi="宋体" w:eastAsia="宋体" w:cs="宋体"/>
                <w:sz w:val="24"/>
                <w:szCs w:val="24"/>
              </w:rPr>
              <w:t>14</w:t>
            </w:r>
            <w:r>
              <w:rPr>
                <w:rFonts w:hint="eastAsia" w:ascii="宋体" w:hAnsi="宋体" w:cs="宋体"/>
                <w:sz w:val="24"/>
                <w:szCs w:val="24"/>
                <w:lang w:val="en-US" w:eastAsia="zh-CN"/>
              </w:rPr>
              <w:t>个</w:t>
            </w:r>
            <w:r>
              <w:rPr>
                <w:rFonts w:hint="eastAsia" w:ascii="宋体" w:hAnsi="宋体" w:eastAsia="宋体" w:cs="宋体"/>
                <w:sz w:val="24"/>
                <w:szCs w:val="24"/>
              </w:rPr>
              <w:t>工位</w:t>
            </w:r>
          </w:p>
        </w:tc>
      </w:tr>
      <w:tr w14:paraId="27A40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6ACEC74C">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17</w:t>
            </w:r>
          </w:p>
        </w:tc>
        <w:tc>
          <w:tcPr>
            <w:tcW w:w="1333" w:type="pct"/>
            <w:vAlign w:val="center"/>
          </w:tcPr>
          <w:p w14:paraId="115E48A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完成线</w:t>
            </w:r>
          </w:p>
        </w:tc>
        <w:tc>
          <w:tcPr>
            <w:tcW w:w="403" w:type="pct"/>
            <w:vAlign w:val="center"/>
          </w:tcPr>
          <w:p w14:paraId="3497B92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25B8DFE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27564B1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lang w:val="en-US" w:eastAsia="zh-CN"/>
              </w:rPr>
            </w:pPr>
            <w:r>
              <w:rPr>
                <w:rFonts w:hint="eastAsia" w:ascii="宋体" w:hAnsi="宋体" w:eastAsia="宋体" w:cs="宋体"/>
                <w:sz w:val="24"/>
                <w:szCs w:val="24"/>
              </w:rPr>
              <w:t>18工</w:t>
            </w:r>
            <w:r>
              <w:rPr>
                <w:rFonts w:hint="eastAsia" w:ascii="宋体" w:hAnsi="宋体" w:cs="宋体"/>
                <w:sz w:val="24"/>
                <w:szCs w:val="24"/>
                <w:lang w:val="en-US" w:eastAsia="zh-CN"/>
              </w:rPr>
              <w:t>个</w:t>
            </w:r>
            <w:r>
              <w:rPr>
                <w:rFonts w:hint="eastAsia" w:ascii="宋体" w:hAnsi="宋体" w:eastAsia="宋体" w:cs="宋体"/>
                <w:sz w:val="24"/>
                <w:szCs w:val="24"/>
              </w:rPr>
              <w:t>位</w:t>
            </w:r>
          </w:p>
        </w:tc>
      </w:tr>
      <w:tr w14:paraId="2FF97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780761D8">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18</w:t>
            </w:r>
          </w:p>
        </w:tc>
        <w:tc>
          <w:tcPr>
            <w:tcW w:w="1333" w:type="pct"/>
            <w:vAlign w:val="center"/>
          </w:tcPr>
          <w:p w14:paraId="15FE5D1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仪表分装线</w:t>
            </w:r>
          </w:p>
        </w:tc>
        <w:tc>
          <w:tcPr>
            <w:tcW w:w="403" w:type="pct"/>
            <w:vAlign w:val="center"/>
          </w:tcPr>
          <w:p w14:paraId="1B02FF3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7D548FE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680AC70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5个有效工位，8个台车</w:t>
            </w:r>
          </w:p>
        </w:tc>
      </w:tr>
      <w:tr w14:paraId="4CFB9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6090D3F4">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19</w:t>
            </w:r>
          </w:p>
        </w:tc>
        <w:tc>
          <w:tcPr>
            <w:tcW w:w="1333" w:type="pct"/>
            <w:vAlign w:val="center"/>
          </w:tcPr>
          <w:p w14:paraId="74EFE9B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检测线</w:t>
            </w:r>
          </w:p>
        </w:tc>
        <w:tc>
          <w:tcPr>
            <w:tcW w:w="403" w:type="pct"/>
            <w:vAlign w:val="center"/>
          </w:tcPr>
          <w:p w14:paraId="4783D2A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0F6D743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10A324A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非接触式四轮定位；地轨式灯光检测</w:t>
            </w:r>
          </w:p>
        </w:tc>
      </w:tr>
      <w:tr w14:paraId="50F53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EEB0F74">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20</w:t>
            </w:r>
          </w:p>
        </w:tc>
        <w:tc>
          <w:tcPr>
            <w:tcW w:w="1333" w:type="pct"/>
            <w:vAlign w:val="center"/>
          </w:tcPr>
          <w:p w14:paraId="078B37A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淋雨吹水线</w:t>
            </w:r>
          </w:p>
        </w:tc>
        <w:tc>
          <w:tcPr>
            <w:tcW w:w="403" w:type="pct"/>
            <w:vAlign w:val="center"/>
          </w:tcPr>
          <w:p w14:paraId="2E04990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7D8F8D9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0EF8DAC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双板带利旧原有完成线单板带</w:t>
            </w:r>
          </w:p>
        </w:tc>
      </w:tr>
      <w:tr w14:paraId="491F5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1B99B528">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21</w:t>
            </w:r>
          </w:p>
        </w:tc>
        <w:tc>
          <w:tcPr>
            <w:tcW w:w="1333" w:type="pct"/>
            <w:vAlign w:val="center"/>
          </w:tcPr>
          <w:p w14:paraId="12A3763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点补设备</w:t>
            </w:r>
          </w:p>
        </w:tc>
        <w:tc>
          <w:tcPr>
            <w:tcW w:w="403" w:type="pct"/>
            <w:vAlign w:val="center"/>
          </w:tcPr>
          <w:p w14:paraId="22A0CFF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5946763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47BAC39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6FC7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4F69F9BB">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22</w:t>
            </w:r>
          </w:p>
        </w:tc>
        <w:tc>
          <w:tcPr>
            <w:tcW w:w="1333" w:type="pct"/>
            <w:vAlign w:val="center"/>
          </w:tcPr>
          <w:p w14:paraId="622DBE0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举升机</w:t>
            </w:r>
          </w:p>
        </w:tc>
        <w:tc>
          <w:tcPr>
            <w:tcW w:w="403" w:type="pct"/>
            <w:vAlign w:val="center"/>
          </w:tcPr>
          <w:p w14:paraId="07E725B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476" w:type="pct"/>
            <w:vAlign w:val="center"/>
          </w:tcPr>
          <w:p w14:paraId="06490C52">
            <w:pPr>
              <w:keepNext w:val="0"/>
              <w:keepLines w:val="0"/>
              <w:pageBreakBefore w:val="0"/>
              <w:kinsoku/>
              <w:overflowPunct/>
              <w:topLinePunct w:val="0"/>
              <w:bidi w:val="0"/>
              <w:adjustRightInd w:val="0"/>
              <w:snapToGrid w:val="0"/>
              <w:spacing w:afterAutospacing="0" w:line="240" w:lineRule="auto"/>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套</w:t>
            </w:r>
          </w:p>
        </w:tc>
        <w:tc>
          <w:tcPr>
            <w:tcW w:w="2449" w:type="pct"/>
            <w:vAlign w:val="center"/>
          </w:tcPr>
          <w:p w14:paraId="57B2A25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27B1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7ABEF018">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23</w:t>
            </w:r>
          </w:p>
        </w:tc>
        <w:tc>
          <w:tcPr>
            <w:tcW w:w="1333" w:type="pct"/>
            <w:vAlign w:val="center"/>
          </w:tcPr>
          <w:p w14:paraId="7B7197F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风挡涂胶设备</w:t>
            </w:r>
          </w:p>
        </w:tc>
        <w:tc>
          <w:tcPr>
            <w:tcW w:w="403" w:type="pct"/>
            <w:vAlign w:val="center"/>
          </w:tcPr>
          <w:p w14:paraId="4A8A4DC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08EAFA5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2DEF00F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自动涂胶</w:t>
            </w:r>
          </w:p>
        </w:tc>
      </w:tr>
      <w:tr w14:paraId="410E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4D7DBF55">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w:t>
            </w:r>
          </w:p>
        </w:tc>
        <w:tc>
          <w:tcPr>
            <w:tcW w:w="1333" w:type="pct"/>
            <w:vAlign w:val="center"/>
          </w:tcPr>
          <w:p w14:paraId="6171E49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前后桥分装台</w:t>
            </w:r>
          </w:p>
        </w:tc>
        <w:tc>
          <w:tcPr>
            <w:tcW w:w="403" w:type="pct"/>
            <w:vAlign w:val="center"/>
          </w:tcPr>
          <w:p w14:paraId="67B34B7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5D2DCB0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282AC43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4D831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41F4D5A">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w:t>
            </w:r>
          </w:p>
        </w:tc>
        <w:tc>
          <w:tcPr>
            <w:tcW w:w="1333" w:type="pct"/>
            <w:vAlign w:val="center"/>
          </w:tcPr>
          <w:p w14:paraId="2917D26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电池合装AGV</w:t>
            </w:r>
          </w:p>
        </w:tc>
        <w:tc>
          <w:tcPr>
            <w:tcW w:w="403" w:type="pct"/>
            <w:vAlign w:val="center"/>
          </w:tcPr>
          <w:p w14:paraId="7073D07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75BBFC0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7BFD9B4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3台</w:t>
            </w:r>
          </w:p>
        </w:tc>
      </w:tr>
      <w:tr w14:paraId="63E68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BCB3BA0">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26</w:t>
            </w:r>
          </w:p>
        </w:tc>
        <w:tc>
          <w:tcPr>
            <w:tcW w:w="1333" w:type="pct"/>
            <w:vAlign w:val="center"/>
          </w:tcPr>
          <w:p w14:paraId="11C03E2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前后桥合装AGV</w:t>
            </w:r>
          </w:p>
        </w:tc>
        <w:tc>
          <w:tcPr>
            <w:tcW w:w="403" w:type="pct"/>
            <w:vAlign w:val="center"/>
          </w:tcPr>
          <w:p w14:paraId="785E4E1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4EAAB81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6A5EE93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3台</w:t>
            </w:r>
          </w:p>
        </w:tc>
      </w:tr>
      <w:tr w14:paraId="13C9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16D31148">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27</w:t>
            </w:r>
          </w:p>
        </w:tc>
        <w:tc>
          <w:tcPr>
            <w:tcW w:w="1333" w:type="pct"/>
            <w:vAlign w:val="center"/>
          </w:tcPr>
          <w:p w14:paraId="72E7D1A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电动拧紧装置</w:t>
            </w:r>
          </w:p>
        </w:tc>
        <w:tc>
          <w:tcPr>
            <w:tcW w:w="403" w:type="pct"/>
            <w:vAlign w:val="center"/>
          </w:tcPr>
          <w:p w14:paraId="08677BA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04CF3D1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0E6613C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轮胎拧紧机、中心螺母拧紧机</w:t>
            </w:r>
          </w:p>
        </w:tc>
      </w:tr>
      <w:tr w14:paraId="61C00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109EDAB2">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28</w:t>
            </w:r>
          </w:p>
        </w:tc>
        <w:tc>
          <w:tcPr>
            <w:tcW w:w="1333" w:type="pct"/>
            <w:vAlign w:val="center"/>
          </w:tcPr>
          <w:p w14:paraId="1E00D01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加注设备</w:t>
            </w:r>
          </w:p>
        </w:tc>
        <w:tc>
          <w:tcPr>
            <w:tcW w:w="403" w:type="pct"/>
            <w:vAlign w:val="center"/>
          </w:tcPr>
          <w:p w14:paraId="39CBC03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p>
        </w:tc>
        <w:tc>
          <w:tcPr>
            <w:tcW w:w="476" w:type="pct"/>
            <w:vAlign w:val="center"/>
          </w:tcPr>
          <w:p w14:paraId="6B04E7E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4FEA668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线边加注设备、返修加注设备</w:t>
            </w:r>
          </w:p>
        </w:tc>
      </w:tr>
      <w:tr w14:paraId="79B84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008C1C3A">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29</w:t>
            </w:r>
          </w:p>
        </w:tc>
        <w:tc>
          <w:tcPr>
            <w:tcW w:w="1333" w:type="pct"/>
            <w:vAlign w:val="center"/>
          </w:tcPr>
          <w:p w14:paraId="7E387F4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激光标签打刻设备</w:t>
            </w:r>
          </w:p>
        </w:tc>
        <w:tc>
          <w:tcPr>
            <w:tcW w:w="403" w:type="pct"/>
            <w:vAlign w:val="center"/>
          </w:tcPr>
          <w:p w14:paraId="2CF78CB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0213ED0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4E990F4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19ED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20EB122F">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30</w:t>
            </w:r>
          </w:p>
        </w:tc>
        <w:tc>
          <w:tcPr>
            <w:tcW w:w="1333" w:type="pct"/>
            <w:vAlign w:val="center"/>
          </w:tcPr>
          <w:p w14:paraId="5295E97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轮胎装配机械手</w:t>
            </w:r>
          </w:p>
        </w:tc>
        <w:tc>
          <w:tcPr>
            <w:tcW w:w="403" w:type="pct"/>
            <w:vAlign w:val="center"/>
          </w:tcPr>
          <w:p w14:paraId="1E893F7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476" w:type="pct"/>
            <w:vAlign w:val="center"/>
          </w:tcPr>
          <w:p w14:paraId="575E865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7F27D84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1305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462F4EFD">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31</w:t>
            </w:r>
          </w:p>
        </w:tc>
        <w:tc>
          <w:tcPr>
            <w:tcW w:w="1333" w:type="pct"/>
            <w:vAlign w:val="center"/>
          </w:tcPr>
          <w:p w14:paraId="645BDFF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仪表板装配机械手</w:t>
            </w:r>
          </w:p>
        </w:tc>
        <w:tc>
          <w:tcPr>
            <w:tcW w:w="403" w:type="pct"/>
            <w:vAlign w:val="center"/>
          </w:tcPr>
          <w:p w14:paraId="7ABA2A0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2AEA120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6C2ED77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13132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26051FAD">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w:t>
            </w:r>
          </w:p>
        </w:tc>
        <w:tc>
          <w:tcPr>
            <w:tcW w:w="1333" w:type="pct"/>
            <w:vAlign w:val="center"/>
          </w:tcPr>
          <w:p w14:paraId="35590A8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bookmarkStart w:id="10" w:name="OLE_LINK10"/>
            <w:r>
              <w:rPr>
                <w:rFonts w:hint="eastAsia" w:ascii="宋体" w:hAnsi="宋体" w:eastAsia="宋体" w:cs="宋体"/>
                <w:sz w:val="24"/>
                <w:szCs w:val="24"/>
              </w:rPr>
              <w:t>滑移门装配机械手</w:t>
            </w:r>
            <w:bookmarkEnd w:id="10"/>
          </w:p>
        </w:tc>
        <w:tc>
          <w:tcPr>
            <w:tcW w:w="403" w:type="pct"/>
            <w:vAlign w:val="center"/>
          </w:tcPr>
          <w:p w14:paraId="5517C73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7BB1FBE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0783691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滑移门装配机械手</w:t>
            </w:r>
          </w:p>
        </w:tc>
      </w:tr>
      <w:tr w14:paraId="3E7F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2B9D69E4">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33</w:t>
            </w:r>
          </w:p>
        </w:tc>
        <w:tc>
          <w:tcPr>
            <w:tcW w:w="1333" w:type="pct"/>
            <w:vAlign w:val="center"/>
          </w:tcPr>
          <w:p w14:paraId="4F3516A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color w:val="000000"/>
                <w:sz w:val="24"/>
                <w:szCs w:val="24"/>
              </w:rPr>
              <w:t>整车电检</w:t>
            </w:r>
          </w:p>
        </w:tc>
        <w:tc>
          <w:tcPr>
            <w:tcW w:w="403" w:type="pct"/>
            <w:vAlign w:val="center"/>
          </w:tcPr>
          <w:p w14:paraId="39854E4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34EC06A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49BC496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26618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188A849D">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34</w:t>
            </w:r>
          </w:p>
        </w:tc>
        <w:tc>
          <w:tcPr>
            <w:tcW w:w="1333" w:type="pct"/>
            <w:vAlign w:val="center"/>
          </w:tcPr>
          <w:p w14:paraId="165477F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color w:val="000000"/>
                <w:sz w:val="24"/>
                <w:szCs w:val="24"/>
              </w:rPr>
              <w:t>新能源安规设备</w:t>
            </w:r>
          </w:p>
        </w:tc>
        <w:tc>
          <w:tcPr>
            <w:tcW w:w="403" w:type="pct"/>
            <w:vAlign w:val="center"/>
          </w:tcPr>
          <w:p w14:paraId="7F697FA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476" w:type="pct"/>
            <w:vAlign w:val="center"/>
          </w:tcPr>
          <w:p w14:paraId="63D8F23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0AD39AC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587C9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4A4BF97D">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35</w:t>
            </w:r>
          </w:p>
        </w:tc>
        <w:tc>
          <w:tcPr>
            <w:tcW w:w="1333" w:type="pct"/>
            <w:vAlign w:val="center"/>
          </w:tcPr>
          <w:p w14:paraId="5B195D8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rPr>
              <w:t>快慢充功能检查设备</w:t>
            </w:r>
          </w:p>
        </w:tc>
        <w:tc>
          <w:tcPr>
            <w:tcW w:w="403" w:type="pct"/>
            <w:vAlign w:val="center"/>
          </w:tcPr>
          <w:p w14:paraId="5CEAE49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393AFB0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7DED9E3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4C4C5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705000A0">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36</w:t>
            </w:r>
          </w:p>
        </w:tc>
        <w:tc>
          <w:tcPr>
            <w:tcW w:w="1333" w:type="pct"/>
            <w:vAlign w:val="center"/>
          </w:tcPr>
          <w:p w14:paraId="59CF445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color w:val="000000"/>
                <w:sz w:val="24"/>
                <w:szCs w:val="24"/>
              </w:rPr>
              <w:t>充电桩</w:t>
            </w:r>
          </w:p>
        </w:tc>
        <w:tc>
          <w:tcPr>
            <w:tcW w:w="403" w:type="pct"/>
            <w:vAlign w:val="center"/>
          </w:tcPr>
          <w:p w14:paraId="36BE52E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476" w:type="pct"/>
            <w:vAlign w:val="center"/>
          </w:tcPr>
          <w:p w14:paraId="0896C33C">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台</w:t>
            </w:r>
          </w:p>
        </w:tc>
        <w:tc>
          <w:tcPr>
            <w:tcW w:w="2449" w:type="pct"/>
            <w:vAlign w:val="center"/>
          </w:tcPr>
          <w:p w14:paraId="6826409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5541D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26F0196">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37</w:t>
            </w:r>
          </w:p>
        </w:tc>
        <w:tc>
          <w:tcPr>
            <w:tcW w:w="1333" w:type="pct"/>
            <w:vAlign w:val="center"/>
          </w:tcPr>
          <w:p w14:paraId="1F8A637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加热箱</w:t>
            </w:r>
          </w:p>
        </w:tc>
        <w:tc>
          <w:tcPr>
            <w:tcW w:w="403" w:type="pct"/>
            <w:vAlign w:val="center"/>
          </w:tcPr>
          <w:p w14:paraId="3AC6A20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476" w:type="pct"/>
            <w:vAlign w:val="center"/>
          </w:tcPr>
          <w:p w14:paraId="7E6B4E3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个</w:t>
            </w:r>
          </w:p>
        </w:tc>
        <w:tc>
          <w:tcPr>
            <w:tcW w:w="2449" w:type="pct"/>
            <w:vAlign w:val="center"/>
          </w:tcPr>
          <w:p w14:paraId="098E268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sz w:val="24"/>
                <w:szCs w:val="24"/>
                <w:lang w:eastAsia="zh-CN"/>
              </w:rPr>
              <w:t>详见相关附件</w:t>
            </w:r>
          </w:p>
        </w:tc>
      </w:tr>
      <w:tr w14:paraId="0E2E5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54A49E70">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38</w:t>
            </w:r>
          </w:p>
        </w:tc>
        <w:tc>
          <w:tcPr>
            <w:tcW w:w="1333" w:type="pct"/>
            <w:vAlign w:val="center"/>
          </w:tcPr>
          <w:p w14:paraId="242C45F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KBK+吊具</w:t>
            </w:r>
          </w:p>
        </w:tc>
        <w:tc>
          <w:tcPr>
            <w:tcW w:w="403" w:type="pct"/>
            <w:vAlign w:val="center"/>
          </w:tcPr>
          <w:p w14:paraId="35A3C9F8">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476" w:type="pct"/>
            <w:vAlign w:val="center"/>
          </w:tcPr>
          <w:p w14:paraId="282924D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539BA2AF">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7.2mx6m；6台载荷500kg、2台载荷1000kg</w:t>
            </w:r>
          </w:p>
        </w:tc>
      </w:tr>
      <w:tr w14:paraId="56D8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351BF97">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39</w:t>
            </w:r>
          </w:p>
        </w:tc>
        <w:tc>
          <w:tcPr>
            <w:tcW w:w="1333" w:type="pct"/>
            <w:vAlign w:val="center"/>
          </w:tcPr>
          <w:p w14:paraId="77AB2A45">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生产辅助工具及设备</w:t>
            </w:r>
          </w:p>
        </w:tc>
        <w:tc>
          <w:tcPr>
            <w:tcW w:w="403" w:type="pct"/>
            <w:vAlign w:val="center"/>
          </w:tcPr>
          <w:p w14:paraId="3A263CF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0CAF991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494D1E6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详见技术要求清单（根据后续设计给出）</w:t>
            </w:r>
          </w:p>
        </w:tc>
      </w:tr>
      <w:tr w14:paraId="4C7A2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337" w:type="pct"/>
            <w:vAlign w:val="center"/>
          </w:tcPr>
          <w:p w14:paraId="340DEBBA">
            <w:pPr>
              <w:pStyle w:val="263"/>
              <w:keepNext w:val="0"/>
              <w:keepLines w:val="0"/>
              <w:pageBreakBefore w:val="0"/>
              <w:kinsoku/>
              <w:overflowPunct/>
              <w:topLinePunct w:val="0"/>
              <w:bidi w:val="0"/>
              <w:adjustRightInd w:val="0"/>
              <w:snapToGrid w:val="0"/>
              <w:spacing w:afterAutospacing="0" w:line="240" w:lineRule="auto"/>
              <w:ind w:firstLine="0" w:firstLineChars="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40</w:t>
            </w:r>
          </w:p>
        </w:tc>
        <w:tc>
          <w:tcPr>
            <w:tcW w:w="1333" w:type="pct"/>
            <w:vAlign w:val="center"/>
          </w:tcPr>
          <w:p w14:paraId="04DFAD67">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钢结构及支管线设备</w:t>
            </w:r>
          </w:p>
        </w:tc>
        <w:tc>
          <w:tcPr>
            <w:tcW w:w="403" w:type="pct"/>
            <w:vAlign w:val="center"/>
          </w:tcPr>
          <w:p w14:paraId="386B39A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476" w:type="pct"/>
            <w:vAlign w:val="center"/>
          </w:tcPr>
          <w:p w14:paraId="7699C2F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套</w:t>
            </w:r>
          </w:p>
        </w:tc>
        <w:tc>
          <w:tcPr>
            <w:tcW w:w="2449" w:type="pct"/>
            <w:vAlign w:val="center"/>
          </w:tcPr>
          <w:p w14:paraId="1713235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利旧原厂钢结构及风扇、照明</w:t>
            </w:r>
          </w:p>
        </w:tc>
      </w:tr>
    </w:tbl>
    <w:p w14:paraId="6B08CBC8">
      <w:pPr>
        <w:pStyle w:val="17"/>
        <w:keepNext w:val="0"/>
        <w:keepLines w:val="0"/>
        <w:pageBreakBefore w:val="0"/>
        <w:kinsoku/>
        <w:overflowPunct/>
        <w:topLinePunct w:val="0"/>
        <w:bidi w:val="0"/>
        <w:adjustRightInd w:val="0"/>
        <w:snapToGrid w:val="0"/>
        <w:spacing w:before="0" w:after="0" w:afterAutospacing="0" w:line="360" w:lineRule="auto"/>
        <w:ind w:left="0" w:leftChars="0" w:firstLine="0" w:firstLineChars="0"/>
        <w:rPr>
          <w:color w:val="000000"/>
        </w:rPr>
      </w:pPr>
      <w:bookmarkStart w:id="11" w:name="_Toc460830391"/>
      <w:r>
        <w:rPr>
          <w:color w:val="000000"/>
        </w:rPr>
        <w:t>备注：</w:t>
      </w:r>
    </w:p>
    <w:p w14:paraId="185B6397">
      <w:pPr>
        <w:pStyle w:val="17"/>
        <w:keepNext w:val="0"/>
        <w:keepLines w:val="0"/>
        <w:pageBreakBefore w:val="0"/>
        <w:kinsoku/>
        <w:overflowPunct/>
        <w:topLinePunct w:val="0"/>
        <w:bidi w:val="0"/>
        <w:adjustRightInd w:val="0"/>
        <w:snapToGrid w:val="0"/>
        <w:spacing w:before="0" w:after="0" w:afterAutospacing="0" w:line="360" w:lineRule="auto"/>
        <w:ind w:left="0" w:leftChars="0" w:firstLine="0" w:firstLineChars="0"/>
        <w:rPr>
          <w:rFonts w:hint="eastAsia" w:eastAsia="宋体"/>
          <w:color w:val="000000"/>
          <w:lang w:eastAsia="zh-CN"/>
        </w:rPr>
      </w:pPr>
      <w:r>
        <w:rPr>
          <w:color w:val="000000"/>
        </w:rPr>
        <w:t>1）载具数量</w:t>
      </w:r>
      <w:r>
        <w:rPr>
          <w:rFonts w:hint="eastAsia"/>
          <w:color w:val="000000"/>
          <w:lang w:eastAsia="zh-CN"/>
        </w:rPr>
        <w:t>投标人</w:t>
      </w:r>
      <w:r>
        <w:rPr>
          <w:color w:val="000000"/>
        </w:rPr>
        <w:t>应根据自己的设备能力选择合适的载具数量，各个输送段不得出现返回段载具数量不足的情况。</w:t>
      </w:r>
      <w:bookmarkEnd w:id="11"/>
      <w:r>
        <w:rPr>
          <w:color w:val="000000"/>
        </w:rPr>
        <w:t>（车间内所有电器柜采用相同规格大小，及相同色号）</w:t>
      </w:r>
      <w:r>
        <w:rPr>
          <w:rFonts w:hint="eastAsia"/>
          <w:color w:val="000000"/>
          <w:lang w:eastAsia="zh-CN"/>
        </w:rPr>
        <w:t>。</w:t>
      </w:r>
    </w:p>
    <w:p w14:paraId="06133EC3">
      <w:pPr>
        <w:pStyle w:val="17"/>
        <w:keepNext w:val="0"/>
        <w:keepLines w:val="0"/>
        <w:pageBreakBefore w:val="0"/>
        <w:kinsoku/>
        <w:overflowPunct/>
        <w:topLinePunct w:val="0"/>
        <w:bidi w:val="0"/>
        <w:adjustRightInd w:val="0"/>
        <w:snapToGrid w:val="0"/>
        <w:spacing w:before="0" w:after="0" w:afterAutospacing="0" w:line="360" w:lineRule="auto"/>
        <w:ind w:left="0" w:leftChars="0" w:firstLine="0" w:firstLineChars="0"/>
        <w:rPr>
          <w:color w:val="000000"/>
        </w:rPr>
      </w:pPr>
      <w:bookmarkStart w:id="12" w:name="_Toc460830392"/>
      <w:r>
        <w:rPr>
          <w:color w:val="000000"/>
        </w:rPr>
        <w:t>2）本项目所有设备为交钥匙工程，</w:t>
      </w:r>
      <w:r>
        <w:rPr>
          <w:rFonts w:hint="eastAsia"/>
          <w:color w:val="000000"/>
          <w:lang w:eastAsia="zh-CN"/>
        </w:rPr>
        <w:t>投标人</w:t>
      </w:r>
      <w:r>
        <w:rPr>
          <w:color w:val="000000"/>
        </w:rPr>
        <w:t>负责本项目所有软硬件的设计、制造、包装、运输、安装、调试、升级、交验、出合格产品、操作维护人员培训、质量保证、售后服务等工作。</w:t>
      </w:r>
      <w:bookmarkEnd w:id="12"/>
    </w:p>
    <w:p w14:paraId="32FB56C1">
      <w:pPr>
        <w:pStyle w:val="17"/>
        <w:pageBreakBefore w:val="0"/>
        <w:kinsoku/>
        <w:wordWrap/>
        <w:topLinePunct w:val="0"/>
        <w:autoSpaceDE w:val="0"/>
        <w:autoSpaceDN w:val="0"/>
        <w:bidi w:val="0"/>
        <w:adjustRightInd w:val="0"/>
        <w:snapToGrid w:val="0"/>
        <w:spacing w:before="0" w:after="0" w:afterAutospacing="0" w:line="360" w:lineRule="auto"/>
        <w:ind w:left="0" w:leftChars="0" w:firstLine="0" w:firstLineChars="0"/>
        <w:jc w:val="left"/>
        <w:rPr>
          <w:rFonts w:hint="eastAsia" w:ascii="宋体" w:hAnsi="宋体" w:eastAsia="宋体" w:cs="宋体"/>
          <w:sz w:val="24"/>
        </w:rPr>
      </w:pPr>
      <w:r>
        <w:rPr>
          <w:color w:val="000000"/>
        </w:rPr>
        <w:t>3）为满足</w:t>
      </w:r>
      <w:r>
        <w:rPr>
          <w:rFonts w:hint="eastAsia"/>
          <w:color w:val="000000"/>
          <w:lang w:eastAsia="zh-CN"/>
        </w:rPr>
        <w:t>招标人</w:t>
      </w:r>
      <w:r>
        <w:rPr>
          <w:color w:val="000000"/>
        </w:rPr>
        <w:t>多车型生产，抱具以及其它支具后支撑预留设计可调整滑轨，滑升降机设计可调整装置。</w:t>
      </w:r>
    </w:p>
    <w:p w14:paraId="41A5C1E0">
      <w:pPr>
        <w:pStyle w:val="17"/>
        <w:pageBreakBefore w:val="0"/>
        <w:widowControl/>
        <w:numPr>
          <w:ilvl w:val="0"/>
          <w:numId w:val="6"/>
        </w:numPr>
        <w:kinsoku/>
        <w:wordWrap/>
        <w:topLinePunct w:val="0"/>
        <w:autoSpaceDE/>
        <w:autoSpaceDN/>
        <w:bidi w:val="0"/>
        <w:adjustRightInd w:val="0"/>
        <w:snapToGrid w:val="0"/>
        <w:spacing w:before="0" w:after="0"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bCs/>
          <w:color w:val="000000" w:themeColor="text1"/>
          <w:sz w:val="24"/>
          <w14:textFill>
            <w14:solidFill>
              <w14:schemeClr w14:val="tx1"/>
            </w14:solidFill>
          </w14:textFill>
        </w:rPr>
        <w:t>本项目为利旧改造项目，</w:t>
      </w:r>
      <w:r>
        <w:rPr>
          <w:rFonts w:hint="eastAsia" w:ascii="宋体" w:hAnsi="宋体" w:cs="宋体"/>
          <w:bCs/>
          <w:color w:val="000000" w:themeColor="text1"/>
          <w:sz w:val="24"/>
          <w:lang w:eastAsia="zh-CN"/>
          <w14:textFill>
            <w14:solidFill>
              <w14:schemeClr w14:val="tx1"/>
            </w14:solidFill>
          </w14:textFill>
        </w:rPr>
        <w:t>投标人</w:t>
      </w:r>
      <w:r>
        <w:rPr>
          <w:rFonts w:hint="eastAsia" w:ascii="宋体" w:hAnsi="宋体" w:eastAsia="宋体" w:cs="宋体"/>
          <w:bCs/>
          <w:color w:val="000000" w:themeColor="text1"/>
          <w:sz w:val="24"/>
          <w14:textFill>
            <w14:solidFill>
              <w14:schemeClr w14:val="tx1"/>
            </w14:solidFill>
          </w14:textFill>
        </w:rPr>
        <w:t>应尽可能利旧现场设备(包含但不限于风机、灯箱、室体壁板、玻璃、格栅、过滤框架、动静压室、卷帘门、地下风道</w:t>
      </w:r>
      <w:r>
        <w:rPr>
          <w:rFonts w:hint="eastAsia" w:ascii="宋体" w:hAnsi="宋体" w:cs="宋体"/>
          <w:bCs/>
          <w:color w:val="000000" w:themeColor="text1"/>
          <w:sz w:val="24"/>
          <w:lang w:eastAsia="zh-CN"/>
          <w14:textFill>
            <w14:solidFill>
              <w14:schemeClr w14:val="tx1"/>
            </w14:solidFill>
          </w14:textFill>
        </w:rPr>
        <w:t>、钢结构、机械化输送设备</w:t>
      </w:r>
      <w:r>
        <w:rPr>
          <w:rFonts w:hint="eastAsia" w:ascii="宋体" w:hAnsi="宋体" w:eastAsia="宋体" w:cs="宋体"/>
          <w:bCs/>
          <w:color w:val="000000" w:themeColor="text1"/>
          <w:sz w:val="24"/>
          <w14:textFill>
            <w14:solidFill>
              <w14:schemeClr w14:val="tx1"/>
            </w14:solidFill>
          </w14:textFill>
        </w:rPr>
        <w:t>等)，无法利旧的设备可重新制作并安装，详细方案由</w:t>
      </w:r>
      <w:r>
        <w:rPr>
          <w:rFonts w:hint="eastAsia" w:ascii="宋体" w:hAnsi="宋体" w:cs="宋体"/>
          <w:bCs/>
          <w:color w:val="000000" w:themeColor="text1"/>
          <w:sz w:val="24"/>
          <w:lang w:eastAsia="zh-CN"/>
          <w14:textFill>
            <w14:solidFill>
              <w14:schemeClr w14:val="tx1"/>
            </w14:solidFill>
          </w14:textFill>
        </w:rPr>
        <w:t>投标人</w:t>
      </w:r>
      <w:r>
        <w:rPr>
          <w:rFonts w:hint="eastAsia" w:ascii="宋体" w:hAnsi="宋体" w:eastAsia="宋体" w:cs="宋体"/>
          <w:bCs/>
          <w:color w:val="000000" w:themeColor="text1"/>
          <w:sz w:val="24"/>
          <w14:textFill>
            <w14:solidFill>
              <w14:schemeClr w14:val="tx1"/>
            </w14:solidFill>
          </w14:textFill>
        </w:rPr>
        <w:t>自行设计。</w:t>
      </w:r>
      <w:r>
        <w:rPr>
          <w:rFonts w:hint="eastAsia"/>
          <w:lang w:eastAsia="zh-CN"/>
        </w:rPr>
        <w:t>投标人</w:t>
      </w:r>
      <w:r>
        <w:t>提供所有设备所用专用工具、标定装置，并进行标定培训。</w:t>
      </w:r>
    </w:p>
    <w:p w14:paraId="49F85372">
      <w:pPr>
        <w:pStyle w:val="17"/>
        <w:pageBreakBefore w:val="0"/>
        <w:widowControl/>
        <w:numPr>
          <w:ilvl w:val="0"/>
          <w:numId w:val="6"/>
        </w:numPr>
        <w:kinsoku/>
        <w:wordWrap/>
        <w:topLinePunct w:val="0"/>
        <w:autoSpaceDE/>
        <w:autoSpaceDN/>
        <w:bidi w:val="0"/>
        <w:adjustRightInd w:val="0"/>
        <w:snapToGrid w:val="0"/>
        <w:spacing w:before="0" w:after="0" w:afterAutospacing="0" w:line="360" w:lineRule="auto"/>
        <w:ind w:left="0" w:leftChars="0" w:firstLine="0" w:firstLineChars="0"/>
        <w:jc w:val="left"/>
        <w:rPr>
          <w:rFonts w:hint="eastAsia" w:ascii="宋体" w:hAnsi="宋体" w:eastAsia="宋体" w:cs="宋体"/>
          <w:sz w:val="24"/>
        </w:rPr>
      </w:pPr>
      <w:r>
        <w:t>双方共同确认的机械易损件清单</w:t>
      </w:r>
      <w:r>
        <w:rPr>
          <w:rFonts w:hint="eastAsia"/>
          <w:lang w:eastAsia="zh-CN"/>
        </w:rPr>
        <w:t>需</w:t>
      </w:r>
      <w:r>
        <w:t>提供图纸、材质</w:t>
      </w:r>
      <w:r>
        <w:rPr>
          <w:rFonts w:hint="eastAsia"/>
          <w:lang w:eastAsia="zh-CN"/>
        </w:rPr>
        <w:t>，</w:t>
      </w:r>
      <w:r>
        <w:t>电气元件清单。</w:t>
      </w:r>
    </w:p>
    <w:p w14:paraId="7F22DEB5">
      <w:pPr>
        <w:pStyle w:val="17"/>
        <w:pageBreakBefore w:val="0"/>
        <w:widowControl/>
        <w:numPr>
          <w:ilvl w:val="-1"/>
          <w:numId w:val="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val="en-US" w:eastAsia="zh-CN"/>
        </w:rPr>
        <w:t>2.</w:t>
      </w:r>
      <w:r>
        <w:rPr>
          <w:rFonts w:hint="eastAsia" w:ascii="宋体" w:hAnsi="宋体" w:eastAsia="宋体" w:cs="宋体"/>
        </w:rPr>
        <w:t>出图进度要求</w:t>
      </w:r>
    </w:p>
    <w:p w14:paraId="67B2F8A2">
      <w:pPr>
        <w:pStyle w:val="17"/>
        <w:pageBreakBefore w:val="0"/>
        <w:numPr>
          <w:ilvl w:val="0"/>
          <w:numId w:val="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和土建、动能有关的设备基础图以及动能需求，要求在定标后1</w:t>
      </w:r>
      <w:r>
        <w:rPr>
          <w:rFonts w:hint="eastAsia" w:ascii="宋体" w:hAnsi="宋体" w:cs="宋体"/>
          <w:lang w:val="en-US" w:eastAsia="zh-CN"/>
        </w:rPr>
        <w:t>0</w:t>
      </w:r>
      <w:r>
        <w:rPr>
          <w:rFonts w:hint="eastAsia" w:ascii="宋体" w:hAnsi="宋体" w:eastAsia="宋体" w:cs="宋体"/>
        </w:rPr>
        <w:t>天内出图。</w:t>
      </w:r>
    </w:p>
    <w:p w14:paraId="25B04ED5">
      <w:pPr>
        <w:pStyle w:val="17"/>
        <w:keepNext w:val="0"/>
        <w:keepLines w:val="0"/>
        <w:pageBreakBefore w:val="0"/>
        <w:widowControl w:val="0"/>
        <w:numPr>
          <w:ilvl w:val="0"/>
          <w:numId w:val="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设备施工设计给土建、特构、公用施工设计提供资料的原则和进度：合同签订后1</w:t>
      </w:r>
      <w:r>
        <w:rPr>
          <w:rFonts w:hint="eastAsia" w:ascii="宋体" w:hAnsi="宋体" w:cs="宋体"/>
          <w:lang w:val="en-US" w:eastAsia="zh-CN"/>
        </w:rPr>
        <w:t>0</w:t>
      </w:r>
      <w:r>
        <w:rPr>
          <w:rFonts w:hint="eastAsia" w:ascii="宋体" w:hAnsi="宋体" w:eastAsia="宋体" w:cs="宋体"/>
        </w:rPr>
        <w:t>天内提全土建施工设计资料，以不影响土建施工设计进度为原则，对不影响土建施工的资料要在1个月之内提供完毕，如影响土建施工进度按商务合同相关条款执行。</w:t>
      </w:r>
      <w:bookmarkStart w:id="13" w:name="_Toc4812_WPSOffice_Level2"/>
      <w:bookmarkStart w:id="14" w:name="_Toc10317_WPSOffice_Level2"/>
      <w:bookmarkStart w:id="15" w:name="_Toc9071_WPSOffice_Level2"/>
      <w:bookmarkStart w:id="16" w:name="_Toc32011_WPSOffice_Level2"/>
      <w:bookmarkStart w:id="17" w:name="_Toc12759_WPSOffice_Level2"/>
    </w:p>
    <w:p w14:paraId="10C64339">
      <w:pPr>
        <w:pStyle w:val="17"/>
        <w:pageBreakBefore w:val="0"/>
        <w:numPr>
          <w:ilvl w:val="0"/>
          <w:numId w:val="7"/>
        </w:numPr>
        <w:kinsoku/>
        <w:wordWrap/>
        <w:topLinePunct w:val="0"/>
        <w:bidi w:val="0"/>
        <w:adjustRightInd w:val="0"/>
        <w:snapToGrid w:val="0"/>
        <w:spacing w:before="0" w:after="0" w:afterAutospacing="0" w:line="360" w:lineRule="auto"/>
        <w:ind w:left="425" w:leftChars="0" w:hanging="425" w:firstLineChars="0"/>
        <w:rPr>
          <w:rFonts w:hint="eastAsia"/>
        </w:rPr>
      </w:pPr>
      <w:r>
        <w:rPr>
          <w:rFonts w:hint="eastAsia" w:ascii="宋体" w:hAnsi="宋体" w:eastAsia="宋体" w:cs="宋体"/>
        </w:rPr>
        <w:t>要满足并达到</w:t>
      </w:r>
      <w:r>
        <w:rPr>
          <w:rFonts w:hint="eastAsia" w:ascii="宋体" w:hAnsi="宋体" w:cs="宋体"/>
          <w:lang w:eastAsia="zh-CN"/>
        </w:rPr>
        <w:t>车间</w:t>
      </w:r>
      <w:r>
        <w:rPr>
          <w:rFonts w:hint="eastAsia" w:ascii="宋体" w:hAnsi="宋体" w:eastAsia="宋体" w:cs="宋体"/>
        </w:rPr>
        <w:t>厂房、土建、施工设计的要求，确保</w:t>
      </w:r>
      <w:r>
        <w:rPr>
          <w:rFonts w:hint="eastAsia" w:ascii="宋体" w:hAnsi="宋体" w:cs="宋体"/>
          <w:lang w:eastAsia="zh-CN"/>
        </w:rPr>
        <w:t>招标人</w:t>
      </w:r>
      <w:r>
        <w:rPr>
          <w:rFonts w:hint="eastAsia" w:ascii="宋体" w:hAnsi="宋体" w:eastAsia="宋体" w:cs="宋体"/>
        </w:rPr>
        <w:t>土建施工设计进度。</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1772"/>
        <w:gridCol w:w="5022"/>
        <w:gridCol w:w="1933"/>
      </w:tblGrid>
      <w:tr w14:paraId="4A44F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478" w:type="pct"/>
            <w:vAlign w:val="center"/>
          </w:tcPr>
          <w:p w14:paraId="0D6565B9">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序号</w:t>
            </w:r>
          </w:p>
        </w:tc>
        <w:tc>
          <w:tcPr>
            <w:tcW w:w="918" w:type="pct"/>
            <w:vAlign w:val="center"/>
          </w:tcPr>
          <w:p w14:paraId="094972FC">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图纸类别</w:t>
            </w:r>
          </w:p>
        </w:tc>
        <w:tc>
          <w:tcPr>
            <w:tcW w:w="2601" w:type="pct"/>
            <w:vAlign w:val="center"/>
          </w:tcPr>
          <w:p w14:paraId="6A61AEC5">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图纸名称</w:t>
            </w:r>
          </w:p>
        </w:tc>
        <w:tc>
          <w:tcPr>
            <w:tcW w:w="1001" w:type="pct"/>
            <w:vAlign w:val="center"/>
          </w:tcPr>
          <w:p w14:paraId="6F2FC5E9">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完成时间</w:t>
            </w:r>
          </w:p>
        </w:tc>
      </w:tr>
      <w:tr w14:paraId="685F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78" w:type="pct"/>
            <w:vAlign w:val="center"/>
          </w:tcPr>
          <w:p w14:paraId="5105A9B0">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1</w:t>
            </w:r>
          </w:p>
        </w:tc>
        <w:tc>
          <w:tcPr>
            <w:tcW w:w="918" w:type="pct"/>
            <w:vMerge w:val="restart"/>
            <w:vAlign w:val="center"/>
          </w:tcPr>
          <w:p w14:paraId="11CDEDAB">
            <w:pPr>
              <w:pageBreakBefore w:val="0"/>
              <w:kinsoku/>
              <w:wordWrap/>
              <w:topLinePunct w:val="0"/>
              <w:autoSpaceDE w:val="0"/>
              <w:autoSpaceDN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总图、原理图（CAD格式）</w:t>
            </w:r>
          </w:p>
        </w:tc>
        <w:tc>
          <w:tcPr>
            <w:tcW w:w="2601" w:type="pct"/>
            <w:vAlign w:val="center"/>
          </w:tcPr>
          <w:p w14:paraId="25230108">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系统总图、设备基础图</w:t>
            </w:r>
          </w:p>
        </w:tc>
        <w:tc>
          <w:tcPr>
            <w:tcW w:w="1001" w:type="pct"/>
            <w:vAlign w:val="center"/>
          </w:tcPr>
          <w:p w14:paraId="7F8C7C49">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w:t>
            </w:r>
            <w:r>
              <w:rPr>
                <w:rFonts w:hint="eastAsia" w:ascii="宋体" w:hAnsi="宋体" w:eastAsia="宋体" w:cs="宋体"/>
                <w:sz w:val="24"/>
                <w:szCs w:val="24"/>
                <w:lang w:val="en-US" w:eastAsia="zh-CN"/>
              </w:rPr>
              <w:t>10</w:t>
            </w:r>
            <w:r>
              <w:rPr>
                <w:rFonts w:hint="eastAsia" w:ascii="宋体" w:hAnsi="宋体" w:eastAsia="宋体" w:cs="宋体"/>
                <w:sz w:val="24"/>
                <w:szCs w:val="24"/>
                <w:lang w:val="de-DE"/>
              </w:rPr>
              <w:t>天内</w:t>
            </w:r>
          </w:p>
        </w:tc>
      </w:tr>
      <w:tr w14:paraId="32ED8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78" w:type="pct"/>
            <w:vAlign w:val="center"/>
          </w:tcPr>
          <w:p w14:paraId="69D4933C">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2</w:t>
            </w:r>
          </w:p>
        </w:tc>
        <w:tc>
          <w:tcPr>
            <w:tcW w:w="918" w:type="pct"/>
            <w:vMerge w:val="continue"/>
            <w:vAlign w:val="center"/>
          </w:tcPr>
          <w:p w14:paraId="209AF7A7">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4F1D574A">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平面图</w:t>
            </w:r>
          </w:p>
        </w:tc>
        <w:tc>
          <w:tcPr>
            <w:tcW w:w="1001" w:type="pct"/>
            <w:vAlign w:val="center"/>
          </w:tcPr>
          <w:p w14:paraId="36C4D019">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定标后1</w:t>
            </w:r>
            <w:r>
              <w:rPr>
                <w:rFonts w:hint="eastAsia" w:ascii="宋体" w:hAnsi="宋体" w:eastAsia="宋体" w:cs="宋体"/>
                <w:sz w:val="24"/>
                <w:szCs w:val="24"/>
                <w:lang w:val="en-US" w:eastAsia="zh-CN"/>
              </w:rPr>
              <w:t>0</w:t>
            </w:r>
            <w:r>
              <w:rPr>
                <w:rFonts w:hint="eastAsia" w:ascii="宋体" w:hAnsi="宋体" w:eastAsia="宋体" w:cs="宋体"/>
                <w:sz w:val="24"/>
                <w:szCs w:val="24"/>
                <w:lang w:val="de-DE"/>
              </w:rPr>
              <w:t>天内</w:t>
            </w:r>
          </w:p>
        </w:tc>
      </w:tr>
      <w:tr w14:paraId="4D773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78" w:type="pct"/>
            <w:vAlign w:val="center"/>
          </w:tcPr>
          <w:p w14:paraId="0E2CE48B">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3</w:t>
            </w:r>
          </w:p>
        </w:tc>
        <w:tc>
          <w:tcPr>
            <w:tcW w:w="918" w:type="pct"/>
            <w:vMerge w:val="continue"/>
            <w:vAlign w:val="center"/>
          </w:tcPr>
          <w:p w14:paraId="1D65A602">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3B8DDC21">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剖面图</w:t>
            </w:r>
          </w:p>
        </w:tc>
        <w:tc>
          <w:tcPr>
            <w:tcW w:w="1001" w:type="pct"/>
            <w:vAlign w:val="center"/>
          </w:tcPr>
          <w:p w14:paraId="6BAFF3F5">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定标后1</w:t>
            </w:r>
            <w:r>
              <w:rPr>
                <w:rFonts w:hint="eastAsia" w:ascii="宋体" w:hAnsi="宋体" w:eastAsia="宋体" w:cs="宋体"/>
                <w:sz w:val="24"/>
                <w:szCs w:val="24"/>
                <w:lang w:val="en-US" w:eastAsia="zh-CN"/>
              </w:rPr>
              <w:t>0</w:t>
            </w:r>
            <w:r>
              <w:rPr>
                <w:rFonts w:hint="eastAsia" w:ascii="宋体" w:hAnsi="宋体" w:eastAsia="宋体" w:cs="宋体"/>
                <w:sz w:val="24"/>
                <w:szCs w:val="24"/>
                <w:lang w:val="de-DE"/>
              </w:rPr>
              <w:t>天内</w:t>
            </w:r>
          </w:p>
        </w:tc>
      </w:tr>
      <w:tr w14:paraId="2CAF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78" w:type="pct"/>
            <w:vAlign w:val="center"/>
          </w:tcPr>
          <w:p w14:paraId="0B5D0FF8">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4</w:t>
            </w:r>
          </w:p>
        </w:tc>
        <w:tc>
          <w:tcPr>
            <w:tcW w:w="918" w:type="pct"/>
            <w:vMerge w:val="continue"/>
            <w:vAlign w:val="center"/>
          </w:tcPr>
          <w:p w14:paraId="7281D09D">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4AA1F8BE">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安装施工图</w:t>
            </w:r>
          </w:p>
        </w:tc>
        <w:tc>
          <w:tcPr>
            <w:tcW w:w="1001" w:type="pct"/>
            <w:vAlign w:val="center"/>
          </w:tcPr>
          <w:p w14:paraId="292AE422">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w:t>
            </w:r>
            <w:r>
              <w:rPr>
                <w:rFonts w:hint="eastAsia" w:ascii="宋体" w:hAnsi="宋体" w:eastAsia="宋体" w:cs="宋体"/>
                <w:sz w:val="24"/>
                <w:szCs w:val="24"/>
                <w:lang w:val="en-US" w:eastAsia="zh-CN"/>
              </w:rPr>
              <w:t>1</w:t>
            </w:r>
            <w:r>
              <w:rPr>
                <w:rFonts w:hint="eastAsia" w:ascii="宋体" w:hAnsi="宋体" w:eastAsia="宋体" w:cs="宋体"/>
                <w:sz w:val="24"/>
                <w:szCs w:val="24"/>
              </w:rPr>
              <w:t>0</w:t>
            </w:r>
            <w:r>
              <w:rPr>
                <w:rFonts w:hint="eastAsia" w:ascii="宋体" w:hAnsi="宋体" w:eastAsia="宋体" w:cs="宋体"/>
                <w:sz w:val="24"/>
                <w:szCs w:val="24"/>
                <w:lang w:val="de-DE"/>
              </w:rPr>
              <w:t>天内</w:t>
            </w:r>
          </w:p>
        </w:tc>
      </w:tr>
      <w:tr w14:paraId="6D62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78" w:type="pct"/>
            <w:vAlign w:val="center"/>
          </w:tcPr>
          <w:p w14:paraId="05C41318">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5</w:t>
            </w:r>
          </w:p>
        </w:tc>
        <w:tc>
          <w:tcPr>
            <w:tcW w:w="918" w:type="pct"/>
            <w:vMerge w:val="continue"/>
            <w:vAlign w:val="center"/>
          </w:tcPr>
          <w:p w14:paraId="4221FFF3">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59210227">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电控系统和气动系统的控制原理图、布局图</w:t>
            </w:r>
          </w:p>
        </w:tc>
        <w:tc>
          <w:tcPr>
            <w:tcW w:w="1001" w:type="pct"/>
            <w:vAlign w:val="center"/>
          </w:tcPr>
          <w:p w14:paraId="4A803CF2">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w:t>
            </w:r>
            <w:r>
              <w:rPr>
                <w:rFonts w:hint="eastAsia" w:ascii="宋体" w:hAnsi="宋体" w:eastAsia="宋体" w:cs="宋体"/>
                <w:sz w:val="24"/>
                <w:szCs w:val="24"/>
              </w:rPr>
              <w:t>20</w:t>
            </w:r>
            <w:r>
              <w:rPr>
                <w:rFonts w:hint="eastAsia" w:ascii="宋体" w:hAnsi="宋体" w:eastAsia="宋体" w:cs="宋体"/>
                <w:sz w:val="24"/>
                <w:szCs w:val="24"/>
                <w:lang w:val="de-DE"/>
              </w:rPr>
              <w:t>天内</w:t>
            </w:r>
          </w:p>
        </w:tc>
      </w:tr>
      <w:tr w14:paraId="2FEB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478" w:type="pct"/>
            <w:vAlign w:val="center"/>
          </w:tcPr>
          <w:p w14:paraId="7751744F">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6</w:t>
            </w:r>
          </w:p>
        </w:tc>
        <w:tc>
          <w:tcPr>
            <w:tcW w:w="918" w:type="pct"/>
            <w:vMerge w:val="continue"/>
            <w:vAlign w:val="center"/>
          </w:tcPr>
          <w:p w14:paraId="14F1FD1F">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6BA31CF6">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气动系统的控制原理图、制造图</w:t>
            </w:r>
          </w:p>
        </w:tc>
        <w:tc>
          <w:tcPr>
            <w:tcW w:w="1001" w:type="pct"/>
            <w:vAlign w:val="center"/>
          </w:tcPr>
          <w:p w14:paraId="50A37763">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w:t>
            </w:r>
            <w:r>
              <w:rPr>
                <w:rFonts w:hint="eastAsia" w:ascii="宋体" w:hAnsi="宋体" w:eastAsia="宋体" w:cs="宋体"/>
                <w:sz w:val="24"/>
                <w:szCs w:val="24"/>
              </w:rPr>
              <w:t>20</w:t>
            </w:r>
            <w:r>
              <w:rPr>
                <w:rFonts w:hint="eastAsia" w:ascii="宋体" w:hAnsi="宋体" w:eastAsia="宋体" w:cs="宋体"/>
                <w:sz w:val="24"/>
                <w:szCs w:val="24"/>
                <w:lang w:val="de-DE"/>
              </w:rPr>
              <w:t>天内</w:t>
            </w:r>
          </w:p>
        </w:tc>
      </w:tr>
      <w:tr w14:paraId="6A03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9" w:hRule="atLeast"/>
          <w:jc w:val="center"/>
        </w:trPr>
        <w:tc>
          <w:tcPr>
            <w:tcW w:w="478" w:type="pct"/>
            <w:vAlign w:val="center"/>
          </w:tcPr>
          <w:p w14:paraId="3D74F49A">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7</w:t>
            </w:r>
          </w:p>
        </w:tc>
        <w:tc>
          <w:tcPr>
            <w:tcW w:w="918" w:type="pct"/>
            <w:vMerge w:val="continue"/>
            <w:vAlign w:val="center"/>
          </w:tcPr>
          <w:p w14:paraId="3BA289FF">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4F12E205">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保证生产所需的其他配套运输设备和全系统的钢结构设计</w:t>
            </w:r>
          </w:p>
        </w:tc>
        <w:tc>
          <w:tcPr>
            <w:tcW w:w="1001" w:type="pct"/>
            <w:vAlign w:val="center"/>
          </w:tcPr>
          <w:p w14:paraId="2EC44F37">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w:t>
            </w:r>
            <w:r>
              <w:rPr>
                <w:rFonts w:hint="eastAsia" w:ascii="宋体" w:hAnsi="宋体" w:eastAsia="宋体" w:cs="宋体"/>
                <w:sz w:val="24"/>
                <w:szCs w:val="24"/>
              </w:rPr>
              <w:t>20</w:t>
            </w:r>
            <w:r>
              <w:rPr>
                <w:rFonts w:hint="eastAsia" w:ascii="宋体" w:hAnsi="宋体" w:eastAsia="宋体" w:cs="宋体"/>
                <w:sz w:val="24"/>
                <w:szCs w:val="24"/>
                <w:lang w:val="de-DE"/>
              </w:rPr>
              <w:t>天内</w:t>
            </w:r>
          </w:p>
        </w:tc>
      </w:tr>
      <w:tr w14:paraId="1A467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478" w:type="pct"/>
            <w:vAlign w:val="center"/>
          </w:tcPr>
          <w:p w14:paraId="200D8F3A">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8</w:t>
            </w:r>
          </w:p>
        </w:tc>
        <w:tc>
          <w:tcPr>
            <w:tcW w:w="918" w:type="pct"/>
            <w:vMerge w:val="continue"/>
            <w:vAlign w:val="center"/>
          </w:tcPr>
          <w:p w14:paraId="752AB04B">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p>
        </w:tc>
        <w:tc>
          <w:tcPr>
            <w:tcW w:w="2601" w:type="pct"/>
            <w:vAlign w:val="center"/>
          </w:tcPr>
          <w:p w14:paraId="50BB2AAA">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电气控制系统PLC程序编写及操作界面设计</w:t>
            </w:r>
          </w:p>
        </w:tc>
        <w:tc>
          <w:tcPr>
            <w:tcW w:w="1001" w:type="pct"/>
            <w:vAlign w:val="center"/>
          </w:tcPr>
          <w:p w14:paraId="384F03A8">
            <w:pPr>
              <w:pageBreakBefore w:val="0"/>
              <w:widowControl/>
              <w:tabs>
                <w:tab w:val="left" w:pos="1134"/>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de-DE"/>
              </w:rPr>
            </w:pPr>
            <w:r>
              <w:rPr>
                <w:rFonts w:hint="eastAsia" w:ascii="宋体" w:hAnsi="宋体" w:eastAsia="宋体" w:cs="宋体"/>
                <w:sz w:val="24"/>
                <w:szCs w:val="24"/>
                <w:lang w:val="de-DE"/>
              </w:rPr>
              <w:t>定标后45天内</w:t>
            </w:r>
          </w:p>
        </w:tc>
      </w:tr>
    </w:tbl>
    <w:p w14:paraId="124472C1">
      <w:pPr>
        <w:pStyle w:val="17"/>
        <w:pageBreakBefore w:val="0"/>
        <w:widowControl/>
        <w:numPr>
          <w:ilvl w:val="-1"/>
          <w:numId w:val="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val="en-US" w:eastAsia="zh-CN"/>
        </w:rPr>
        <w:t>3.</w:t>
      </w:r>
      <w:r>
        <w:rPr>
          <w:rFonts w:hint="eastAsia" w:ascii="宋体" w:hAnsi="宋体" w:eastAsia="宋体" w:cs="宋体"/>
        </w:rPr>
        <w:t>项目具体工期要求：</w:t>
      </w:r>
    </w:p>
    <w:p w14:paraId="5F6EDFD3">
      <w:pPr>
        <w:pStyle w:val="17"/>
        <w:pageBreakBefore w:val="0"/>
        <w:numPr>
          <w:ilvl w:val="0"/>
          <w:numId w:val="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合同签订后10</w:t>
      </w:r>
      <w:r>
        <w:rPr>
          <w:rFonts w:hint="eastAsia" w:ascii="宋体" w:hAnsi="宋体" w:cs="宋体"/>
          <w:lang w:eastAsia="zh-CN"/>
        </w:rPr>
        <w:t>天</w:t>
      </w:r>
      <w:r>
        <w:rPr>
          <w:rFonts w:hint="eastAsia" w:ascii="宋体" w:hAnsi="宋体" w:eastAsia="宋体" w:cs="宋体"/>
        </w:rPr>
        <w:t>内完成图纸会签。</w:t>
      </w:r>
    </w:p>
    <w:p w14:paraId="7B7B2945">
      <w:pPr>
        <w:pStyle w:val="17"/>
        <w:pageBreakBefore w:val="0"/>
        <w:numPr>
          <w:ilvl w:val="0"/>
          <w:numId w:val="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合同签订后2个月内设备开始安装。</w:t>
      </w:r>
    </w:p>
    <w:p w14:paraId="1E52F0B2">
      <w:pPr>
        <w:pStyle w:val="17"/>
        <w:pageBreakBefore w:val="0"/>
        <w:numPr>
          <w:ilvl w:val="0"/>
          <w:numId w:val="8"/>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合同签订后4个月内完成主要设备的安装。</w:t>
      </w:r>
    </w:p>
    <w:p w14:paraId="74204502">
      <w:pPr>
        <w:pStyle w:val="17"/>
        <w:pageBreakBefore w:val="0"/>
        <w:numPr>
          <w:ilvl w:val="0"/>
          <w:numId w:val="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合同签订后5个月内完成设备调试，具备产品导入条件。</w:t>
      </w:r>
    </w:p>
    <w:p w14:paraId="5C990EF1">
      <w:pPr>
        <w:pStyle w:val="17"/>
        <w:pageBreakBefore w:val="0"/>
        <w:widowControl/>
        <w:numPr>
          <w:ilvl w:val="-1"/>
          <w:numId w:val="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val="en-US" w:eastAsia="zh-CN"/>
        </w:rPr>
        <w:t>4.</w:t>
      </w:r>
      <w:r>
        <w:rPr>
          <w:rFonts w:hint="eastAsia" w:ascii="宋体" w:hAnsi="宋体" w:eastAsia="宋体" w:cs="宋体"/>
        </w:rPr>
        <w:t>责任说明</w:t>
      </w:r>
    </w:p>
    <w:p w14:paraId="77B1155C">
      <w:pPr>
        <w:pageBreakBefore w:val="0"/>
        <w:numPr>
          <w:ilvl w:val="0"/>
          <w:numId w:val="9"/>
        </w:numPr>
        <w:kinsoku/>
        <w:wordWrap w:val="0"/>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责任</w:t>
      </w:r>
    </w:p>
    <w:p w14:paraId="0A5D1D52">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负责提供原</w:t>
      </w:r>
      <w:r>
        <w:rPr>
          <w:rFonts w:hint="eastAsia" w:ascii="宋体" w:hAnsi="宋体" w:cs="宋体"/>
          <w:sz w:val="24"/>
          <w:lang w:eastAsia="zh-CN"/>
        </w:rPr>
        <w:t>车间</w:t>
      </w:r>
      <w:r>
        <w:rPr>
          <w:rFonts w:hint="eastAsia" w:ascii="宋体" w:hAnsi="宋体" w:eastAsia="宋体" w:cs="宋体"/>
          <w:sz w:val="24"/>
        </w:rPr>
        <w:t>土建工程（包括设备基础）的资料；并负责提供原给排水、热水、压缩空气、天然气、电及公用管线资料。</w:t>
      </w:r>
    </w:p>
    <w:p w14:paraId="3DBE41DD">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按照</w:t>
      </w:r>
      <w:r>
        <w:rPr>
          <w:rFonts w:hint="eastAsia" w:ascii="宋体" w:hAnsi="宋体" w:cs="宋体"/>
          <w:sz w:val="24"/>
          <w:lang w:eastAsia="zh-CN"/>
        </w:rPr>
        <w:t>投标人</w:t>
      </w:r>
      <w:r>
        <w:rPr>
          <w:rFonts w:hint="eastAsia" w:ascii="宋体" w:hAnsi="宋体" w:eastAsia="宋体" w:cs="宋体"/>
          <w:sz w:val="24"/>
        </w:rPr>
        <w:t>进场计划分区域确保提前清场。</w:t>
      </w:r>
    </w:p>
    <w:p w14:paraId="141EDD45">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提供现场制造、安装的必要条件，包括运输通道、制作场地、原材料/设备存放地等。</w:t>
      </w:r>
    </w:p>
    <w:p w14:paraId="7E22B351">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为</w:t>
      </w:r>
      <w:r>
        <w:rPr>
          <w:rFonts w:hint="eastAsia" w:ascii="宋体" w:hAnsi="宋体" w:cs="宋体"/>
          <w:sz w:val="24"/>
          <w:lang w:eastAsia="zh-CN"/>
        </w:rPr>
        <w:t>投标人</w:t>
      </w:r>
      <w:r>
        <w:rPr>
          <w:rFonts w:hint="eastAsia" w:ascii="宋体" w:hAnsi="宋体" w:eastAsia="宋体" w:cs="宋体"/>
          <w:sz w:val="24"/>
        </w:rPr>
        <w:t>现场制造、安装尽可能提供相应的协助，如起吊、搬运工具等，费用由</w:t>
      </w:r>
      <w:r>
        <w:rPr>
          <w:rFonts w:hint="eastAsia" w:ascii="宋体" w:hAnsi="宋体" w:cs="宋体"/>
          <w:sz w:val="24"/>
          <w:lang w:eastAsia="zh-CN"/>
        </w:rPr>
        <w:t>投标人</w:t>
      </w:r>
      <w:r>
        <w:rPr>
          <w:rFonts w:hint="eastAsia" w:ascii="宋体" w:hAnsi="宋体" w:eastAsia="宋体" w:cs="宋体"/>
          <w:sz w:val="24"/>
        </w:rPr>
        <w:t>承担。</w:t>
      </w:r>
    </w:p>
    <w:p w14:paraId="2F15498D">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免费提供试生产所需的动力、能源、产品零件和全部的材料。</w:t>
      </w:r>
      <w:r>
        <w:rPr>
          <w:rFonts w:hint="eastAsia" w:ascii="宋体" w:hAnsi="宋体" w:cs="宋体"/>
          <w:sz w:val="24"/>
          <w:lang w:eastAsia="zh-CN"/>
        </w:rPr>
        <w:t>招标人</w:t>
      </w:r>
      <w:r>
        <w:rPr>
          <w:rFonts w:hint="eastAsia" w:ascii="宋体" w:hAnsi="宋体" w:eastAsia="宋体" w:cs="宋体"/>
          <w:sz w:val="24"/>
        </w:rPr>
        <w:t>操作人员及维护人员必须参加单机及全线调试，若因条件不足，不具备调试条件时，</w:t>
      </w:r>
      <w:r>
        <w:rPr>
          <w:rFonts w:hint="eastAsia" w:ascii="宋体" w:hAnsi="宋体" w:cs="宋体"/>
          <w:sz w:val="24"/>
          <w:lang w:eastAsia="zh-CN"/>
        </w:rPr>
        <w:t>招标人</w:t>
      </w:r>
      <w:r>
        <w:rPr>
          <w:rFonts w:hint="eastAsia" w:ascii="宋体" w:hAnsi="宋体" w:eastAsia="宋体" w:cs="宋体"/>
          <w:sz w:val="24"/>
        </w:rPr>
        <w:t>、</w:t>
      </w:r>
      <w:r>
        <w:rPr>
          <w:rFonts w:hint="eastAsia" w:ascii="宋体" w:hAnsi="宋体" w:cs="宋体"/>
          <w:sz w:val="24"/>
          <w:lang w:eastAsia="zh-CN"/>
        </w:rPr>
        <w:t>投标人</w:t>
      </w:r>
      <w:r>
        <w:rPr>
          <w:rFonts w:hint="eastAsia" w:ascii="宋体" w:hAnsi="宋体" w:eastAsia="宋体" w:cs="宋体"/>
          <w:sz w:val="24"/>
        </w:rPr>
        <w:t>双方另行商议。</w:t>
      </w:r>
    </w:p>
    <w:p w14:paraId="4B1DFCC9">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对</w:t>
      </w:r>
      <w:r>
        <w:rPr>
          <w:rFonts w:hint="eastAsia" w:ascii="宋体" w:hAnsi="宋体" w:cs="宋体"/>
          <w:sz w:val="24"/>
          <w:lang w:eastAsia="zh-CN"/>
        </w:rPr>
        <w:t>投标人</w:t>
      </w:r>
      <w:r>
        <w:rPr>
          <w:rFonts w:hint="eastAsia" w:ascii="宋体" w:hAnsi="宋体" w:eastAsia="宋体" w:cs="宋体"/>
          <w:sz w:val="24"/>
        </w:rPr>
        <w:t>有全面的监督检查权，有权审查施工制作单位、供货单位的资格、质量和信誉等。</w:t>
      </w:r>
    </w:p>
    <w:p w14:paraId="471D1B9C">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对本项目有全面的监督检查权，有权监督工程的施工进度，有权审查设备的制造、外购件的购置和设备的安装质量。</w:t>
      </w:r>
      <w:r>
        <w:rPr>
          <w:rFonts w:hint="eastAsia" w:ascii="宋体" w:hAnsi="宋体" w:cs="宋体"/>
          <w:sz w:val="24"/>
          <w:lang w:eastAsia="zh-CN"/>
        </w:rPr>
        <w:t>招标人</w:t>
      </w:r>
      <w:r>
        <w:rPr>
          <w:rFonts w:hint="eastAsia" w:ascii="宋体" w:hAnsi="宋体" w:eastAsia="宋体" w:cs="宋体"/>
          <w:sz w:val="24"/>
        </w:rPr>
        <w:t>若发现制造、安装和外购件质量等方面有问题，有权要求</w:t>
      </w:r>
      <w:r>
        <w:rPr>
          <w:rFonts w:hint="eastAsia" w:ascii="宋体" w:hAnsi="宋体" w:cs="宋体"/>
          <w:sz w:val="24"/>
          <w:lang w:eastAsia="zh-CN"/>
        </w:rPr>
        <w:t>投标人</w:t>
      </w:r>
      <w:r>
        <w:rPr>
          <w:rFonts w:hint="eastAsia" w:ascii="宋体" w:hAnsi="宋体" w:eastAsia="宋体" w:cs="宋体"/>
          <w:sz w:val="24"/>
        </w:rPr>
        <w:t>暂停设备的制造和安装。</w:t>
      </w:r>
      <w:r>
        <w:rPr>
          <w:rFonts w:hint="eastAsia" w:ascii="宋体" w:hAnsi="宋体" w:cs="宋体"/>
          <w:sz w:val="24"/>
          <w:lang w:eastAsia="zh-CN"/>
        </w:rPr>
        <w:t>投标人</w:t>
      </w:r>
      <w:r>
        <w:rPr>
          <w:rFonts w:hint="eastAsia" w:ascii="宋体" w:hAnsi="宋体" w:eastAsia="宋体" w:cs="宋体"/>
          <w:sz w:val="24"/>
        </w:rPr>
        <w:t>应立即采取措施，加以改进，直至达到规定的要求，并承担相应的费用。</w:t>
      </w:r>
    </w:p>
    <w:p w14:paraId="1294DE4D">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（设备使用单位）应按</w:t>
      </w:r>
      <w:r>
        <w:rPr>
          <w:rFonts w:hint="eastAsia" w:ascii="宋体" w:hAnsi="宋体" w:cs="宋体"/>
          <w:sz w:val="24"/>
          <w:lang w:eastAsia="zh-CN"/>
        </w:rPr>
        <w:t>投标人</w:t>
      </w:r>
      <w:r>
        <w:rPr>
          <w:rFonts w:hint="eastAsia" w:ascii="宋体" w:hAnsi="宋体" w:eastAsia="宋体" w:cs="宋体"/>
          <w:sz w:val="24"/>
        </w:rPr>
        <w:t>要求及时进行技术交底、组织工程竣工验收等各项工作。</w:t>
      </w:r>
    </w:p>
    <w:p w14:paraId="68D3C5D3">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（设备使用单位）按时派遣相关人员参加</w:t>
      </w:r>
      <w:r>
        <w:rPr>
          <w:rFonts w:hint="eastAsia" w:ascii="宋体" w:hAnsi="宋体" w:cs="宋体"/>
          <w:sz w:val="24"/>
          <w:lang w:eastAsia="zh-CN"/>
        </w:rPr>
        <w:t>投标人</w:t>
      </w:r>
      <w:r>
        <w:rPr>
          <w:rFonts w:hint="eastAsia" w:ascii="宋体" w:hAnsi="宋体" w:eastAsia="宋体" w:cs="宋体"/>
          <w:sz w:val="24"/>
        </w:rPr>
        <w:t>组织的技术培训。</w:t>
      </w:r>
    </w:p>
    <w:p w14:paraId="4A068AAC">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试生产阶段，以</w:t>
      </w:r>
      <w:r>
        <w:rPr>
          <w:rFonts w:hint="eastAsia" w:ascii="宋体" w:hAnsi="宋体" w:cs="宋体"/>
          <w:sz w:val="24"/>
          <w:lang w:eastAsia="zh-CN"/>
        </w:rPr>
        <w:t>招标人</w:t>
      </w:r>
      <w:r>
        <w:rPr>
          <w:rFonts w:hint="eastAsia" w:ascii="宋体" w:hAnsi="宋体" w:eastAsia="宋体" w:cs="宋体"/>
          <w:sz w:val="24"/>
        </w:rPr>
        <w:t>为主操作，</w:t>
      </w:r>
      <w:r>
        <w:rPr>
          <w:rFonts w:hint="eastAsia" w:ascii="宋体" w:hAnsi="宋体" w:cs="宋体"/>
          <w:sz w:val="24"/>
          <w:lang w:eastAsia="zh-CN"/>
        </w:rPr>
        <w:t>投标人</w:t>
      </w:r>
      <w:r>
        <w:rPr>
          <w:rFonts w:hint="eastAsia" w:ascii="宋体" w:hAnsi="宋体" w:eastAsia="宋体" w:cs="宋体"/>
          <w:sz w:val="24"/>
        </w:rPr>
        <w:t>积极配合、确保正常生产和产品质量。</w:t>
      </w:r>
    </w:p>
    <w:p w14:paraId="26C88582">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负责协调各供应商的关系，保证工程进度和质量。</w:t>
      </w:r>
    </w:p>
    <w:p w14:paraId="4092DE42">
      <w:pPr>
        <w:pageBreakBefore w:val="0"/>
        <w:numPr>
          <w:ilvl w:val="0"/>
          <w:numId w:val="1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应按本合同的规定将各期款项按时支付给</w:t>
      </w:r>
      <w:r>
        <w:rPr>
          <w:rFonts w:hint="eastAsia" w:ascii="宋体" w:hAnsi="宋体" w:cs="宋体"/>
          <w:sz w:val="24"/>
          <w:lang w:eastAsia="zh-CN"/>
        </w:rPr>
        <w:t>投标人</w:t>
      </w:r>
      <w:r>
        <w:rPr>
          <w:rFonts w:hint="eastAsia" w:ascii="宋体" w:hAnsi="宋体" w:eastAsia="宋体" w:cs="宋体"/>
          <w:sz w:val="24"/>
        </w:rPr>
        <w:t>。</w:t>
      </w:r>
    </w:p>
    <w:p w14:paraId="220E0108">
      <w:pPr>
        <w:pageBreakBefore w:val="0"/>
        <w:numPr>
          <w:ilvl w:val="0"/>
          <w:numId w:val="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责任</w:t>
      </w:r>
    </w:p>
    <w:p w14:paraId="2E17224D">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须负责原有设备的所有拆除工作，并提供拆除、利旧方案；合同签订后1个月内完成原有设备的拆除工作。期间所有必要资源、费用，由</w:t>
      </w:r>
      <w:r>
        <w:rPr>
          <w:rFonts w:hint="eastAsia" w:ascii="宋体" w:hAnsi="宋体" w:cs="宋体"/>
          <w:sz w:val="24"/>
          <w:lang w:eastAsia="zh-CN"/>
        </w:rPr>
        <w:t>投标人</w:t>
      </w:r>
      <w:r>
        <w:rPr>
          <w:rFonts w:hint="eastAsia" w:ascii="宋体" w:hAnsi="宋体" w:eastAsia="宋体" w:cs="宋体"/>
          <w:sz w:val="24"/>
        </w:rPr>
        <w:t>自行负责。</w:t>
      </w:r>
    </w:p>
    <w:p w14:paraId="677FEC7A">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val="en-US" w:eastAsia="zh-CN"/>
        </w:rPr>
        <w:t>投标人</w:t>
      </w:r>
      <w:r>
        <w:rPr>
          <w:rFonts w:hint="eastAsia" w:ascii="宋体" w:hAnsi="宋体" w:eastAsia="宋体" w:cs="宋体"/>
          <w:sz w:val="24"/>
          <w:lang w:val="en-US" w:eastAsia="zh-CN"/>
        </w:rPr>
        <w:t>涉及吊装使用的吊装平台等相关设施，由</w:t>
      </w:r>
      <w:r>
        <w:rPr>
          <w:rFonts w:hint="eastAsia" w:ascii="宋体" w:hAnsi="宋体" w:cs="宋体"/>
          <w:sz w:val="24"/>
          <w:lang w:val="en-US" w:eastAsia="zh-CN"/>
        </w:rPr>
        <w:t>投标人</w:t>
      </w:r>
      <w:r>
        <w:rPr>
          <w:rFonts w:hint="eastAsia" w:ascii="宋体" w:hAnsi="宋体" w:eastAsia="宋体" w:cs="宋体"/>
          <w:sz w:val="24"/>
          <w:lang w:val="en-US" w:eastAsia="zh-CN"/>
        </w:rPr>
        <w:t>自行解决。</w:t>
      </w:r>
    </w:p>
    <w:p w14:paraId="2BBE37D1">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须在规定时间内完成供货范围内的全部交货，由于</w:t>
      </w:r>
      <w:r>
        <w:rPr>
          <w:rFonts w:hint="eastAsia" w:ascii="宋体" w:hAnsi="宋体" w:cs="宋体"/>
          <w:sz w:val="24"/>
          <w:lang w:eastAsia="zh-CN"/>
        </w:rPr>
        <w:t>投标人</w:t>
      </w:r>
      <w:r>
        <w:rPr>
          <w:rFonts w:hint="eastAsia" w:ascii="宋体" w:hAnsi="宋体" w:eastAsia="宋体" w:cs="宋体"/>
          <w:sz w:val="24"/>
        </w:rPr>
        <w:t>原因而未能按合同规定的时间交工验收，</w:t>
      </w:r>
      <w:r>
        <w:rPr>
          <w:rFonts w:hint="eastAsia" w:ascii="宋体" w:hAnsi="宋体" w:cs="宋体"/>
          <w:sz w:val="24"/>
          <w:lang w:eastAsia="zh-CN"/>
        </w:rPr>
        <w:t>投标人</w:t>
      </w:r>
      <w:r>
        <w:rPr>
          <w:rFonts w:hint="eastAsia" w:ascii="宋体" w:hAnsi="宋体" w:eastAsia="宋体" w:cs="宋体"/>
          <w:sz w:val="24"/>
        </w:rPr>
        <w:t>要承担违约责任。</w:t>
      </w:r>
    </w:p>
    <w:p w14:paraId="66EFD3E9">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须对整套系统负全部责任，同时须提供良好的服务内容，并在中国大陆地区设有售后服务机构和设施，同时必须满足工程组织及服务要求条款中内容。</w:t>
      </w:r>
    </w:p>
    <w:p w14:paraId="3FF5CD21">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需提出设备安装、调试必需的外部技术及环境条件要求。</w:t>
      </w:r>
    </w:p>
    <w:p w14:paraId="21573927">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向</w:t>
      </w:r>
      <w:r>
        <w:rPr>
          <w:rFonts w:hint="eastAsia" w:ascii="宋体" w:hAnsi="宋体" w:cs="宋体"/>
          <w:sz w:val="24"/>
          <w:lang w:eastAsia="zh-CN"/>
        </w:rPr>
        <w:t>投标人</w:t>
      </w:r>
      <w:r>
        <w:rPr>
          <w:rFonts w:hint="eastAsia" w:ascii="宋体" w:hAnsi="宋体" w:eastAsia="宋体" w:cs="宋体"/>
          <w:sz w:val="24"/>
        </w:rPr>
        <w:t>提供的全部技术文件、技术交底材料，图纸，</w:t>
      </w:r>
      <w:r>
        <w:rPr>
          <w:rFonts w:hint="eastAsia" w:ascii="宋体" w:hAnsi="宋体" w:cs="宋体"/>
          <w:sz w:val="24"/>
          <w:lang w:eastAsia="zh-CN"/>
        </w:rPr>
        <w:t>投标人</w:t>
      </w:r>
      <w:r>
        <w:rPr>
          <w:rFonts w:hint="eastAsia" w:ascii="宋体" w:hAnsi="宋体" w:eastAsia="宋体" w:cs="宋体"/>
          <w:sz w:val="24"/>
        </w:rPr>
        <w:t>应妥善保管，不得提供给</w:t>
      </w:r>
      <w:r>
        <w:rPr>
          <w:rFonts w:hint="eastAsia" w:ascii="宋体" w:hAnsi="宋体" w:cs="宋体"/>
          <w:sz w:val="24"/>
          <w:lang w:eastAsia="zh-CN"/>
        </w:rPr>
        <w:t>招标人</w:t>
      </w:r>
      <w:r>
        <w:rPr>
          <w:rFonts w:hint="eastAsia" w:ascii="宋体" w:hAnsi="宋体" w:eastAsia="宋体" w:cs="宋体"/>
          <w:sz w:val="24"/>
        </w:rPr>
        <w:t>的竞争对手等第三方。如因</w:t>
      </w:r>
      <w:r>
        <w:rPr>
          <w:rFonts w:hint="eastAsia" w:ascii="宋体" w:hAnsi="宋体" w:cs="宋体"/>
          <w:sz w:val="24"/>
          <w:lang w:eastAsia="zh-CN"/>
        </w:rPr>
        <w:t>投标人</w:t>
      </w:r>
      <w:r>
        <w:rPr>
          <w:rFonts w:hint="eastAsia" w:ascii="宋体" w:hAnsi="宋体" w:eastAsia="宋体" w:cs="宋体"/>
          <w:sz w:val="24"/>
        </w:rPr>
        <w:t>违背上述规定而发生泄密或版权纠纷，</w:t>
      </w:r>
      <w:r>
        <w:rPr>
          <w:rFonts w:hint="eastAsia" w:ascii="宋体" w:hAnsi="宋体" w:cs="宋体"/>
          <w:sz w:val="24"/>
          <w:lang w:eastAsia="zh-CN"/>
        </w:rPr>
        <w:t>投标人</w:t>
      </w:r>
      <w:r>
        <w:rPr>
          <w:rFonts w:hint="eastAsia" w:ascii="宋体" w:hAnsi="宋体" w:eastAsia="宋体" w:cs="宋体"/>
          <w:sz w:val="24"/>
        </w:rPr>
        <w:t>应承担全部责任，图纸及技术文件的保密期为十年。</w:t>
      </w:r>
    </w:p>
    <w:p w14:paraId="0F26077C">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应仔细认真核对并消化会签图纸及设计技术资料，提供全部招标的设备方案供</w:t>
      </w:r>
      <w:r>
        <w:rPr>
          <w:rFonts w:hint="eastAsia" w:ascii="宋体" w:hAnsi="宋体" w:cs="宋体"/>
          <w:sz w:val="24"/>
          <w:lang w:eastAsia="zh-CN"/>
        </w:rPr>
        <w:t>招标人</w:t>
      </w:r>
      <w:r>
        <w:rPr>
          <w:rFonts w:hint="eastAsia" w:ascii="宋体" w:hAnsi="宋体" w:eastAsia="宋体" w:cs="宋体"/>
          <w:sz w:val="24"/>
        </w:rPr>
        <w:t>审定，包括设备配置、技术参数、施工工艺、工程组织计划、厂外预制及现场施工内容等，经审定确认其功能、材质及主要配件符合设计要求后方可进行生产，否则自行承担由此产生的后果。</w:t>
      </w:r>
    </w:p>
    <w:p w14:paraId="114BC23A">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的技术服务同样是工程项目的重要组成部分。为保证整体工程质量，</w:t>
      </w:r>
      <w:r>
        <w:rPr>
          <w:rFonts w:hint="eastAsia" w:ascii="宋体" w:hAnsi="宋体" w:cs="宋体"/>
          <w:sz w:val="24"/>
          <w:lang w:eastAsia="zh-CN"/>
        </w:rPr>
        <w:t>投标人</w:t>
      </w:r>
      <w:r>
        <w:rPr>
          <w:rFonts w:hint="eastAsia" w:ascii="宋体" w:hAnsi="宋体" w:eastAsia="宋体" w:cs="宋体"/>
          <w:sz w:val="24"/>
        </w:rPr>
        <w:t>应从投标开始就保证由各种经验丰富的专家组成专门的项目组。</w:t>
      </w:r>
      <w:r>
        <w:rPr>
          <w:rFonts w:hint="eastAsia" w:ascii="宋体" w:hAnsi="宋体" w:cs="宋体"/>
          <w:sz w:val="24"/>
          <w:lang w:eastAsia="zh-CN"/>
        </w:rPr>
        <w:t>投标人</w:t>
      </w:r>
      <w:r>
        <w:rPr>
          <w:rFonts w:hint="eastAsia" w:ascii="宋体" w:hAnsi="宋体" w:eastAsia="宋体" w:cs="宋体"/>
          <w:sz w:val="24"/>
        </w:rPr>
        <w:t>须针对本项目组明确项目组长，提供详细的组织机构图、人员资质及业绩履历表。并且，合同一经签订生效，本项目组成员未经</w:t>
      </w:r>
      <w:r>
        <w:rPr>
          <w:rFonts w:hint="eastAsia" w:ascii="宋体" w:hAnsi="宋体" w:cs="宋体"/>
          <w:sz w:val="24"/>
          <w:lang w:eastAsia="zh-CN"/>
        </w:rPr>
        <w:t>招标人</w:t>
      </w:r>
      <w:r>
        <w:rPr>
          <w:rFonts w:hint="eastAsia" w:ascii="宋体" w:hAnsi="宋体" w:eastAsia="宋体" w:cs="宋体"/>
          <w:sz w:val="24"/>
        </w:rPr>
        <w:t>允许不得有任何变更或者替换等情况发生。</w:t>
      </w:r>
    </w:p>
    <w:p w14:paraId="4E180E57">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须严格按照招投标设计图纸、设计说明、投标文件、经双方确认的来往文件以及有关国家标准、规范组织施工，同时为确保工程质量，</w:t>
      </w:r>
      <w:r>
        <w:rPr>
          <w:rFonts w:hint="eastAsia" w:ascii="宋体" w:hAnsi="宋体" w:cs="宋体"/>
          <w:sz w:val="24"/>
          <w:lang w:eastAsia="zh-CN"/>
        </w:rPr>
        <w:t>投标人</w:t>
      </w:r>
      <w:r>
        <w:rPr>
          <w:rFonts w:hint="eastAsia" w:ascii="宋体" w:hAnsi="宋体" w:eastAsia="宋体" w:cs="宋体"/>
          <w:sz w:val="24"/>
        </w:rPr>
        <w:t>需随时接受</w:t>
      </w:r>
      <w:r>
        <w:rPr>
          <w:rFonts w:hint="eastAsia" w:ascii="宋体" w:hAnsi="宋体" w:cs="宋体"/>
          <w:sz w:val="24"/>
          <w:lang w:eastAsia="zh-CN"/>
        </w:rPr>
        <w:t>招标人</w:t>
      </w:r>
      <w:r>
        <w:rPr>
          <w:rFonts w:hint="eastAsia" w:ascii="宋体" w:hAnsi="宋体" w:eastAsia="宋体" w:cs="宋体"/>
          <w:sz w:val="24"/>
        </w:rPr>
        <w:t>代表的监督检查。</w:t>
      </w:r>
    </w:p>
    <w:p w14:paraId="1C9F350F">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由于</w:t>
      </w:r>
      <w:r>
        <w:rPr>
          <w:rFonts w:hint="eastAsia" w:ascii="宋体" w:hAnsi="宋体" w:cs="宋体"/>
          <w:sz w:val="24"/>
          <w:lang w:eastAsia="zh-CN"/>
        </w:rPr>
        <w:t>投标人</w:t>
      </w:r>
      <w:r>
        <w:rPr>
          <w:rFonts w:hint="eastAsia" w:ascii="宋体" w:hAnsi="宋体" w:eastAsia="宋体" w:cs="宋体"/>
          <w:sz w:val="24"/>
        </w:rPr>
        <w:t>提供的为相对独立的系统，因此</w:t>
      </w:r>
      <w:r>
        <w:rPr>
          <w:rFonts w:hint="eastAsia" w:ascii="宋体" w:hAnsi="宋体" w:cs="宋体"/>
          <w:sz w:val="24"/>
          <w:lang w:eastAsia="zh-CN"/>
        </w:rPr>
        <w:t>投标人</w:t>
      </w:r>
      <w:r>
        <w:rPr>
          <w:rFonts w:hint="eastAsia" w:ascii="宋体" w:hAnsi="宋体" w:eastAsia="宋体" w:cs="宋体"/>
          <w:sz w:val="24"/>
        </w:rPr>
        <w:t>应对所提供系统的独立性、完整性、可靠性及其与整个系统的兼容性负全责；</w:t>
      </w:r>
      <w:r>
        <w:rPr>
          <w:rFonts w:hint="eastAsia" w:ascii="宋体" w:hAnsi="宋体" w:cs="宋体"/>
          <w:sz w:val="24"/>
          <w:lang w:eastAsia="zh-CN"/>
        </w:rPr>
        <w:t>投标人</w:t>
      </w:r>
      <w:r>
        <w:rPr>
          <w:rFonts w:hint="eastAsia" w:ascii="宋体" w:hAnsi="宋体" w:eastAsia="宋体" w:cs="宋体"/>
          <w:sz w:val="24"/>
        </w:rPr>
        <w:t>所提供的系统应满足</w:t>
      </w:r>
      <w:r>
        <w:rPr>
          <w:rFonts w:hint="eastAsia" w:ascii="宋体" w:hAnsi="宋体" w:cs="宋体"/>
          <w:sz w:val="24"/>
          <w:lang w:eastAsia="zh-CN"/>
        </w:rPr>
        <w:t>招标人</w:t>
      </w:r>
      <w:r>
        <w:rPr>
          <w:rFonts w:hint="eastAsia" w:ascii="宋体" w:hAnsi="宋体" w:eastAsia="宋体" w:cs="宋体"/>
          <w:sz w:val="24"/>
        </w:rPr>
        <w:t>生产使用性能，并对系统的稳定性、完整性、合理性负全责。</w:t>
      </w:r>
      <w:r>
        <w:rPr>
          <w:rFonts w:hint="eastAsia" w:ascii="宋体" w:hAnsi="宋体" w:cs="宋体"/>
          <w:sz w:val="24"/>
          <w:lang w:eastAsia="zh-CN"/>
        </w:rPr>
        <w:t>招标人</w:t>
      </w:r>
      <w:r>
        <w:rPr>
          <w:rFonts w:hint="eastAsia" w:ascii="宋体" w:hAnsi="宋体" w:eastAsia="宋体" w:cs="宋体"/>
          <w:sz w:val="24"/>
        </w:rPr>
        <w:t>对</w:t>
      </w:r>
      <w:r>
        <w:rPr>
          <w:rFonts w:hint="eastAsia" w:ascii="宋体" w:hAnsi="宋体" w:cs="宋体"/>
          <w:sz w:val="24"/>
          <w:lang w:eastAsia="zh-CN"/>
        </w:rPr>
        <w:t>投标人</w:t>
      </w:r>
      <w:r>
        <w:rPr>
          <w:rFonts w:hint="eastAsia" w:ascii="宋体" w:hAnsi="宋体" w:eastAsia="宋体" w:cs="宋体"/>
          <w:sz w:val="24"/>
        </w:rPr>
        <w:t>设计的认可并不代表</w:t>
      </w:r>
      <w:r>
        <w:rPr>
          <w:rFonts w:hint="eastAsia" w:ascii="宋体" w:hAnsi="宋体" w:cs="宋体"/>
          <w:sz w:val="24"/>
          <w:lang w:eastAsia="zh-CN"/>
        </w:rPr>
        <w:t>投标人</w:t>
      </w:r>
      <w:r>
        <w:rPr>
          <w:rFonts w:hint="eastAsia" w:ascii="宋体" w:hAnsi="宋体" w:eastAsia="宋体" w:cs="宋体"/>
          <w:sz w:val="24"/>
        </w:rPr>
        <w:t>最终提供的设备完全符合本项目的具体要求，</w:t>
      </w:r>
      <w:r>
        <w:rPr>
          <w:rFonts w:hint="eastAsia" w:ascii="宋体" w:hAnsi="宋体" w:cs="宋体"/>
          <w:sz w:val="24"/>
          <w:lang w:eastAsia="zh-CN"/>
        </w:rPr>
        <w:t>投标人</w:t>
      </w:r>
      <w:r>
        <w:rPr>
          <w:rFonts w:hint="eastAsia" w:ascii="宋体" w:hAnsi="宋体" w:eastAsia="宋体" w:cs="宋体"/>
          <w:sz w:val="24"/>
        </w:rPr>
        <w:t>仍然要对所提供设备的质量、性能等负全责。若出现因</w:t>
      </w:r>
      <w:r>
        <w:rPr>
          <w:rFonts w:hint="eastAsia" w:ascii="宋体" w:hAnsi="宋体" w:cs="宋体"/>
          <w:sz w:val="24"/>
          <w:lang w:eastAsia="zh-CN"/>
        </w:rPr>
        <w:t>投标人</w:t>
      </w:r>
      <w:r>
        <w:rPr>
          <w:rFonts w:hint="eastAsia" w:ascii="宋体" w:hAnsi="宋体" w:eastAsia="宋体" w:cs="宋体"/>
          <w:sz w:val="24"/>
        </w:rPr>
        <w:t>设计、选型或所提设计资料遗误等原因造成本系统的缺陷，</w:t>
      </w:r>
      <w:r>
        <w:rPr>
          <w:rFonts w:hint="eastAsia" w:ascii="宋体" w:hAnsi="宋体" w:cs="宋体"/>
          <w:sz w:val="24"/>
          <w:lang w:eastAsia="zh-CN"/>
        </w:rPr>
        <w:t>投标人</w:t>
      </w:r>
      <w:r>
        <w:rPr>
          <w:rFonts w:hint="eastAsia" w:ascii="宋体" w:hAnsi="宋体" w:eastAsia="宋体" w:cs="宋体"/>
          <w:sz w:val="24"/>
        </w:rPr>
        <w:t>无偿改进并负责由此产生的一切费用。</w:t>
      </w:r>
    </w:p>
    <w:p w14:paraId="62BC33B1">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除完成全部设计图纸内容外，仍须无偿满足因现场施工、安装调试、生产需要等因素，而造成的</w:t>
      </w:r>
      <w:r>
        <w:rPr>
          <w:rFonts w:hint="eastAsia" w:ascii="宋体" w:hAnsi="宋体" w:cs="宋体"/>
          <w:sz w:val="24"/>
          <w:lang w:eastAsia="zh-CN"/>
        </w:rPr>
        <w:t>投标人</w:t>
      </w:r>
      <w:r>
        <w:rPr>
          <w:rFonts w:hint="eastAsia" w:ascii="宋体" w:hAnsi="宋体" w:eastAsia="宋体" w:cs="宋体"/>
          <w:sz w:val="24"/>
        </w:rPr>
        <w:t>提出并经</w:t>
      </w:r>
      <w:r>
        <w:rPr>
          <w:rFonts w:hint="eastAsia" w:ascii="宋体" w:hAnsi="宋体" w:cs="宋体"/>
          <w:sz w:val="24"/>
          <w:lang w:eastAsia="zh-CN"/>
        </w:rPr>
        <w:t>招标人</w:t>
      </w:r>
      <w:r>
        <w:rPr>
          <w:rFonts w:hint="eastAsia" w:ascii="宋体" w:hAnsi="宋体" w:eastAsia="宋体" w:cs="宋体"/>
          <w:sz w:val="24"/>
        </w:rPr>
        <w:t>确认的设计变更/通知等修改性文件的内容要求；对于本技术任务书中未完全明确责任归属的与本系统相关联的工作内容，</w:t>
      </w:r>
      <w:r>
        <w:rPr>
          <w:rFonts w:hint="eastAsia" w:ascii="宋体" w:hAnsi="宋体" w:cs="宋体"/>
          <w:sz w:val="24"/>
          <w:lang w:eastAsia="zh-CN"/>
        </w:rPr>
        <w:t>投标人</w:t>
      </w:r>
      <w:r>
        <w:rPr>
          <w:rFonts w:hint="eastAsia" w:ascii="宋体" w:hAnsi="宋体" w:eastAsia="宋体" w:cs="宋体"/>
          <w:sz w:val="24"/>
        </w:rPr>
        <w:t>有责任按照</w:t>
      </w:r>
      <w:r>
        <w:rPr>
          <w:rFonts w:hint="eastAsia" w:ascii="宋体" w:hAnsi="宋体" w:cs="宋体"/>
          <w:sz w:val="24"/>
          <w:lang w:eastAsia="zh-CN"/>
        </w:rPr>
        <w:t>招标人</w:t>
      </w:r>
      <w:r>
        <w:rPr>
          <w:rFonts w:hint="eastAsia" w:ascii="宋体" w:hAnsi="宋体" w:eastAsia="宋体" w:cs="宋体"/>
          <w:sz w:val="24"/>
        </w:rPr>
        <w:t>现场项目部的协调提供无偿协助。</w:t>
      </w:r>
    </w:p>
    <w:p w14:paraId="1A6623F3">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w:t>
      </w:r>
      <w:r>
        <w:rPr>
          <w:rFonts w:hint="eastAsia" w:ascii="宋体" w:hAnsi="宋体" w:cs="宋体"/>
          <w:sz w:val="24"/>
          <w:lang w:eastAsia="zh-CN"/>
        </w:rPr>
        <w:t>招标人</w:t>
      </w:r>
      <w:r>
        <w:rPr>
          <w:rFonts w:hint="eastAsia" w:ascii="宋体" w:hAnsi="宋体" w:eastAsia="宋体" w:cs="宋体"/>
          <w:sz w:val="24"/>
        </w:rPr>
        <w:t>指定的车间工作期间，</w:t>
      </w:r>
      <w:r>
        <w:rPr>
          <w:rFonts w:hint="eastAsia" w:ascii="宋体" w:hAnsi="宋体" w:cs="宋体"/>
          <w:sz w:val="24"/>
          <w:lang w:eastAsia="zh-CN"/>
        </w:rPr>
        <w:t>投标人</w:t>
      </w:r>
      <w:r>
        <w:rPr>
          <w:rFonts w:hint="eastAsia" w:ascii="宋体" w:hAnsi="宋体" w:eastAsia="宋体" w:cs="宋体"/>
          <w:sz w:val="24"/>
        </w:rPr>
        <w:t>应遵守</w:t>
      </w:r>
      <w:r>
        <w:rPr>
          <w:rFonts w:hint="eastAsia" w:ascii="宋体" w:hAnsi="宋体" w:cs="宋体"/>
          <w:sz w:val="24"/>
          <w:lang w:eastAsia="zh-CN"/>
        </w:rPr>
        <w:t>招标人</w:t>
      </w:r>
      <w:r>
        <w:rPr>
          <w:rFonts w:hint="eastAsia" w:ascii="宋体" w:hAnsi="宋体" w:eastAsia="宋体" w:cs="宋体"/>
          <w:sz w:val="24"/>
        </w:rPr>
        <w:t>的相关规定，并服从</w:t>
      </w:r>
      <w:r>
        <w:rPr>
          <w:rFonts w:hint="eastAsia" w:ascii="宋体" w:hAnsi="宋体" w:cs="宋体"/>
          <w:sz w:val="24"/>
          <w:lang w:eastAsia="zh-CN"/>
        </w:rPr>
        <w:t>招标人</w:t>
      </w:r>
      <w:r>
        <w:rPr>
          <w:rFonts w:hint="eastAsia" w:ascii="宋体" w:hAnsi="宋体" w:eastAsia="宋体" w:cs="宋体"/>
          <w:sz w:val="24"/>
        </w:rPr>
        <w:t>的统一管理协调。</w:t>
      </w:r>
    </w:p>
    <w:p w14:paraId="62302A29">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此项目为交钥匙工程，满足本技术任务书要求的前提下，</w:t>
      </w:r>
      <w:r>
        <w:rPr>
          <w:rFonts w:hint="eastAsia" w:ascii="宋体" w:hAnsi="宋体" w:cs="宋体"/>
          <w:sz w:val="24"/>
          <w:lang w:eastAsia="zh-CN"/>
        </w:rPr>
        <w:t>投标人</w:t>
      </w:r>
      <w:r>
        <w:rPr>
          <w:rFonts w:hint="eastAsia" w:ascii="宋体" w:hAnsi="宋体" w:eastAsia="宋体" w:cs="宋体"/>
          <w:sz w:val="24"/>
        </w:rPr>
        <w:t>不得再向</w:t>
      </w:r>
      <w:r>
        <w:rPr>
          <w:rFonts w:hint="eastAsia" w:ascii="宋体" w:hAnsi="宋体" w:cs="宋体"/>
          <w:sz w:val="24"/>
          <w:lang w:eastAsia="zh-CN"/>
        </w:rPr>
        <w:t>招标人</w:t>
      </w:r>
      <w:r>
        <w:rPr>
          <w:rFonts w:hint="eastAsia" w:ascii="宋体" w:hAnsi="宋体" w:eastAsia="宋体" w:cs="宋体"/>
          <w:sz w:val="24"/>
        </w:rPr>
        <w:t>提出增加任何费用；中标后，</w:t>
      </w:r>
      <w:r>
        <w:rPr>
          <w:rFonts w:hint="eastAsia" w:ascii="宋体" w:hAnsi="宋体" w:cs="宋体"/>
          <w:sz w:val="24"/>
          <w:lang w:eastAsia="zh-CN"/>
        </w:rPr>
        <w:t>投标人</w:t>
      </w:r>
      <w:r>
        <w:rPr>
          <w:rFonts w:hint="eastAsia" w:ascii="宋体" w:hAnsi="宋体" w:eastAsia="宋体" w:cs="宋体"/>
          <w:sz w:val="24"/>
        </w:rPr>
        <w:t>不能以任何理由（如漏报、理解不准确、价格变化等）提出追加费用的要求。</w:t>
      </w:r>
    </w:p>
    <w:p w14:paraId="1018152B">
      <w:pPr>
        <w:pageBreakBefore w:val="0"/>
        <w:numPr>
          <w:ilvl w:val="0"/>
          <w:numId w:val="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因</w:t>
      </w:r>
      <w:r>
        <w:rPr>
          <w:rFonts w:hint="eastAsia" w:ascii="宋体" w:hAnsi="宋体" w:eastAsia="宋体" w:cs="宋体"/>
          <w:sz w:val="24"/>
          <w:lang w:eastAsia="zh-CN"/>
        </w:rPr>
        <w:t>投标人</w:t>
      </w:r>
      <w:r>
        <w:rPr>
          <w:rFonts w:hint="eastAsia" w:ascii="宋体" w:hAnsi="宋体" w:eastAsia="宋体" w:cs="宋体"/>
          <w:sz w:val="24"/>
        </w:rPr>
        <w:t>设计失误造成基础二次开挖、预埋、回填等情况，所有相关施工工作及费用均</w:t>
      </w:r>
      <w:r>
        <w:rPr>
          <w:rFonts w:hint="eastAsia" w:ascii="宋体" w:hAnsi="宋体" w:eastAsia="宋体" w:cs="宋体"/>
          <w:sz w:val="24"/>
          <w:lang w:eastAsia="zh-CN"/>
        </w:rPr>
        <w:t>由投标人</w:t>
      </w:r>
      <w:r>
        <w:rPr>
          <w:rFonts w:hint="eastAsia" w:ascii="宋体" w:hAnsi="宋体" w:eastAsia="宋体" w:cs="宋体"/>
          <w:sz w:val="24"/>
        </w:rPr>
        <w:t>负责。</w:t>
      </w:r>
    </w:p>
    <w:p w14:paraId="2CF3185B">
      <w:pPr>
        <w:pageBreakBefore w:val="0"/>
        <w:numPr>
          <w:ilvl w:val="0"/>
          <w:numId w:val="11"/>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将提供所需要的下述服务及工程施工：</w:t>
      </w:r>
    </w:p>
    <w:p w14:paraId="42757876">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在工厂设计中考虑人机工程</w:t>
      </w:r>
    </w:p>
    <w:p w14:paraId="533803CA">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设计中考虑维修和清理的需要。</w:t>
      </w:r>
    </w:p>
    <w:p w14:paraId="02683255">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对所有施工区域，</w:t>
      </w:r>
      <w:r>
        <w:rPr>
          <w:rFonts w:hint="eastAsia" w:ascii="宋体" w:hAnsi="宋体" w:cs="宋体"/>
          <w:sz w:val="24"/>
          <w:lang w:eastAsia="zh-CN"/>
        </w:rPr>
        <w:t>投标人</w:t>
      </w:r>
      <w:r>
        <w:rPr>
          <w:rFonts w:hint="eastAsia" w:ascii="宋体" w:hAnsi="宋体" w:eastAsia="宋体" w:cs="宋体"/>
          <w:sz w:val="24"/>
        </w:rPr>
        <w:t>应提供方法评价和风险评价文件。</w:t>
      </w:r>
    </w:p>
    <w:p w14:paraId="45C7A074">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在设备供应商制造设备过程中对设备进行检查。</w:t>
      </w:r>
    </w:p>
    <w:p w14:paraId="6B870F65">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color w:val="FF0000"/>
          <w:sz w:val="24"/>
        </w:rPr>
      </w:pPr>
      <w:r>
        <w:rPr>
          <w:rFonts w:hint="eastAsia" w:ascii="宋体" w:hAnsi="宋体" w:eastAsia="宋体" w:cs="宋体"/>
          <w:sz w:val="24"/>
        </w:rPr>
        <w:t>试生产时提供人力和叉车把车上放到输送链上。</w:t>
      </w:r>
    </w:p>
    <w:p w14:paraId="49CB1227">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提供叉车将外运的设备运至现场。</w:t>
      </w:r>
    </w:p>
    <w:p w14:paraId="34818937">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提供废料桶，将废料由现场运送到合适的设备处进行处理。</w:t>
      </w:r>
    </w:p>
    <w:p w14:paraId="7992A93B">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提供所有设备的调整、备用工程、懂贸易的人才及监理服务。</w:t>
      </w:r>
    </w:p>
    <w:p w14:paraId="6A794277">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在现场对设备进行检查如需要则采取措施进行改善。</w:t>
      </w:r>
    </w:p>
    <w:p w14:paraId="184DF4E8">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进行设备验收、检查，并提供检查文件。</w:t>
      </w:r>
    </w:p>
    <w:p w14:paraId="09B2E27C">
      <w:pPr>
        <w:pageBreakBefore w:val="0"/>
        <w:widowControl/>
        <w:numPr>
          <w:ilvl w:val="0"/>
          <w:numId w:val="12"/>
        </w:numPr>
        <w:kinsoku/>
        <w:wordWrap/>
        <w:overflowPunct w:val="0"/>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所有详细的图纸、布置图和标准将转化为</w:t>
      </w:r>
      <w:r>
        <w:rPr>
          <w:rFonts w:hint="eastAsia" w:ascii="宋体" w:hAnsi="宋体" w:cs="宋体"/>
          <w:sz w:val="24"/>
          <w:lang w:eastAsia="zh-CN"/>
        </w:rPr>
        <w:t>招标人</w:t>
      </w:r>
      <w:r>
        <w:rPr>
          <w:rFonts w:hint="eastAsia" w:ascii="宋体" w:hAnsi="宋体" w:eastAsia="宋体" w:cs="宋体"/>
          <w:sz w:val="24"/>
        </w:rPr>
        <w:t>所有，并将格式转化为</w:t>
      </w:r>
      <w:r>
        <w:rPr>
          <w:rFonts w:hint="eastAsia" w:ascii="宋体" w:hAnsi="宋体" w:cs="宋体"/>
          <w:sz w:val="24"/>
          <w:lang w:eastAsia="zh-CN"/>
        </w:rPr>
        <w:t>招标人</w:t>
      </w:r>
      <w:r>
        <w:rPr>
          <w:rFonts w:hint="eastAsia" w:ascii="宋体" w:hAnsi="宋体" w:eastAsia="宋体" w:cs="宋体"/>
          <w:sz w:val="24"/>
        </w:rPr>
        <w:t>所需格式。</w:t>
      </w:r>
    </w:p>
    <w:p w14:paraId="107E6164">
      <w:pPr>
        <w:pageBreakBefore w:val="0"/>
        <w:numPr>
          <w:ilvl w:val="0"/>
          <w:numId w:val="11"/>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将提供下述要求的人力、材料、设备和服务：</w:t>
      </w:r>
    </w:p>
    <w:p w14:paraId="060DFD6A">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施工图纸以及在施工前需要认可的详细的设备设计，包括对结构、机械、电器、控制、建筑布置、负荷、设计等数据的确认。</w:t>
      </w:r>
    </w:p>
    <w:p w14:paraId="66FCAF78">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提交购买的设备已被认可。</w:t>
      </w:r>
    </w:p>
    <w:p w14:paraId="76FC1596">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设备的制造。</w:t>
      </w:r>
    </w:p>
    <w:p w14:paraId="27C5205A">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运至工地。</w:t>
      </w:r>
    </w:p>
    <w:p w14:paraId="4DB4EED9">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所有设备制造视需要，进行起吊安装。需防腐材料在组装前必须喷丸处理，在运至现场前必须涂底漆，安装之后涂面漆。</w:t>
      </w:r>
    </w:p>
    <w:p w14:paraId="25900F25">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协调所有供应商。</w:t>
      </w:r>
    </w:p>
    <w:p w14:paraId="0134FEAA">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现场指导。</w:t>
      </w:r>
    </w:p>
    <w:p w14:paraId="0CB0E4A0">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协助清除主体建筑内外的障碍，或更改路线。</w:t>
      </w:r>
    </w:p>
    <w:p w14:paraId="2ADDB095">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最终测试，启动，以及试生产。</w:t>
      </w:r>
    </w:p>
    <w:p w14:paraId="2E20ADB7">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针对供应商的设备对操作者和维修人员进行培训。</w:t>
      </w:r>
    </w:p>
    <w:p w14:paraId="4ABCEEBC">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操作和维修手册，备件清单，图纸。其中平面图、及各工序设备总图需要可编辑格式的文件。</w:t>
      </w:r>
    </w:p>
    <w:p w14:paraId="7FFDD177">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工作现场的持续清理。</w:t>
      </w:r>
    </w:p>
    <w:p w14:paraId="0228C446">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提交工作情况报告和试生产数据，以便验收。</w:t>
      </w:r>
    </w:p>
    <w:p w14:paraId="3D39A3A3">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须协调所有工作、材料、设备的现场调度和贮存，保证通道畅通。</w:t>
      </w:r>
    </w:p>
    <w:p w14:paraId="28B6F062">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承担自身工作中突发的危险、灾害、不利影响，诸如（包括但不限于以下内容）：海关放行、恶劣的天气、材料或设备到货延期、罢工或劳资纠纷、贸易禁运，</w:t>
      </w:r>
      <w:r>
        <w:rPr>
          <w:rFonts w:hint="eastAsia" w:ascii="宋体" w:hAnsi="宋体" w:cs="宋体"/>
          <w:sz w:val="24"/>
          <w:lang w:eastAsia="zh-CN"/>
        </w:rPr>
        <w:t>招标人</w:t>
      </w:r>
      <w:r>
        <w:rPr>
          <w:rFonts w:hint="eastAsia" w:ascii="宋体" w:hAnsi="宋体" w:eastAsia="宋体" w:cs="宋体"/>
          <w:sz w:val="24"/>
        </w:rPr>
        <w:t>不会为此额外付费。</w:t>
      </w:r>
      <w:r>
        <w:rPr>
          <w:rFonts w:hint="eastAsia" w:ascii="宋体" w:hAnsi="宋体" w:cs="宋体"/>
          <w:sz w:val="24"/>
          <w:lang w:eastAsia="zh-CN"/>
        </w:rPr>
        <w:t>招标人</w:t>
      </w:r>
      <w:r>
        <w:rPr>
          <w:rFonts w:hint="eastAsia" w:ascii="宋体" w:hAnsi="宋体" w:eastAsia="宋体" w:cs="宋体"/>
          <w:sz w:val="24"/>
        </w:rPr>
        <w:t>不会为项目中</w:t>
      </w:r>
      <w:r>
        <w:rPr>
          <w:rFonts w:hint="eastAsia" w:ascii="宋体" w:hAnsi="宋体" w:cs="宋体"/>
          <w:sz w:val="24"/>
          <w:lang w:eastAsia="zh-CN"/>
        </w:rPr>
        <w:t>投标人</w:t>
      </w:r>
      <w:r>
        <w:rPr>
          <w:rFonts w:hint="eastAsia" w:ascii="宋体" w:hAnsi="宋体" w:eastAsia="宋体" w:cs="宋体"/>
          <w:sz w:val="24"/>
        </w:rPr>
        <w:t>及其分包商的工作失误而产生的损失负责。</w:t>
      </w:r>
    </w:p>
    <w:p w14:paraId="3B2A1876">
      <w:pPr>
        <w:pageBreakBefore w:val="0"/>
        <w:numPr>
          <w:ilvl w:val="0"/>
          <w:numId w:val="1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0000FF"/>
          <w:sz w:val="24"/>
        </w:rPr>
      </w:pPr>
      <w:r>
        <w:rPr>
          <w:rFonts w:hint="eastAsia" w:ascii="宋体" w:hAnsi="宋体" w:eastAsia="宋体" w:cs="宋体"/>
          <w:sz w:val="24"/>
        </w:rPr>
        <w:t>设备安装、调试电费</w:t>
      </w:r>
      <w:r>
        <w:rPr>
          <w:rFonts w:hint="eastAsia" w:ascii="宋体" w:hAnsi="宋体" w:cs="宋体"/>
          <w:sz w:val="24"/>
          <w:lang w:eastAsia="zh-CN"/>
        </w:rPr>
        <w:t>招标人</w:t>
      </w:r>
      <w:r>
        <w:rPr>
          <w:rFonts w:hint="eastAsia" w:ascii="宋体" w:hAnsi="宋体" w:eastAsia="宋体" w:cs="宋体"/>
          <w:sz w:val="24"/>
        </w:rPr>
        <w:t>支付。</w:t>
      </w:r>
    </w:p>
    <w:p w14:paraId="40417696">
      <w:pPr>
        <w:pageBreakBefore w:val="0"/>
        <w:numPr>
          <w:ilvl w:val="0"/>
          <w:numId w:val="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项目施工设计及责任：</w:t>
      </w:r>
    </w:p>
    <w:p w14:paraId="3EB8F64D">
      <w:pPr>
        <w:pageBreakBefore w:val="0"/>
        <w:kinsoku/>
        <w:wordWrap/>
        <w:topLinePunct w:val="0"/>
        <w:bidi w:val="0"/>
        <w:adjustRightInd w:val="0"/>
        <w:snapToGrid w:val="0"/>
        <w:spacing w:afterAutospacing="0" w:line="360" w:lineRule="auto"/>
        <w:ind w:left="0" w:leftChars="0" w:firstLine="42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在各项工程项目施工设计或施工过程中对进度、质量、技术问题处理和解决进行管理并负总责：</w:t>
      </w:r>
    </w:p>
    <w:p w14:paraId="4B28D2DF">
      <w:pPr>
        <w:pageBreakBefore w:val="0"/>
        <w:numPr>
          <w:ilvl w:val="0"/>
          <w:numId w:val="1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设备施工设计要达到工艺、功能的技术要求，施工图要达到编制施工工艺的要求</w:t>
      </w:r>
      <w:r>
        <w:rPr>
          <w:rFonts w:hint="eastAsia" w:ascii="宋体" w:hAnsi="宋体" w:cs="宋体"/>
          <w:sz w:val="24"/>
          <w:lang w:eastAsia="zh-CN"/>
        </w:rPr>
        <w:t>，</w:t>
      </w:r>
      <w:r>
        <w:rPr>
          <w:rFonts w:hint="eastAsia" w:ascii="宋体" w:hAnsi="宋体" w:eastAsia="宋体" w:cs="宋体"/>
          <w:sz w:val="24"/>
        </w:rPr>
        <w:t>制造图要达到编制加工工艺的要求。对影响编制施工和加工工艺的施工图和存在技术问题的施工图，</w:t>
      </w:r>
      <w:r>
        <w:rPr>
          <w:rFonts w:hint="eastAsia" w:ascii="宋体" w:hAnsi="宋体" w:cs="宋体"/>
          <w:sz w:val="24"/>
          <w:lang w:eastAsia="zh-CN"/>
        </w:rPr>
        <w:t>投标人</w:t>
      </w:r>
      <w:r>
        <w:rPr>
          <w:rFonts w:hint="eastAsia" w:ascii="宋体" w:hAnsi="宋体" w:eastAsia="宋体" w:cs="宋体"/>
          <w:sz w:val="24"/>
        </w:rPr>
        <w:t>负责即刻给予解决，拖延造成进度和经济的损失，由</w:t>
      </w:r>
      <w:r>
        <w:rPr>
          <w:rFonts w:hint="eastAsia" w:ascii="宋体" w:hAnsi="宋体" w:cs="宋体"/>
          <w:sz w:val="24"/>
          <w:lang w:eastAsia="zh-CN"/>
        </w:rPr>
        <w:t>投标人</w:t>
      </w:r>
      <w:r>
        <w:rPr>
          <w:rFonts w:hint="eastAsia" w:ascii="宋体" w:hAnsi="宋体" w:eastAsia="宋体" w:cs="宋体"/>
          <w:sz w:val="24"/>
        </w:rPr>
        <w:t>负责赔偿。</w:t>
      </w:r>
    </w:p>
    <w:p w14:paraId="3385DC82">
      <w:pPr>
        <w:pageBreakBefore w:val="0"/>
        <w:numPr>
          <w:ilvl w:val="0"/>
          <w:numId w:val="14"/>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设备施工设计对配套件和配套设备选取及设计，必须达到使用操作方便，功能达到工艺技术要求，效率高、节能、耐用、质高价廉并被</w:t>
      </w:r>
      <w:r>
        <w:rPr>
          <w:rFonts w:hint="eastAsia" w:ascii="宋体" w:hAnsi="宋体" w:cs="宋体"/>
          <w:sz w:val="24"/>
          <w:lang w:eastAsia="zh-CN"/>
        </w:rPr>
        <w:t>招标人</w:t>
      </w:r>
      <w:r>
        <w:rPr>
          <w:rFonts w:hint="eastAsia" w:ascii="宋体" w:hAnsi="宋体" w:eastAsia="宋体" w:cs="宋体"/>
          <w:sz w:val="24"/>
        </w:rPr>
        <w:t>认可。安装尺寸准确，技术说明详细（选择质量信得过的生产厂家生产的产品），必须满足安装施工工艺编制的要求，对影响编制施工工艺或存在技术问题，由</w:t>
      </w:r>
      <w:r>
        <w:rPr>
          <w:rFonts w:hint="eastAsia" w:ascii="宋体" w:hAnsi="宋体" w:cs="宋体"/>
          <w:sz w:val="24"/>
          <w:lang w:eastAsia="zh-CN"/>
        </w:rPr>
        <w:t>投标人</w:t>
      </w:r>
      <w:r>
        <w:rPr>
          <w:rFonts w:hint="eastAsia" w:ascii="宋体" w:hAnsi="宋体" w:eastAsia="宋体" w:cs="宋体"/>
          <w:sz w:val="24"/>
        </w:rPr>
        <w:t>负责即刻给予解决，拖延造成的进度和经济损失由</w:t>
      </w:r>
      <w:r>
        <w:rPr>
          <w:rFonts w:hint="eastAsia" w:ascii="宋体" w:hAnsi="宋体" w:cs="宋体"/>
          <w:sz w:val="24"/>
          <w:lang w:eastAsia="zh-CN"/>
        </w:rPr>
        <w:t>投标人</w:t>
      </w:r>
      <w:r>
        <w:rPr>
          <w:rFonts w:hint="eastAsia" w:ascii="宋体" w:hAnsi="宋体" w:eastAsia="宋体" w:cs="宋体"/>
          <w:sz w:val="24"/>
        </w:rPr>
        <w:t>负责赔偿。</w:t>
      </w:r>
    </w:p>
    <w:p w14:paraId="56CBB9F8">
      <w:pPr>
        <w:pageBreakBefore w:val="0"/>
        <w:numPr>
          <w:ilvl w:val="0"/>
          <w:numId w:val="14"/>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设备施工设计对设备材料材质的选取，一按</w:t>
      </w:r>
      <w:r>
        <w:rPr>
          <w:rFonts w:hint="eastAsia" w:ascii="宋体" w:hAnsi="宋体" w:cs="宋体"/>
          <w:sz w:val="24"/>
          <w:lang w:eastAsia="zh-CN"/>
        </w:rPr>
        <w:t>招标人</w:t>
      </w:r>
      <w:r>
        <w:rPr>
          <w:rFonts w:hint="eastAsia" w:ascii="宋体" w:hAnsi="宋体" w:eastAsia="宋体" w:cs="宋体"/>
          <w:sz w:val="24"/>
        </w:rPr>
        <w:t>工艺技术要求；二按国标选择；三要选大型专业厂生产的材料。</w:t>
      </w:r>
    </w:p>
    <w:p w14:paraId="5285A783">
      <w:pPr>
        <w:pageBreakBefore w:val="0"/>
        <w:numPr>
          <w:ilvl w:val="0"/>
          <w:numId w:val="14"/>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设备施工设计承包单位，在对设备制造、安装、调试过程中负有确保进度和功能并及时处理和解决设计中技术问题的责任，拖延进度和造成经济损失由</w:t>
      </w:r>
      <w:r>
        <w:rPr>
          <w:rFonts w:hint="eastAsia" w:ascii="宋体" w:hAnsi="宋体" w:cs="宋体"/>
          <w:sz w:val="24"/>
          <w:lang w:eastAsia="zh-CN"/>
        </w:rPr>
        <w:t>投标人</w:t>
      </w:r>
      <w:r>
        <w:rPr>
          <w:rFonts w:hint="eastAsia" w:ascii="宋体" w:hAnsi="宋体" w:eastAsia="宋体" w:cs="宋体"/>
          <w:sz w:val="24"/>
        </w:rPr>
        <w:t>负责赔偿，对以下问题负责：</w:t>
      </w:r>
    </w:p>
    <w:p w14:paraId="0D344468">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设计施工图中结构、尺寸描述不清的问题；</w:t>
      </w:r>
    </w:p>
    <w:p w14:paraId="3B6A0A31">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设计施工图中技术要求不到位的，影响施工质量的问题；</w:t>
      </w:r>
    </w:p>
    <w:p w14:paraId="75C012C0">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设计施工图中配套设备无详细安装尺寸影响施工进度的问题；</w:t>
      </w:r>
    </w:p>
    <w:p w14:paraId="08367F52">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设计施工图中影响车身通过性的问题；</w:t>
      </w:r>
    </w:p>
    <w:p w14:paraId="36BD0CB4">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设计施工图中设备与设备或设备与公用管线及大的风管干涉等的技术问题；</w:t>
      </w:r>
    </w:p>
    <w:p w14:paraId="05FAB5C7">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设计施工图中的设备基础图位置、安装尺寸提的不正确或不准确的问题；</w:t>
      </w:r>
    </w:p>
    <w:p w14:paraId="7E60614E">
      <w:pPr>
        <w:pageBreakBefore w:val="0"/>
        <w:numPr>
          <w:ilvl w:val="0"/>
          <w:numId w:val="15"/>
        </w:numPr>
        <w:tabs>
          <w:tab w:val="left" w:pos="0"/>
        </w:tabs>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设计施工图中提供的设备荷载及位置、提的有误的问题。</w:t>
      </w:r>
    </w:p>
    <w:p w14:paraId="4900257D">
      <w:pPr>
        <w:pageBreakBefore w:val="0"/>
        <w:numPr>
          <w:ilvl w:val="0"/>
          <w:numId w:val="15"/>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设计施工图中五气动能耗量要求提供准确。提供使用点和耗量以及配管施工设计按每台设备提出，按每条生产线合计。</w:t>
      </w:r>
    </w:p>
    <w:p w14:paraId="3C488460">
      <w:pPr>
        <w:pageBreakBefore w:val="0"/>
        <w:numPr>
          <w:ilvl w:val="0"/>
          <w:numId w:val="15"/>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公用、基建提资资料的完整性，如有遗漏</w:t>
      </w:r>
      <w:r>
        <w:rPr>
          <w:rFonts w:hint="eastAsia" w:ascii="宋体" w:hAnsi="宋体" w:cs="宋体"/>
          <w:sz w:val="24"/>
          <w:lang w:eastAsia="zh-CN"/>
        </w:rPr>
        <w:t>投标人</w:t>
      </w:r>
      <w:r>
        <w:rPr>
          <w:rFonts w:hint="eastAsia" w:ascii="宋体" w:hAnsi="宋体" w:eastAsia="宋体" w:cs="宋体"/>
          <w:sz w:val="24"/>
        </w:rPr>
        <w:t>自行负责处理。</w:t>
      </w:r>
    </w:p>
    <w:p w14:paraId="189045E5">
      <w:pPr>
        <w:pageBreakBefore w:val="0"/>
        <w:numPr>
          <w:ilvl w:val="0"/>
          <w:numId w:val="14"/>
        </w:numPr>
        <w:kinsoku/>
        <w:wordWrap/>
        <w:overflowPunct w:val="0"/>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施工设计负责提供设备安装位置上的荷载和悬吊设备位置的载荷，确保准确。</w:t>
      </w:r>
    </w:p>
    <w:p w14:paraId="71891677">
      <w:pPr>
        <w:pageBreakBefore w:val="0"/>
        <w:numPr>
          <w:ilvl w:val="0"/>
          <w:numId w:val="14"/>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设计施工图要负责提供楼层板及屋面板上的预留洞口的尺寸位置及技术要求，要准确无误。</w:t>
      </w:r>
    </w:p>
    <w:p w14:paraId="4AF58C7B">
      <w:pPr>
        <w:pageBreakBefore w:val="0"/>
        <w:numPr>
          <w:ilvl w:val="0"/>
          <w:numId w:val="14"/>
        </w:numPr>
        <w:kinsoku/>
        <w:wordWrap/>
        <w:overflowPunct w:val="0"/>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设计施工图要符合安全的要求，实施后确保安全。</w:t>
      </w:r>
    </w:p>
    <w:p w14:paraId="5A46D830">
      <w:pPr>
        <w:pageBreakBefore w:val="0"/>
        <w:numPr>
          <w:ilvl w:val="0"/>
          <w:numId w:val="14"/>
        </w:numPr>
        <w:kinsoku/>
        <w:wordWrap/>
        <w:overflowPunct w:val="0"/>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设计施工图要符合设计规范的要求。</w:t>
      </w:r>
    </w:p>
    <w:p w14:paraId="22E570BC">
      <w:pPr>
        <w:pageBreakBefore w:val="0"/>
        <w:numPr>
          <w:ilvl w:val="0"/>
          <w:numId w:val="14"/>
        </w:numPr>
        <w:kinsoku/>
        <w:wordWrap/>
        <w:overflowPunct w:val="0"/>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设计施工图必须满足制造、安装、调试等及其工艺功能的要求。</w:t>
      </w:r>
    </w:p>
    <w:p w14:paraId="11D6F9A0">
      <w:pPr>
        <w:pageBreakBefore w:val="0"/>
        <w:numPr>
          <w:ilvl w:val="0"/>
          <w:numId w:val="14"/>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在设备调试完成后负责提供完整的设备竣工图(包括各设备总图和部件图，不含零件制造图)和设备全套验收技术资料，要符合国家及</w:t>
      </w:r>
      <w:r>
        <w:rPr>
          <w:rFonts w:hint="eastAsia" w:ascii="宋体" w:hAnsi="宋体" w:cs="宋体"/>
          <w:sz w:val="24"/>
          <w:lang w:eastAsia="zh-CN"/>
        </w:rPr>
        <w:t>招标人</w:t>
      </w:r>
      <w:r>
        <w:rPr>
          <w:rFonts w:hint="eastAsia" w:ascii="宋体" w:hAnsi="宋体" w:eastAsia="宋体" w:cs="宋体"/>
          <w:sz w:val="24"/>
        </w:rPr>
        <w:t>公司相关主管部门的验收要求（按国家验收要求的标准提供设计技术资料如：施工图、各种检测记录、合格证、安全认可、调试记录等给准备到位和需要的份数），接受验收。验收资料不符合国家验收标准要求的，不予验收。</w:t>
      </w:r>
    </w:p>
    <w:p w14:paraId="7825B0B5">
      <w:pPr>
        <w:pageBreakBefore w:val="0"/>
        <w:numPr>
          <w:ilvl w:val="0"/>
          <w:numId w:val="14"/>
        </w:numPr>
        <w:kinsoku/>
        <w:wordWrap/>
        <w:overflowPunct w:val="0"/>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施工设计图存在技术问题（达不到工艺要求、满足不了工艺设计技术要求及功能要求的）而需修改施工图或造成施工损失并发生费用的，由</w:t>
      </w:r>
      <w:r>
        <w:rPr>
          <w:rFonts w:hint="eastAsia" w:ascii="宋体" w:hAnsi="宋体" w:cs="宋体"/>
          <w:sz w:val="24"/>
          <w:lang w:eastAsia="zh-CN"/>
        </w:rPr>
        <w:t>投标人</w:t>
      </w:r>
      <w:r>
        <w:rPr>
          <w:rFonts w:hint="eastAsia" w:ascii="宋体" w:hAnsi="宋体" w:eastAsia="宋体" w:cs="宋体"/>
          <w:sz w:val="24"/>
        </w:rPr>
        <w:t>负全责，并要求在两日之内修改完成。</w:t>
      </w:r>
    </w:p>
    <w:p w14:paraId="59D835D2">
      <w:pPr>
        <w:pageBreakBefore w:val="0"/>
        <w:numPr>
          <w:ilvl w:val="0"/>
          <w:numId w:val="14"/>
        </w:numPr>
        <w:kinsoku/>
        <w:wordWrap/>
        <w:overflowPunct w:val="0"/>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的其他责任如下：</w:t>
      </w:r>
    </w:p>
    <w:p w14:paraId="6B47B4BA">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协调下属分包供应商的工作，组织协调会。</w:t>
      </w:r>
    </w:p>
    <w:p w14:paraId="6AD39282">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任何临时的紧固或支撑装置、垫片，视需要。</w:t>
      </w:r>
    </w:p>
    <w:p w14:paraId="065B0E55">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工作需要的所有螺栓、螺帽、垫片、螺钉、填缝剂、垫圈、扣件、水泥灌浆。</w:t>
      </w:r>
    </w:p>
    <w:p w14:paraId="5E22B616">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管道干涉避让，确保美观，管道穿墙开洞，确保不影响墙体载荷。</w:t>
      </w:r>
    </w:p>
    <w:p w14:paraId="28B76CCA">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提供并维护：便携式焊机，电源供给，压缩空气供给。</w:t>
      </w:r>
    </w:p>
    <w:p w14:paraId="0C2C840D">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如厂房照明不够时，提供临时照明并维护。</w:t>
      </w:r>
    </w:p>
    <w:p w14:paraId="392E2845">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设备需要移除或替换，但由于输送设备未到货，由此而产生的工作由主</w:t>
      </w:r>
      <w:r>
        <w:rPr>
          <w:rFonts w:hint="eastAsia" w:ascii="宋体" w:hAnsi="宋体" w:cs="宋体"/>
          <w:sz w:val="24"/>
          <w:lang w:eastAsia="zh-CN"/>
        </w:rPr>
        <w:t>投标人</w:t>
      </w:r>
      <w:r>
        <w:rPr>
          <w:rFonts w:hint="eastAsia" w:ascii="宋体" w:hAnsi="宋体" w:eastAsia="宋体" w:cs="宋体"/>
          <w:sz w:val="24"/>
        </w:rPr>
        <w:t>独自承担。</w:t>
      </w:r>
    </w:p>
    <w:p w14:paraId="43AD3333">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所有设备以模组件的形式组装建造。</w:t>
      </w:r>
    </w:p>
    <w:p w14:paraId="501EFC31">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试生产或实验时，将车身放到运输工具上，然后将车身返回工位入口处。</w:t>
      </w:r>
    </w:p>
    <w:p w14:paraId="1B20B1AF">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进口件清单应随标书一起提交</w:t>
      </w:r>
      <w:r>
        <w:rPr>
          <w:rFonts w:hint="eastAsia" w:ascii="宋体" w:hAnsi="宋体" w:cs="宋体"/>
          <w:sz w:val="24"/>
          <w:lang w:eastAsia="zh-CN"/>
        </w:rPr>
        <w:t>，</w:t>
      </w:r>
      <w:r>
        <w:rPr>
          <w:rFonts w:hint="eastAsia" w:ascii="宋体" w:hAnsi="宋体" w:eastAsia="宋体" w:cs="宋体"/>
          <w:sz w:val="24"/>
        </w:rPr>
        <w:t>清单中注明零件原产地。</w:t>
      </w:r>
    </w:p>
    <w:p w14:paraId="7A78A1C2">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在整个车间和建筑物范围内检查输送设备和车身的通过性。</w:t>
      </w:r>
    </w:p>
    <w:p w14:paraId="2FFF767C">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如发现合同文件或图纸中的不清楚、矛盾和错误的地方，要通知</w:t>
      </w:r>
      <w:r>
        <w:rPr>
          <w:rFonts w:hint="eastAsia" w:ascii="宋体" w:hAnsi="宋体" w:cs="宋体"/>
          <w:sz w:val="24"/>
          <w:lang w:eastAsia="zh-CN"/>
        </w:rPr>
        <w:t>招标人</w:t>
      </w:r>
      <w:r>
        <w:rPr>
          <w:rFonts w:hint="eastAsia" w:ascii="宋体" w:hAnsi="宋体" w:eastAsia="宋体" w:cs="宋体"/>
          <w:sz w:val="24"/>
        </w:rPr>
        <w:t>。</w:t>
      </w:r>
    </w:p>
    <w:p w14:paraId="2DFA544A">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不会为项目中</w:t>
      </w:r>
      <w:r>
        <w:rPr>
          <w:rFonts w:hint="eastAsia" w:ascii="宋体" w:hAnsi="宋体" w:cs="宋体"/>
          <w:sz w:val="24"/>
          <w:lang w:eastAsia="zh-CN"/>
        </w:rPr>
        <w:t>投标人</w:t>
      </w:r>
      <w:r>
        <w:rPr>
          <w:rFonts w:hint="eastAsia" w:ascii="宋体" w:hAnsi="宋体" w:eastAsia="宋体" w:cs="宋体"/>
          <w:sz w:val="24"/>
        </w:rPr>
        <w:t>及其供应商的工作失误而产生的损失负责。</w:t>
      </w:r>
    </w:p>
    <w:p w14:paraId="15577CB4">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本技术任务书中所涉及的有关设备的特殊项目，除非事先得到</w:t>
      </w:r>
      <w:r>
        <w:rPr>
          <w:rFonts w:hint="eastAsia" w:ascii="宋体" w:hAnsi="宋体" w:cs="宋体"/>
          <w:sz w:val="24"/>
          <w:lang w:eastAsia="zh-CN"/>
        </w:rPr>
        <w:t>招标人</w:t>
      </w:r>
      <w:r>
        <w:rPr>
          <w:rFonts w:hint="eastAsia" w:ascii="宋体" w:hAnsi="宋体" w:eastAsia="宋体" w:cs="宋体"/>
          <w:sz w:val="24"/>
        </w:rPr>
        <w:t>的书面同意，否则不允许变更。</w:t>
      </w:r>
    </w:p>
    <w:p w14:paraId="4CCECD48">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应考虑</w:t>
      </w:r>
      <w:r>
        <w:rPr>
          <w:rFonts w:hint="eastAsia" w:ascii="宋体" w:hAnsi="宋体" w:cs="宋体"/>
          <w:sz w:val="24"/>
          <w:lang w:eastAsia="zh-CN"/>
        </w:rPr>
        <w:t>招标人</w:t>
      </w:r>
      <w:r>
        <w:rPr>
          <w:rFonts w:hint="eastAsia" w:ascii="宋体" w:hAnsi="宋体" w:eastAsia="宋体" w:cs="宋体"/>
          <w:sz w:val="24"/>
        </w:rPr>
        <w:t>设备维修的便捷性，</w:t>
      </w:r>
      <w:r>
        <w:rPr>
          <w:rFonts w:hint="eastAsia" w:ascii="宋体" w:hAnsi="宋体" w:cs="宋体"/>
          <w:sz w:val="24"/>
          <w:lang w:eastAsia="zh-CN"/>
        </w:rPr>
        <w:t>投标人</w:t>
      </w:r>
      <w:r>
        <w:rPr>
          <w:rFonts w:hint="eastAsia" w:ascii="宋体" w:hAnsi="宋体" w:eastAsia="宋体" w:cs="宋体"/>
          <w:sz w:val="24"/>
        </w:rPr>
        <w:t>为此应提供必要的横梁、小车、平台及通道，包括驱动器、电机、泵、搅拌器等。</w:t>
      </w:r>
    </w:p>
    <w:p w14:paraId="2B5ABCF0">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为了整个车间的一致性，对于栏杆、踏台、门把手、灯箱等通用件，整个车间应协调一致，必要时</w:t>
      </w:r>
      <w:r>
        <w:rPr>
          <w:rFonts w:hint="eastAsia" w:ascii="宋体" w:hAnsi="宋体" w:cs="宋体"/>
          <w:sz w:val="24"/>
          <w:lang w:eastAsia="zh-CN"/>
        </w:rPr>
        <w:t>投标人</w:t>
      </w:r>
      <w:r>
        <w:rPr>
          <w:rFonts w:hint="eastAsia" w:ascii="宋体" w:hAnsi="宋体" w:eastAsia="宋体" w:cs="宋体"/>
          <w:sz w:val="24"/>
        </w:rPr>
        <w:t>的方案必须先经</w:t>
      </w:r>
      <w:r>
        <w:rPr>
          <w:rFonts w:hint="eastAsia" w:ascii="宋体" w:hAnsi="宋体" w:cs="宋体"/>
          <w:sz w:val="24"/>
          <w:lang w:eastAsia="zh-CN"/>
        </w:rPr>
        <w:t>招标人</w:t>
      </w:r>
      <w:r>
        <w:rPr>
          <w:rFonts w:hint="eastAsia" w:ascii="宋体" w:hAnsi="宋体" w:eastAsia="宋体" w:cs="宋体"/>
          <w:sz w:val="24"/>
        </w:rPr>
        <w:t>认可。</w:t>
      </w:r>
    </w:p>
    <w:p w14:paraId="6C5A54DA">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整体项目设计需要满足国家安全生产一级标准化的需求。</w:t>
      </w:r>
    </w:p>
    <w:p w14:paraId="619FBD58">
      <w:pPr>
        <w:pageBreakBefore w:val="0"/>
        <w:numPr>
          <w:ilvl w:val="0"/>
          <w:numId w:val="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eastAsia="zh-CN"/>
        </w:rPr>
        <w:t>涂装</w:t>
      </w:r>
      <w:r>
        <w:rPr>
          <w:rFonts w:hint="eastAsia" w:ascii="宋体" w:hAnsi="宋体" w:eastAsia="宋体" w:cs="宋体"/>
          <w:sz w:val="24"/>
        </w:rPr>
        <w:t>车间内所有材料均不得含有硅酮。</w:t>
      </w:r>
    </w:p>
    <w:p w14:paraId="6EDD9FF7">
      <w:pPr>
        <w:pStyle w:val="17"/>
        <w:keepNext w:val="0"/>
        <w:keepLines w:val="0"/>
        <w:pageBreakBefore w:val="0"/>
        <w:numPr>
          <w:ilvl w:val="-1"/>
          <w:numId w:val="0"/>
        </w:numPr>
        <w:kinsoku/>
        <w:overflowPunct/>
        <w:topLinePunct w:val="0"/>
        <w:bidi w:val="0"/>
        <w:adjustRightInd w:val="0"/>
        <w:snapToGrid w:val="0"/>
        <w:spacing w:before="0" w:after="0" w:afterAutospacing="0" w:line="360" w:lineRule="auto"/>
        <w:ind w:left="0" w:leftChars="0" w:firstLine="0" w:firstLineChars="0"/>
        <w:rPr>
          <w:b w:val="0"/>
          <w:bCs w:val="0"/>
          <w:color w:val="000000"/>
        </w:rPr>
      </w:pPr>
      <w:r>
        <w:rPr>
          <w:rFonts w:hint="eastAsia"/>
          <w:b w:val="0"/>
          <w:bCs w:val="0"/>
          <w:color w:val="000000"/>
          <w:lang w:val="en-US" w:eastAsia="zh-CN"/>
        </w:rPr>
        <w:t>5.</w:t>
      </w:r>
      <w:r>
        <w:rPr>
          <w:b w:val="0"/>
          <w:bCs w:val="0"/>
          <w:color w:val="000000"/>
        </w:rPr>
        <w:t>供货要求</w:t>
      </w:r>
    </w:p>
    <w:p w14:paraId="079E0844">
      <w:pPr>
        <w:pStyle w:val="17"/>
        <w:keepNext w:val="0"/>
        <w:keepLines w:val="0"/>
        <w:pageBreakBefore w:val="0"/>
        <w:numPr>
          <w:ilvl w:val="0"/>
          <w:numId w:val="17"/>
        </w:numPr>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 xml:space="preserve">第一次润滑油、脂加注。 </w:t>
      </w:r>
    </w:p>
    <w:p w14:paraId="5AB8E34C">
      <w:pPr>
        <w:pStyle w:val="17"/>
        <w:keepNext w:val="0"/>
        <w:keepLines w:val="0"/>
        <w:pageBreakBefore w:val="0"/>
        <w:numPr>
          <w:ilvl w:val="0"/>
          <w:numId w:val="17"/>
        </w:numPr>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投产前所有技术援助工作。</w:t>
      </w:r>
    </w:p>
    <w:p w14:paraId="79C904E2">
      <w:pPr>
        <w:pStyle w:val="17"/>
        <w:keepNext w:val="0"/>
        <w:keepLines w:val="0"/>
        <w:pageBreakBefore w:val="0"/>
        <w:numPr>
          <w:ilvl w:val="0"/>
          <w:numId w:val="17"/>
        </w:numPr>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操作人员和维修人员培训。</w:t>
      </w:r>
    </w:p>
    <w:p w14:paraId="1FA83251">
      <w:pPr>
        <w:pStyle w:val="17"/>
        <w:keepNext w:val="0"/>
        <w:keepLines w:val="0"/>
        <w:pageBreakBefore w:val="0"/>
        <w:numPr>
          <w:ilvl w:val="0"/>
          <w:numId w:val="17"/>
        </w:numPr>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若设备出现故障、安全隐患或质量缺陷，</w:t>
      </w:r>
      <w:r>
        <w:rPr>
          <w:rFonts w:hint="eastAsia"/>
          <w:color w:val="000000"/>
          <w:lang w:eastAsia="zh-CN"/>
        </w:rPr>
        <w:t>投标人</w:t>
      </w:r>
      <w:r>
        <w:rPr>
          <w:color w:val="000000"/>
        </w:rPr>
        <w:t>在收到通知后2小时内应做出响应，24小时内</w:t>
      </w:r>
      <w:r>
        <w:rPr>
          <w:rFonts w:hint="eastAsia"/>
          <w:color w:val="000000"/>
          <w:lang w:eastAsia="zh-CN"/>
        </w:rPr>
        <w:t>给予</w:t>
      </w:r>
      <w:r>
        <w:rPr>
          <w:color w:val="000000"/>
        </w:rPr>
        <w:t>处理。</w:t>
      </w:r>
    </w:p>
    <w:p w14:paraId="1C1E7970">
      <w:pPr>
        <w:pStyle w:val="17"/>
        <w:keepNext w:val="0"/>
        <w:keepLines w:val="0"/>
        <w:pageBreakBefore w:val="0"/>
        <w:numPr>
          <w:ilvl w:val="0"/>
          <w:numId w:val="17"/>
        </w:numPr>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如果</w:t>
      </w:r>
      <w:r>
        <w:rPr>
          <w:rFonts w:hint="eastAsia"/>
          <w:color w:val="000000"/>
          <w:lang w:eastAsia="zh-CN"/>
        </w:rPr>
        <w:t>投标人</w:t>
      </w:r>
      <w:r>
        <w:rPr>
          <w:color w:val="000000"/>
        </w:rPr>
        <w:t>在收到通知后36小时内没有弥补缺陷，</w:t>
      </w:r>
      <w:r>
        <w:rPr>
          <w:rFonts w:hint="eastAsia"/>
          <w:color w:val="000000"/>
          <w:lang w:eastAsia="zh-CN"/>
        </w:rPr>
        <w:t>招标人</w:t>
      </w:r>
      <w:r>
        <w:rPr>
          <w:color w:val="000000"/>
        </w:rPr>
        <w:t>可采取必要的补救措施，但风险和费用将由</w:t>
      </w:r>
      <w:r>
        <w:rPr>
          <w:rFonts w:hint="eastAsia"/>
          <w:color w:val="000000"/>
          <w:lang w:eastAsia="zh-CN"/>
        </w:rPr>
        <w:t>投标人</w:t>
      </w:r>
      <w:r>
        <w:rPr>
          <w:color w:val="000000"/>
        </w:rPr>
        <w:t>承担。</w:t>
      </w:r>
    </w:p>
    <w:p w14:paraId="143FA7E0">
      <w:pPr>
        <w:pStyle w:val="17"/>
        <w:pageBreakBefore w:val="0"/>
        <w:numPr>
          <w:ilvl w:val="0"/>
          <w:numId w:val="17"/>
        </w:numPr>
        <w:kinsoku/>
        <w:topLinePunct w:val="0"/>
        <w:bidi w:val="0"/>
        <w:adjustRightInd w:val="0"/>
        <w:snapToGrid w:val="0"/>
        <w:spacing w:before="0" w:after="0" w:afterAutospacing="0" w:line="360" w:lineRule="auto"/>
        <w:ind w:left="0" w:firstLine="0" w:firstLineChars="0"/>
        <w:rPr>
          <w:rFonts w:hint="eastAsia" w:ascii="Times New Roman" w:hAnsi="Times New Roman" w:cs="Times New Roman"/>
          <w:color w:val="000000"/>
        </w:rPr>
      </w:pPr>
      <w:r>
        <w:rPr>
          <w:rFonts w:ascii="Times New Roman" w:hAnsi="Times New Roman" w:cs="Times New Roman"/>
          <w:color w:val="000000"/>
        </w:rPr>
        <w:t>本协议中未涉及的其它事项及要求，以行业现行有效的标准及规范为准。</w:t>
      </w:r>
    </w:p>
    <w:p w14:paraId="3B8BC785">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sz w:val="24"/>
          <w:szCs w:val="24"/>
        </w:rPr>
      </w:pPr>
      <w:r>
        <w:rPr>
          <w:rFonts w:hint="eastAsia" w:ascii="宋体" w:hAnsi="宋体" w:cs="宋体"/>
          <w:lang w:val="en-US" w:eastAsia="zh-CN"/>
        </w:rPr>
        <w:t>6.</w:t>
      </w:r>
      <w:r>
        <w:rPr>
          <w:rFonts w:hint="eastAsia" w:ascii="宋体" w:hAnsi="宋体" w:eastAsia="宋体" w:cs="宋体"/>
          <w:sz w:val="24"/>
          <w:szCs w:val="24"/>
        </w:rPr>
        <w:t>生产线基础数据</w:t>
      </w:r>
      <w:bookmarkEnd w:id="13"/>
      <w:bookmarkEnd w:id="14"/>
      <w:bookmarkEnd w:id="15"/>
    </w:p>
    <w:p w14:paraId="16669311">
      <w:pPr>
        <w:pStyle w:val="17"/>
        <w:keepNext w:val="0"/>
        <w:keepLines w:val="0"/>
        <w:pageBreakBefore w:val="0"/>
        <w:widowControl w:val="0"/>
        <w:numPr>
          <w:ilvl w:val="0"/>
          <w:numId w:val="18"/>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总体按10JPH设计，生产</w:t>
      </w:r>
      <w:r>
        <w:rPr>
          <w:rFonts w:hint="eastAsia" w:ascii="宋体" w:hAnsi="宋体" w:eastAsia="宋体" w:cs="宋体"/>
          <w:color w:val="000000"/>
        </w:rPr>
        <w:t>中VAN/大VAN</w:t>
      </w:r>
      <w:r>
        <w:rPr>
          <w:rFonts w:hint="eastAsia" w:ascii="宋体" w:hAnsi="宋体" w:eastAsia="宋体" w:cs="宋体"/>
        </w:rPr>
        <w:t>及同平台车型涂装生产工厂进行设计。主要承担车身的涂装任务，包括漆前处理、阴极电泳底漆、喷涂车底防护涂料、焊缝密封、喷涂面漆、套色生产、内腔喷蜡等任务。</w:t>
      </w:r>
    </w:p>
    <w:p w14:paraId="4E828933">
      <w:pPr>
        <w:pStyle w:val="17"/>
        <w:pageBreakBefore w:val="0"/>
        <w:numPr>
          <w:ilvl w:val="0"/>
          <w:numId w:val="19"/>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产品：</w:t>
      </w:r>
      <w:r>
        <w:rPr>
          <w:rFonts w:hint="eastAsia" w:ascii="宋体" w:hAnsi="宋体" w:eastAsia="宋体" w:cs="宋体"/>
          <w:color w:val="000000"/>
        </w:rPr>
        <w:t>中VAN平台、大VAN平台（含拓展房车）VAN类轻型货车等产品</w:t>
      </w:r>
      <w:r>
        <w:rPr>
          <w:rFonts w:hint="eastAsia" w:ascii="宋体" w:hAnsi="宋体" w:eastAsia="宋体" w:cs="宋体"/>
          <w:b/>
          <w:color w:val="000000"/>
        </w:rPr>
        <w:t>。</w:t>
      </w:r>
    </w:p>
    <w:p w14:paraId="4CEFDBA1">
      <w:pPr>
        <w:pStyle w:val="17"/>
        <w:pageBreakBefore w:val="0"/>
        <w:numPr>
          <w:ilvl w:val="0"/>
          <w:numId w:val="19"/>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前处理电泳：采用硅烷/薄膜+阴极电泳工艺。</w:t>
      </w:r>
    </w:p>
    <w:p w14:paraId="096C9CB9">
      <w:pPr>
        <w:pStyle w:val="17"/>
        <w:pageBreakBefore w:val="0"/>
        <w:numPr>
          <w:ilvl w:val="0"/>
          <w:numId w:val="19"/>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喷漆工艺：喷漆采用紧凑喷涂工艺（B1B2）。</w:t>
      </w:r>
    </w:p>
    <w:p w14:paraId="16A73961">
      <w:pPr>
        <w:pStyle w:val="17"/>
        <w:pageBreakBefore w:val="0"/>
        <w:numPr>
          <w:ilvl w:val="0"/>
          <w:numId w:val="19"/>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套色工艺：设置套色遮蔽线，套色喷涂考虑主线通过（考虑套色机器人及烘干线预留）。</w:t>
      </w:r>
    </w:p>
    <w:p w14:paraId="493B43BE">
      <w:pPr>
        <w:pStyle w:val="17"/>
        <w:keepNext w:val="0"/>
        <w:keepLines w:val="0"/>
        <w:pageBreakBefore w:val="0"/>
        <w:widowControl w:val="0"/>
        <w:numPr>
          <w:ilvl w:val="0"/>
          <w:numId w:val="18"/>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总装车间</w:t>
      </w:r>
      <w:r>
        <w:rPr>
          <w:rFonts w:hint="eastAsia" w:ascii="宋体" w:hAnsi="宋体" w:eastAsia="宋体" w:cs="宋体"/>
        </w:rPr>
        <w:t>总体按10JPH设计</w:t>
      </w:r>
      <w:r>
        <w:rPr>
          <w:rFonts w:hint="eastAsia" w:ascii="宋体" w:hAnsi="宋体" w:cs="宋体"/>
          <w:lang w:eastAsia="zh-CN"/>
        </w:rPr>
        <w:t>，</w:t>
      </w:r>
      <w:r>
        <w:t>所有机械化产线、工装、设备满足中VAN</w:t>
      </w:r>
      <w:r>
        <w:rPr>
          <w:rFonts w:hint="eastAsia"/>
          <w:lang w:val="en-US" w:eastAsia="zh-CN"/>
        </w:rPr>
        <w:t>类</w:t>
      </w:r>
      <w:r>
        <w:t>7方、8方</w:t>
      </w:r>
      <w:r>
        <w:rPr>
          <w:rFonts w:hint="eastAsia"/>
          <w:lang w:val="en-US" w:eastAsia="zh-CN"/>
        </w:rPr>
        <w:t>左舵</w:t>
      </w:r>
      <w:r>
        <w:t>车型共线生产</w:t>
      </w:r>
      <w:r>
        <w:rPr>
          <w:rFonts w:hint="eastAsia"/>
          <w:lang w:val="en-US" w:eastAsia="zh-CN"/>
        </w:rPr>
        <w:t>。</w:t>
      </w:r>
    </w:p>
    <w:p w14:paraId="46505EF3">
      <w:pPr>
        <w:pStyle w:val="17"/>
        <w:pageBreakBefore w:val="0"/>
        <w:numPr>
          <w:ilvl w:val="0"/>
          <w:numId w:val="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厂房结构</w:t>
      </w:r>
    </w:p>
    <w:p w14:paraId="2B2A1AD7">
      <w:pPr>
        <w:pStyle w:val="17"/>
        <w:pageBreakBefore w:val="0"/>
        <w:numPr>
          <w:ilvl w:val="-1"/>
          <w:numId w:val="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涂装</w:t>
      </w:r>
      <w:r>
        <w:rPr>
          <w:rFonts w:hint="eastAsia" w:ascii="宋体" w:hAnsi="宋体" w:eastAsia="宋体" w:cs="宋体"/>
        </w:rPr>
        <w:t>：钢混厂房，主体一层半。</w:t>
      </w:r>
    </w:p>
    <w:p w14:paraId="6E8718C6">
      <w:pPr>
        <w:pStyle w:val="17"/>
        <w:keepNext w:val="0"/>
        <w:keepLines w:val="0"/>
        <w:pageBreakBefore w:val="0"/>
        <w:widowControl/>
        <w:numPr>
          <w:ilvl w:val="-1"/>
          <w:numId w:val="0"/>
        </w:numPr>
        <w:kinsoku/>
        <w:overflowPunct/>
        <w:topLinePunct w:val="0"/>
        <w:bidi w:val="0"/>
        <w:adjustRightInd w:val="0"/>
        <w:snapToGrid w:val="0"/>
        <w:spacing w:before="0" w:after="0" w:afterAutospacing="0" w:line="360" w:lineRule="auto"/>
        <w:ind w:left="0" w:firstLine="0" w:firstLineChars="0"/>
        <w:rPr>
          <w:rFonts w:hint="eastAsia" w:ascii="宋体" w:hAnsi="宋体" w:cs="宋体"/>
          <w:lang w:eastAsia="zh-CN"/>
        </w:rPr>
      </w:pPr>
      <w:r>
        <w:rPr>
          <w:rFonts w:hint="eastAsia" w:ascii="宋体" w:hAnsi="宋体" w:cs="宋体"/>
          <w:lang w:eastAsia="zh-CN"/>
        </w:rPr>
        <w:t>总装：</w:t>
      </w:r>
    </w:p>
    <w:p w14:paraId="65558C64">
      <w:pPr>
        <w:pStyle w:val="17"/>
        <w:keepNext w:val="0"/>
        <w:keepLines w:val="0"/>
        <w:pageBreakBefore w:val="0"/>
        <w:widowControl/>
        <w:numPr>
          <w:ilvl w:val="0"/>
          <w:numId w:val="0"/>
        </w:numPr>
        <w:kinsoku/>
        <w:overflowPunct/>
        <w:topLinePunct w:val="0"/>
        <w:bidi w:val="0"/>
        <w:adjustRightInd w:val="0"/>
        <w:snapToGrid w:val="0"/>
        <w:spacing w:before="0" w:after="0" w:afterAutospacing="0" w:line="360" w:lineRule="auto"/>
        <w:ind w:firstLine="420" w:firstLineChars="0"/>
        <w:rPr>
          <w:rFonts w:hint="eastAsia" w:ascii="宋体" w:hAnsi="宋体" w:cs="宋体"/>
        </w:rPr>
      </w:pPr>
      <w:r>
        <w:rPr>
          <w:rFonts w:hint="eastAsia" w:ascii="宋体" w:hAnsi="宋体" w:cs="宋体"/>
        </w:rPr>
        <w:t>轻钢结构</w:t>
      </w:r>
    </w:p>
    <w:p w14:paraId="30C55F8D">
      <w:pPr>
        <w:pStyle w:val="17"/>
        <w:keepNext w:val="0"/>
        <w:keepLines w:val="0"/>
        <w:pageBreakBefore w:val="0"/>
        <w:widowControl/>
        <w:numPr>
          <w:ilvl w:val="0"/>
          <w:numId w:val="0"/>
        </w:numPr>
        <w:kinsoku/>
        <w:overflowPunct/>
        <w:topLinePunct w:val="0"/>
        <w:bidi w:val="0"/>
        <w:adjustRightInd w:val="0"/>
        <w:snapToGrid w:val="0"/>
        <w:spacing w:before="0" w:after="0" w:afterAutospacing="0" w:line="360" w:lineRule="auto"/>
        <w:ind w:firstLine="420" w:firstLineChars="0"/>
        <w:rPr>
          <w:rFonts w:hint="eastAsia" w:ascii="宋体" w:hAnsi="宋体" w:cs="宋体"/>
        </w:rPr>
      </w:pPr>
      <w:r>
        <w:rPr>
          <w:rFonts w:hint="eastAsia" w:ascii="宋体" w:hAnsi="宋体" w:cs="宋体"/>
        </w:rPr>
        <w:t>柱网尺寸：根据工艺平面布置图</w:t>
      </w:r>
    </w:p>
    <w:p w14:paraId="6118F521">
      <w:pPr>
        <w:pStyle w:val="17"/>
        <w:keepNext w:val="0"/>
        <w:keepLines w:val="0"/>
        <w:pageBreakBefore w:val="0"/>
        <w:widowControl/>
        <w:numPr>
          <w:ilvl w:val="0"/>
          <w:numId w:val="0"/>
        </w:numPr>
        <w:kinsoku/>
        <w:overflowPunct/>
        <w:topLinePunct w:val="0"/>
        <w:bidi w:val="0"/>
        <w:adjustRightInd w:val="0"/>
        <w:snapToGrid w:val="0"/>
        <w:spacing w:before="0" w:after="0" w:afterAutospacing="0" w:line="360" w:lineRule="auto"/>
        <w:ind w:firstLine="420" w:firstLineChars="0"/>
        <w:rPr>
          <w:rFonts w:hint="eastAsia" w:ascii="宋体" w:hAnsi="宋体" w:cs="宋体"/>
        </w:rPr>
      </w:pPr>
      <w:r>
        <w:rPr>
          <w:rFonts w:hint="eastAsia" w:ascii="宋体" w:hAnsi="宋体" w:cs="宋体"/>
        </w:rPr>
        <w:t>下弦标高：屋架下弦高11m（最低点）</w:t>
      </w:r>
    </w:p>
    <w:p w14:paraId="7F50D1D9">
      <w:pPr>
        <w:pStyle w:val="17"/>
        <w:pageBreakBefore w:val="0"/>
        <w:widowControl/>
        <w:numPr>
          <w:ilvl w:val="-1"/>
          <w:numId w:val="0"/>
        </w:numPr>
        <w:kinsoku/>
        <w:wordWrap/>
        <w:topLinePunct w:val="0"/>
        <w:bidi w:val="0"/>
        <w:adjustRightInd w:val="0"/>
        <w:snapToGrid w:val="0"/>
        <w:spacing w:before="0" w:after="0" w:afterAutospacing="0" w:line="360" w:lineRule="auto"/>
        <w:ind w:left="0" w:leftChars="0" w:firstLine="420" w:firstLineChars="0"/>
        <w:rPr>
          <w:rFonts w:hint="eastAsia" w:ascii="宋体" w:hAnsi="宋体" w:eastAsia="宋体" w:cs="宋体"/>
        </w:rPr>
      </w:pPr>
      <w:r>
        <w:rPr>
          <w:rFonts w:hint="eastAsia" w:ascii="宋体" w:hAnsi="宋体" w:cs="宋体"/>
        </w:rPr>
        <w:t>地面载荷要求：5吨/平方米</w:t>
      </w:r>
    </w:p>
    <w:p w14:paraId="5DC630AB">
      <w:pPr>
        <w:pStyle w:val="17"/>
        <w:pageBreakBefore w:val="0"/>
        <w:numPr>
          <w:ilvl w:val="0"/>
          <w:numId w:val="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设计条件</w:t>
      </w:r>
    </w:p>
    <w:tbl>
      <w:tblPr>
        <w:tblStyle w:val="44"/>
        <w:tblW w:w="46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57"/>
        <w:gridCol w:w="1237"/>
        <w:gridCol w:w="1058"/>
        <w:gridCol w:w="1005"/>
        <w:gridCol w:w="1469"/>
        <w:gridCol w:w="1263"/>
        <w:gridCol w:w="1263"/>
      </w:tblGrid>
      <w:tr w14:paraId="0782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970" w:type="pct"/>
            <w:shd w:val="clear" w:color="auto" w:fill="auto"/>
            <w:vAlign w:val="center"/>
          </w:tcPr>
          <w:p w14:paraId="0D5524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车型</w:t>
            </w:r>
          </w:p>
        </w:tc>
        <w:tc>
          <w:tcPr>
            <w:tcW w:w="683" w:type="pct"/>
            <w:shd w:val="clear" w:color="auto" w:fill="auto"/>
            <w:vAlign w:val="center"/>
          </w:tcPr>
          <w:p w14:paraId="281E28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长（mm）</w:t>
            </w:r>
          </w:p>
        </w:tc>
        <w:tc>
          <w:tcPr>
            <w:tcW w:w="584" w:type="pct"/>
            <w:shd w:val="clear" w:color="auto" w:fill="auto"/>
            <w:vAlign w:val="center"/>
          </w:tcPr>
          <w:p w14:paraId="736D239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宽（mm）</w:t>
            </w:r>
          </w:p>
        </w:tc>
        <w:tc>
          <w:tcPr>
            <w:tcW w:w="555" w:type="pct"/>
            <w:shd w:val="clear" w:color="auto" w:fill="auto"/>
            <w:vAlign w:val="center"/>
          </w:tcPr>
          <w:p w14:paraId="433AC9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高（mm）</w:t>
            </w:r>
          </w:p>
        </w:tc>
        <w:tc>
          <w:tcPr>
            <w:tcW w:w="811" w:type="pct"/>
            <w:shd w:val="clear" w:color="auto" w:fill="auto"/>
            <w:vAlign w:val="center"/>
          </w:tcPr>
          <w:p w14:paraId="04C207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电泳面积（m²）</w:t>
            </w:r>
          </w:p>
        </w:tc>
        <w:tc>
          <w:tcPr>
            <w:tcW w:w="697" w:type="pct"/>
            <w:shd w:val="clear" w:color="auto" w:fill="auto"/>
            <w:vAlign w:val="center"/>
          </w:tcPr>
          <w:p w14:paraId="4851E1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货箱喷涂面积（m²）</w:t>
            </w:r>
          </w:p>
        </w:tc>
        <w:tc>
          <w:tcPr>
            <w:tcW w:w="697" w:type="pct"/>
            <w:shd w:val="clear" w:color="auto" w:fill="auto"/>
            <w:vAlign w:val="center"/>
          </w:tcPr>
          <w:p w14:paraId="1BA310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外板喷涂面积（m²）</w:t>
            </w:r>
          </w:p>
        </w:tc>
      </w:tr>
      <w:tr w14:paraId="29C4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3" w:hRule="atLeast"/>
          <w:jc w:val="center"/>
        </w:trPr>
        <w:tc>
          <w:tcPr>
            <w:tcW w:w="970" w:type="pct"/>
            <w:shd w:val="clear" w:color="auto" w:fill="auto"/>
            <w:vAlign w:val="center"/>
          </w:tcPr>
          <w:p w14:paraId="7660B8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中VAN参考</w:t>
            </w:r>
          </w:p>
        </w:tc>
        <w:tc>
          <w:tcPr>
            <w:tcW w:w="683" w:type="pct"/>
            <w:shd w:val="clear" w:color="auto" w:fill="auto"/>
            <w:vAlign w:val="center"/>
          </w:tcPr>
          <w:p w14:paraId="61103DB9">
            <w:pPr>
              <w:pageBreakBefore w:val="0"/>
              <w:kinsoku/>
              <w:wordWrap/>
              <w:topLinePunct w:val="0"/>
              <w:bidi w:val="0"/>
              <w:adjustRightInd w:val="0"/>
              <w:snapToGrid w:val="0"/>
              <w:spacing w:afterAutospacing="0" w:line="240" w:lineRule="auto"/>
              <w:ind w:left="0" w:leftChars="0" w:firstLine="0" w:firstLineChars="0"/>
              <w:jc w:val="center"/>
              <w:rPr>
                <w:rFonts w:hint="default" w:ascii="宋体" w:hAnsi="宋体" w:eastAsia="宋体" w:cs="宋体"/>
                <w:bCs/>
                <w:sz w:val="24"/>
                <w:lang w:val="en-US" w:eastAsia="zh-CN"/>
              </w:rPr>
            </w:pPr>
            <w:r>
              <w:rPr>
                <w:rFonts w:hint="eastAsia" w:ascii="宋体" w:hAnsi="宋体" w:eastAsia="宋体" w:cs="宋体"/>
                <w:bCs/>
                <w:sz w:val="24"/>
              </w:rPr>
              <w:t>54</w:t>
            </w:r>
            <w:r>
              <w:rPr>
                <w:rFonts w:hint="eastAsia" w:ascii="宋体" w:hAnsi="宋体" w:cs="宋体"/>
                <w:bCs/>
                <w:sz w:val="24"/>
                <w:lang w:val="en-US" w:eastAsia="zh-CN"/>
              </w:rPr>
              <w:t>17</w:t>
            </w:r>
          </w:p>
        </w:tc>
        <w:tc>
          <w:tcPr>
            <w:tcW w:w="584" w:type="pct"/>
            <w:shd w:val="clear" w:color="auto" w:fill="auto"/>
            <w:vAlign w:val="center"/>
          </w:tcPr>
          <w:p w14:paraId="42D4BC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1750</w:t>
            </w:r>
          </w:p>
        </w:tc>
        <w:tc>
          <w:tcPr>
            <w:tcW w:w="555" w:type="pct"/>
            <w:shd w:val="clear" w:color="auto" w:fill="auto"/>
            <w:vAlign w:val="center"/>
          </w:tcPr>
          <w:p w14:paraId="3B7371D2">
            <w:pPr>
              <w:pageBreakBefore w:val="0"/>
              <w:kinsoku/>
              <w:wordWrap/>
              <w:topLinePunct w:val="0"/>
              <w:bidi w:val="0"/>
              <w:adjustRightInd w:val="0"/>
              <w:snapToGrid w:val="0"/>
              <w:spacing w:afterAutospacing="0" w:line="240" w:lineRule="auto"/>
              <w:ind w:left="0" w:leftChars="0" w:firstLine="0" w:firstLineChars="0"/>
              <w:jc w:val="center"/>
              <w:rPr>
                <w:rFonts w:hint="default" w:ascii="宋体" w:hAnsi="宋体" w:eastAsia="宋体" w:cs="宋体"/>
                <w:bCs/>
                <w:sz w:val="24"/>
                <w:lang w:val="en-US" w:eastAsia="zh-CN"/>
              </w:rPr>
            </w:pPr>
            <w:r>
              <w:rPr>
                <w:rFonts w:hint="eastAsia" w:ascii="宋体" w:hAnsi="宋体" w:cs="宋体"/>
                <w:bCs/>
                <w:sz w:val="24"/>
                <w:lang w:val="en-US" w:eastAsia="zh-CN"/>
              </w:rPr>
              <w:t>2093</w:t>
            </w:r>
          </w:p>
        </w:tc>
        <w:tc>
          <w:tcPr>
            <w:tcW w:w="811" w:type="pct"/>
            <w:shd w:val="clear" w:color="auto" w:fill="auto"/>
            <w:vAlign w:val="center"/>
          </w:tcPr>
          <w:p w14:paraId="64B4D96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120</w:t>
            </w:r>
          </w:p>
        </w:tc>
        <w:tc>
          <w:tcPr>
            <w:tcW w:w="697" w:type="pct"/>
            <w:shd w:val="clear" w:color="auto" w:fill="auto"/>
            <w:vAlign w:val="center"/>
          </w:tcPr>
          <w:p w14:paraId="0FE12B9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18</w:t>
            </w:r>
          </w:p>
        </w:tc>
        <w:tc>
          <w:tcPr>
            <w:tcW w:w="697" w:type="pct"/>
            <w:shd w:val="clear" w:color="auto" w:fill="auto"/>
            <w:vAlign w:val="center"/>
          </w:tcPr>
          <w:p w14:paraId="4746E2E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35</w:t>
            </w:r>
          </w:p>
        </w:tc>
      </w:tr>
      <w:tr w14:paraId="23BD4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3" w:hRule="atLeast"/>
          <w:jc w:val="center"/>
        </w:trPr>
        <w:tc>
          <w:tcPr>
            <w:tcW w:w="970" w:type="pct"/>
            <w:shd w:val="clear" w:color="auto" w:fill="auto"/>
            <w:vAlign w:val="center"/>
          </w:tcPr>
          <w:p w14:paraId="636839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rPr>
            </w:pPr>
            <w:r>
              <w:rPr>
                <w:rFonts w:hint="eastAsia" w:ascii="宋体" w:hAnsi="宋体" w:eastAsia="宋体" w:cs="宋体"/>
                <w:bCs/>
                <w:sz w:val="24"/>
              </w:rPr>
              <w:t>大VAN参考</w:t>
            </w:r>
          </w:p>
        </w:tc>
        <w:tc>
          <w:tcPr>
            <w:tcW w:w="683" w:type="pct"/>
            <w:shd w:val="clear" w:color="auto" w:fill="auto"/>
            <w:vAlign w:val="center"/>
          </w:tcPr>
          <w:p w14:paraId="152406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5990</w:t>
            </w:r>
          </w:p>
        </w:tc>
        <w:tc>
          <w:tcPr>
            <w:tcW w:w="584" w:type="pct"/>
            <w:shd w:val="clear" w:color="auto" w:fill="auto"/>
            <w:vAlign w:val="center"/>
          </w:tcPr>
          <w:p w14:paraId="0A0173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2020</w:t>
            </w:r>
          </w:p>
        </w:tc>
        <w:tc>
          <w:tcPr>
            <w:tcW w:w="555" w:type="pct"/>
            <w:shd w:val="clear" w:color="auto" w:fill="auto"/>
            <w:vAlign w:val="center"/>
          </w:tcPr>
          <w:p w14:paraId="06C1E2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2400</w:t>
            </w:r>
          </w:p>
        </w:tc>
        <w:tc>
          <w:tcPr>
            <w:tcW w:w="811" w:type="pct"/>
            <w:shd w:val="clear" w:color="auto" w:fill="auto"/>
            <w:vAlign w:val="center"/>
          </w:tcPr>
          <w:p w14:paraId="60EB34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140</w:t>
            </w:r>
          </w:p>
        </w:tc>
        <w:tc>
          <w:tcPr>
            <w:tcW w:w="697" w:type="pct"/>
            <w:shd w:val="clear" w:color="auto" w:fill="auto"/>
            <w:vAlign w:val="center"/>
          </w:tcPr>
          <w:p w14:paraId="7C570D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25</w:t>
            </w:r>
          </w:p>
        </w:tc>
        <w:tc>
          <w:tcPr>
            <w:tcW w:w="697" w:type="pct"/>
            <w:shd w:val="clear" w:color="auto" w:fill="auto"/>
            <w:vAlign w:val="center"/>
          </w:tcPr>
          <w:p w14:paraId="6F997F2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45</w:t>
            </w:r>
          </w:p>
        </w:tc>
      </w:tr>
    </w:tbl>
    <w:p w14:paraId="73084144">
      <w:pPr>
        <w:pStyle w:val="17"/>
        <w:pageBreakBefore w:val="0"/>
        <w:numPr>
          <w:ilvl w:val="0"/>
          <w:numId w:val="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8" w:name="_Toc1624_WPSOffice_Level3"/>
      <w:r>
        <w:rPr>
          <w:rFonts w:hint="eastAsia" w:ascii="宋体" w:hAnsi="宋体" w:eastAsia="宋体" w:cs="宋体"/>
        </w:rPr>
        <w:t>工作制度</w:t>
      </w:r>
      <w:bookmarkEnd w:id="18"/>
    </w:p>
    <w:p w14:paraId="5E9796FB">
      <w:pPr>
        <w:pStyle w:val="17"/>
        <w:pageBreakBefore w:val="0"/>
        <w:numPr>
          <w:ilvl w:val="0"/>
          <w:numId w:val="20"/>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 xml:space="preserve">工作制度： </w:t>
      </w:r>
      <w:r>
        <w:rPr>
          <w:color w:val="000000"/>
        </w:rPr>
        <w:t>每班工作8小时，每天两班制，全年按300天计算</w:t>
      </w:r>
    </w:p>
    <w:p w14:paraId="5F1C2357">
      <w:pPr>
        <w:pStyle w:val="17"/>
        <w:pageBreakBefore w:val="0"/>
        <w:numPr>
          <w:ilvl w:val="0"/>
          <w:numId w:val="20"/>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综合开动率：92％。</w:t>
      </w:r>
    </w:p>
    <w:p w14:paraId="3A66ACAF">
      <w:pPr>
        <w:pStyle w:val="17"/>
        <w:pageBreakBefore w:val="0"/>
        <w:numPr>
          <w:ilvl w:val="0"/>
          <w:numId w:val="20"/>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生产线跑空：按班外跑空设计，跑空不占用生产时间。</w:t>
      </w:r>
    </w:p>
    <w:p w14:paraId="7C1EB704">
      <w:pPr>
        <w:pStyle w:val="17"/>
        <w:pageBreakBefore w:val="0"/>
        <w:widowControl/>
        <w:kinsoku/>
        <w:topLinePunct w:val="0"/>
        <w:bidi w:val="0"/>
        <w:adjustRightInd w:val="0"/>
        <w:snapToGrid w:val="0"/>
        <w:spacing w:before="0" w:after="0" w:afterAutospacing="0" w:line="360" w:lineRule="auto"/>
        <w:ind w:firstLine="0" w:firstLineChars="0"/>
        <w:rPr>
          <w:rFonts w:hint="eastAsia"/>
        </w:rPr>
      </w:pPr>
      <w:r>
        <w:t>产能规划：</w:t>
      </w:r>
      <w:r>
        <w:rPr>
          <w:rFonts w:hint="eastAsia"/>
          <w:lang w:eastAsia="zh-CN"/>
        </w:rPr>
        <w:t>所有</w:t>
      </w:r>
      <w:r>
        <w:t>设备按照满足10JPH规划</w:t>
      </w:r>
    </w:p>
    <w:p w14:paraId="7B15B991">
      <w:pPr>
        <w:pStyle w:val="17"/>
        <w:pageBreakBefore w:val="0"/>
        <w:numPr>
          <w:ilvl w:val="0"/>
          <w:numId w:val="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9" w:name="_Toc11054_WPSOffice_Level3"/>
      <w:r>
        <w:rPr>
          <w:rFonts w:hint="eastAsia" w:ascii="宋体" w:hAnsi="宋体" w:eastAsia="宋体" w:cs="宋体"/>
        </w:rPr>
        <w:t>涂层厚度要求参数</w:t>
      </w:r>
      <w:bookmarkEnd w:id="19"/>
    </w:p>
    <w:tbl>
      <w:tblPr>
        <w:tblStyle w:val="44"/>
        <w:tblpPr w:leftFromText="180" w:rightFromText="180" w:vertAnchor="text" w:horzAnchor="page" w:tblpX="1117" w:tblpY="291"/>
        <w:tblOverlap w:val="never"/>
        <w:tblW w:w="50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327"/>
        <w:gridCol w:w="1284"/>
        <w:gridCol w:w="1515"/>
        <w:gridCol w:w="1412"/>
        <w:gridCol w:w="1287"/>
        <w:gridCol w:w="1570"/>
      </w:tblGrid>
      <w:tr w14:paraId="23399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722" w:type="pct"/>
            <w:vMerge w:val="restart"/>
            <w:tcBorders>
              <w:top w:val="single" w:color="000000" w:sz="4" w:space="0"/>
              <w:left w:val="single" w:color="000000" w:sz="4" w:space="0"/>
              <w:bottom w:val="single" w:color="000000" w:sz="4" w:space="0"/>
              <w:right w:val="single" w:color="000000" w:sz="4" w:space="0"/>
              <w:tl2br w:val="nil"/>
            </w:tcBorders>
            <w:shd w:val="clear" w:color="auto" w:fill="FFFFFF"/>
            <w:tcMar>
              <w:left w:w="108" w:type="dxa"/>
              <w:right w:w="108" w:type="dxa"/>
            </w:tcMar>
            <w:vAlign w:val="center"/>
          </w:tcPr>
          <w:p w14:paraId="649F7E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膜厚</w:t>
            </w:r>
          </w:p>
          <w:p w14:paraId="7DE5A89E">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Cs w:val="24"/>
              </w:rPr>
            </w:pPr>
            <w:r>
              <w:rPr>
                <w:rFonts w:hint="eastAsia" w:ascii="宋体" w:hAnsi="宋体" w:eastAsia="宋体" w:cs="宋体"/>
                <w:b w:val="0"/>
                <w:color w:val="000000"/>
                <w:szCs w:val="24"/>
              </w:rPr>
              <w:t>涂层</w:t>
            </w:r>
          </w:p>
        </w:tc>
        <w:tc>
          <w:tcPr>
            <w:tcW w:w="2102" w:type="pct"/>
            <w:gridSpan w:val="3"/>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BCCB2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本  色  漆（um）</w:t>
            </w:r>
          </w:p>
        </w:tc>
        <w:tc>
          <w:tcPr>
            <w:tcW w:w="2175" w:type="pct"/>
            <w:gridSpan w:val="3"/>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27C85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金  属  漆（um）</w:t>
            </w:r>
          </w:p>
        </w:tc>
      </w:tr>
      <w:tr w14:paraId="28ED5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722" w:type="pct"/>
            <w:vMerge w:val="continue"/>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FE18F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p>
        </w:tc>
        <w:tc>
          <w:tcPr>
            <w:tcW w:w="676"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C5896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内表面</w:t>
            </w:r>
          </w:p>
        </w:tc>
        <w:tc>
          <w:tcPr>
            <w:tcW w:w="653"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B24970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车厢</w:t>
            </w:r>
          </w:p>
        </w:tc>
        <w:tc>
          <w:tcPr>
            <w:tcW w:w="77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5EC91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外表面</w:t>
            </w:r>
          </w:p>
        </w:tc>
        <w:tc>
          <w:tcPr>
            <w:tcW w:w="719"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1F8B99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内表面</w:t>
            </w:r>
          </w:p>
        </w:tc>
        <w:tc>
          <w:tcPr>
            <w:tcW w:w="655"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32A976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车厢</w:t>
            </w:r>
          </w:p>
        </w:tc>
        <w:tc>
          <w:tcPr>
            <w:tcW w:w="800"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58B478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外表面</w:t>
            </w:r>
          </w:p>
        </w:tc>
      </w:tr>
      <w:tr w14:paraId="1E6C1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72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D80667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薄膜前处理</w:t>
            </w:r>
          </w:p>
        </w:tc>
        <w:tc>
          <w:tcPr>
            <w:tcW w:w="4277" w:type="pct"/>
            <w:gridSpan w:val="6"/>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D2999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膜重＞40~120mg/㎡</w:t>
            </w:r>
          </w:p>
        </w:tc>
      </w:tr>
      <w:tr w14:paraId="7DFDC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72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DF931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阴极电泳漆</w:t>
            </w:r>
          </w:p>
        </w:tc>
        <w:tc>
          <w:tcPr>
            <w:tcW w:w="1330" w:type="pct"/>
            <w:gridSpan w:val="2"/>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87ED4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内腔＞8，内表面＞15</w:t>
            </w:r>
          </w:p>
        </w:tc>
        <w:tc>
          <w:tcPr>
            <w:tcW w:w="77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50E03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18~22</w:t>
            </w:r>
          </w:p>
        </w:tc>
        <w:tc>
          <w:tcPr>
            <w:tcW w:w="1375" w:type="pct"/>
            <w:gridSpan w:val="2"/>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589F5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内腔＞8，内表面＞15</w:t>
            </w:r>
          </w:p>
        </w:tc>
        <w:tc>
          <w:tcPr>
            <w:tcW w:w="800"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FA43B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18~22</w:t>
            </w:r>
          </w:p>
        </w:tc>
      </w:tr>
      <w:tr w14:paraId="27EE0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2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0EA655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中涂漆</w:t>
            </w:r>
          </w:p>
        </w:tc>
        <w:tc>
          <w:tcPr>
            <w:tcW w:w="676"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C395E2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w:t>
            </w:r>
          </w:p>
        </w:tc>
        <w:tc>
          <w:tcPr>
            <w:tcW w:w="653"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168E5C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w:t>
            </w:r>
          </w:p>
        </w:tc>
        <w:tc>
          <w:tcPr>
            <w:tcW w:w="77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97D16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15~22</w:t>
            </w:r>
          </w:p>
        </w:tc>
        <w:tc>
          <w:tcPr>
            <w:tcW w:w="719"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D9557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w:t>
            </w:r>
          </w:p>
        </w:tc>
        <w:tc>
          <w:tcPr>
            <w:tcW w:w="655"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DF48B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w:t>
            </w:r>
          </w:p>
        </w:tc>
        <w:tc>
          <w:tcPr>
            <w:tcW w:w="800"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17412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15~22</w:t>
            </w:r>
          </w:p>
        </w:tc>
      </w:tr>
      <w:tr w14:paraId="3FA6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2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3C554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色漆</w:t>
            </w:r>
          </w:p>
        </w:tc>
        <w:tc>
          <w:tcPr>
            <w:tcW w:w="676"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9A41B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20~35</w:t>
            </w:r>
          </w:p>
        </w:tc>
        <w:tc>
          <w:tcPr>
            <w:tcW w:w="653"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351D5E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＞8</w:t>
            </w:r>
          </w:p>
        </w:tc>
        <w:tc>
          <w:tcPr>
            <w:tcW w:w="77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9914D7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20~40</w:t>
            </w:r>
          </w:p>
        </w:tc>
        <w:tc>
          <w:tcPr>
            <w:tcW w:w="719"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E36B2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10~22</w:t>
            </w:r>
          </w:p>
        </w:tc>
        <w:tc>
          <w:tcPr>
            <w:tcW w:w="655"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D8674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＞8</w:t>
            </w:r>
          </w:p>
        </w:tc>
        <w:tc>
          <w:tcPr>
            <w:tcW w:w="800"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896D51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10~22</w:t>
            </w:r>
          </w:p>
        </w:tc>
      </w:tr>
      <w:tr w14:paraId="082BA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2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C8858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罩光漆</w:t>
            </w:r>
          </w:p>
        </w:tc>
        <w:tc>
          <w:tcPr>
            <w:tcW w:w="676"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F5477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40~60</w:t>
            </w:r>
          </w:p>
        </w:tc>
        <w:tc>
          <w:tcPr>
            <w:tcW w:w="653"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691ED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w:t>
            </w:r>
          </w:p>
        </w:tc>
        <w:tc>
          <w:tcPr>
            <w:tcW w:w="77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49571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40~60</w:t>
            </w:r>
          </w:p>
        </w:tc>
        <w:tc>
          <w:tcPr>
            <w:tcW w:w="719"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22DC791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40~60</w:t>
            </w:r>
          </w:p>
        </w:tc>
        <w:tc>
          <w:tcPr>
            <w:tcW w:w="655"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594C8D2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w:t>
            </w:r>
          </w:p>
        </w:tc>
        <w:tc>
          <w:tcPr>
            <w:tcW w:w="800"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16C6FD9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40~60</w:t>
            </w:r>
          </w:p>
        </w:tc>
      </w:tr>
      <w:tr w14:paraId="50999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72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7F7B1B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涂层总厚度</w:t>
            </w:r>
          </w:p>
        </w:tc>
        <w:tc>
          <w:tcPr>
            <w:tcW w:w="676"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07E740A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68~110</w:t>
            </w:r>
          </w:p>
        </w:tc>
        <w:tc>
          <w:tcPr>
            <w:tcW w:w="653"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30D83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＞23</w:t>
            </w:r>
          </w:p>
        </w:tc>
        <w:tc>
          <w:tcPr>
            <w:tcW w:w="772"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4ABDDF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93~144</w:t>
            </w:r>
          </w:p>
        </w:tc>
        <w:tc>
          <w:tcPr>
            <w:tcW w:w="719"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6D88D5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60~97</w:t>
            </w:r>
          </w:p>
        </w:tc>
        <w:tc>
          <w:tcPr>
            <w:tcW w:w="655"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3C43D6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＞23</w:t>
            </w:r>
          </w:p>
        </w:tc>
        <w:tc>
          <w:tcPr>
            <w:tcW w:w="800" w:type="pct"/>
            <w:tcBorders>
              <w:top w:val="single" w:color="000000" w:sz="4" w:space="0"/>
              <w:left w:val="single" w:color="000000" w:sz="4" w:space="0"/>
              <w:bottom w:val="single" w:color="000000" w:sz="4" w:space="0"/>
              <w:right w:val="single" w:color="000000" w:sz="4" w:space="0"/>
            </w:tcBorders>
            <w:shd w:val="clear" w:color="auto" w:fill="FFFFFF"/>
            <w:tcMar>
              <w:left w:w="108" w:type="dxa"/>
              <w:right w:w="108" w:type="dxa"/>
            </w:tcMar>
            <w:vAlign w:val="center"/>
          </w:tcPr>
          <w:p w14:paraId="608E4C2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val="0"/>
                <w:color w:val="000000"/>
                <w:sz w:val="24"/>
              </w:rPr>
            </w:pPr>
            <w:r>
              <w:rPr>
                <w:rFonts w:hint="eastAsia" w:ascii="宋体" w:hAnsi="宋体" w:eastAsia="宋体" w:cs="宋体"/>
                <w:b w:val="0"/>
                <w:color w:val="000000"/>
                <w:sz w:val="24"/>
              </w:rPr>
              <w:t>83~126</w:t>
            </w:r>
          </w:p>
        </w:tc>
      </w:tr>
      <w:bookmarkEnd w:id="16"/>
      <w:bookmarkEnd w:id="17"/>
    </w:tbl>
    <w:p w14:paraId="37B8262B">
      <w:pPr>
        <w:pStyle w:val="17"/>
        <w:pageBreakBefore w:val="0"/>
        <w:numPr>
          <w:ilvl w:val="0"/>
          <w:numId w:val="18"/>
        </w:numPr>
        <w:kinsoku/>
        <w:topLinePunct w:val="0"/>
        <w:bidi w:val="0"/>
        <w:adjustRightInd w:val="0"/>
        <w:snapToGrid w:val="0"/>
        <w:spacing w:before="0" w:after="0" w:afterAutospacing="0" w:line="360" w:lineRule="auto"/>
        <w:ind w:left="0" w:firstLine="0" w:firstLineChars="0"/>
        <w:rPr>
          <w:rFonts w:hint="eastAsia" w:ascii="宋体" w:hAnsi="宋体" w:eastAsia="宋体" w:cs="宋体"/>
          <w:sz w:val="24"/>
          <w:szCs w:val="24"/>
        </w:rPr>
      </w:pPr>
      <w:bookmarkStart w:id="20" w:name="_Toc16142_WPSOffice_Level2"/>
      <w:bookmarkStart w:id="21" w:name="_Toc2820_WPSOffice_Level2"/>
      <w:bookmarkStart w:id="22" w:name="_Toc435620196"/>
      <w:r>
        <w:rPr>
          <w:rFonts w:hint="eastAsia" w:ascii="宋体" w:hAnsi="宋体" w:cs="宋体"/>
          <w:sz w:val="24"/>
          <w:szCs w:val="24"/>
          <w:lang w:eastAsia="zh-CN"/>
        </w:rPr>
        <w:t>涂装</w:t>
      </w:r>
      <w:r>
        <w:rPr>
          <w:rFonts w:hint="eastAsia" w:ascii="宋体" w:hAnsi="宋体" w:eastAsia="宋体" w:cs="宋体"/>
          <w:sz w:val="24"/>
          <w:szCs w:val="24"/>
        </w:rPr>
        <w:t>工艺水平</w:t>
      </w:r>
      <w:bookmarkEnd w:id="20"/>
      <w:bookmarkEnd w:id="21"/>
      <w:bookmarkEnd w:id="22"/>
    </w:p>
    <w:p w14:paraId="5614486C">
      <w:pPr>
        <w:pStyle w:val="17"/>
        <w:keepNext w:val="0"/>
        <w:keepLines w:val="0"/>
        <w:pageBreakBefore w:val="0"/>
        <w:widowControl w:val="0"/>
        <w:numPr>
          <w:ilvl w:val="0"/>
          <w:numId w:val="21"/>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喷漆室采用干式喷漆室结构，喷漆室考虑节能利用。B1B2免中涂紧凑型喷涂工艺。喷漆室内废气利旧采用活性炭吸附处理。</w:t>
      </w:r>
    </w:p>
    <w:p w14:paraId="713BF67E">
      <w:pPr>
        <w:pStyle w:val="17"/>
        <w:pageBreakBefore w:val="0"/>
        <w:numPr>
          <w:ilvl w:val="0"/>
          <w:numId w:val="21"/>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烘干炉采用天然气加热热风对流炉，烘干炉废气采用RTO焚烧炉处理。</w:t>
      </w:r>
    </w:p>
    <w:p w14:paraId="265088FF">
      <w:pPr>
        <w:pStyle w:val="17"/>
        <w:pageBreakBefore w:val="0"/>
        <w:numPr>
          <w:ilvl w:val="0"/>
          <w:numId w:val="21"/>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胶、蜡、中涂、色漆及清漆等采用自动输调装置，提高材料利用率，确保连续生产。</w:t>
      </w:r>
    </w:p>
    <w:p w14:paraId="3BD3E69E">
      <w:pPr>
        <w:pStyle w:val="17"/>
        <w:keepNext w:val="0"/>
        <w:keepLines w:val="0"/>
        <w:pageBreakBefore w:val="0"/>
        <w:widowControl w:val="0"/>
        <w:numPr>
          <w:ilvl w:val="0"/>
          <w:numId w:val="21"/>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车身内表面（门框、门内板）采用人工喷涂，外表面全部采用喷漆机器人工作来确保喷涂工效和质量，车厢内部采用喷漆机器人工作，减少涂料消耗，节约成本。</w:t>
      </w:r>
    </w:p>
    <w:p w14:paraId="75671C1E">
      <w:pPr>
        <w:pStyle w:val="17"/>
        <w:pageBreakBefore w:val="0"/>
        <w:numPr>
          <w:ilvl w:val="0"/>
          <w:numId w:val="21"/>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车间维持微正压，人员进车间设风淋室。</w:t>
      </w:r>
    </w:p>
    <w:p w14:paraId="5776FA03">
      <w:pPr>
        <w:pStyle w:val="17"/>
        <w:pageBreakBefore w:val="0"/>
        <w:numPr>
          <w:ilvl w:val="0"/>
          <w:numId w:val="18"/>
        </w:numPr>
        <w:kinsoku/>
        <w:topLinePunct w:val="0"/>
        <w:bidi w:val="0"/>
        <w:adjustRightInd w:val="0"/>
        <w:snapToGrid w:val="0"/>
        <w:spacing w:before="0" w:after="0" w:afterAutospacing="0" w:line="360" w:lineRule="auto"/>
        <w:ind w:left="0" w:firstLine="0" w:firstLineChars="0"/>
        <w:jc w:val="left"/>
        <w:rPr>
          <w:rFonts w:hint="eastAsia" w:ascii="宋体" w:hAnsi="宋体" w:eastAsia="宋体" w:cs="宋体"/>
          <w:sz w:val="24"/>
          <w:szCs w:val="24"/>
        </w:rPr>
      </w:pPr>
      <w:bookmarkStart w:id="23" w:name="_Toc17190_WPSOffice_Level2"/>
      <w:bookmarkStart w:id="24" w:name="_Toc1244_WPSOffice_Level2"/>
      <w:bookmarkStart w:id="25" w:name="_Toc435620197"/>
      <w:r>
        <w:rPr>
          <w:rFonts w:hint="eastAsia" w:ascii="宋体" w:hAnsi="宋体" w:cs="宋体"/>
          <w:sz w:val="24"/>
          <w:szCs w:val="24"/>
          <w:lang w:eastAsia="zh-CN"/>
        </w:rPr>
        <w:t>涂装</w:t>
      </w:r>
      <w:r>
        <w:rPr>
          <w:rFonts w:hint="eastAsia" w:ascii="宋体" w:hAnsi="宋体" w:eastAsia="宋体" w:cs="宋体"/>
          <w:sz w:val="24"/>
          <w:szCs w:val="24"/>
        </w:rPr>
        <w:t>新技术应用</w:t>
      </w:r>
      <w:bookmarkEnd w:id="23"/>
      <w:bookmarkEnd w:id="24"/>
      <w:bookmarkEnd w:id="25"/>
    </w:p>
    <w:p w14:paraId="75531E09">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前处理采用薄膜工艺，提高产品质量，降低运行成本。</w:t>
      </w:r>
    </w:p>
    <w:p w14:paraId="2A9E5E6E">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 xml:space="preserve">喷漆线B1B2水性紧凑型喷涂工艺，节能减排，降低运行成本。 </w:t>
      </w:r>
    </w:p>
    <w:p w14:paraId="4A523D93">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 xml:space="preserve">面漆喷漆室采用循环风新技术，降低运行能耗成本。  </w:t>
      </w:r>
    </w:p>
    <w:p w14:paraId="66A8F8D2">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绿色工厂，废气采用活性炭吸附处理、RTO集中焚烧两种处理方式处理（利旧）。</w:t>
      </w:r>
    </w:p>
    <w:p w14:paraId="797D8957">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采用洁净布置设计，减少返修量。</w:t>
      </w:r>
    </w:p>
    <w:p w14:paraId="0D2F0336">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采用自由度高，仿真效果好的内、外喷漆机器人、自动输调漆装置来确保喷涂质量。</w:t>
      </w:r>
    </w:p>
    <w:p w14:paraId="3E709288">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前处理和电泳设备在运行时，采用加湿工艺保证工件在湿膜状态，确保产品品质。</w:t>
      </w:r>
    </w:p>
    <w:p w14:paraId="648CD820">
      <w:pPr>
        <w:pStyle w:val="17"/>
        <w:pageBreakBefore w:val="0"/>
        <w:numPr>
          <w:ilvl w:val="0"/>
          <w:numId w:val="22"/>
        </w:numPr>
        <w:tabs>
          <w:tab w:val="left" w:pos="0"/>
        </w:tabs>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滑橇清理采用高压水洗设备，实现在线清洗，喷漆格栅下线清洗。</w:t>
      </w:r>
    </w:p>
    <w:p w14:paraId="65AA2E90">
      <w:pPr>
        <w:pStyle w:val="17"/>
        <w:keepNext w:val="0"/>
        <w:keepLines w:val="0"/>
        <w:pageBreakBefore w:val="0"/>
        <w:widowControl w:val="0"/>
        <w:numPr>
          <w:ilvl w:val="0"/>
          <w:numId w:val="22"/>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以全面质量管理为核心，以工序控制为关键，健全车间设备及自动化运营维护管理制度，确保生产高效运转。</w:t>
      </w:r>
    </w:p>
    <w:p w14:paraId="54740C21">
      <w:pPr>
        <w:pStyle w:val="17"/>
        <w:pageBreakBefore w:val="0"/>
        <w:numPr>
          <w:ilvl w:val="0"/>
          <w:numId w:val="18"/>
        </w:numPr>
        <w:kinsoku/>
        <w:topLinePunct w:val="0"/>
        <w:bidi w:val="0"/>
        <w:adjustRightInd w:val="0"/>
        <w:snapToGrid w:val="0"/>
        <w:spacing w:before="0" w:after="0" w:afterAutospacing="0" w:line="360" w:lineRule="auto"/>
        <w:ind w:left="0" w:firstLine="0" w:firstLineChars="0"/>
        <w:jc w:val="left"/>
        <w:rPr>
          <w:rFonts w:hint="eastAsia" w:ascii="宋体" w:hAnsi="宋体" w:eastAsia="宋体" w:cs="宋体"/>
          <w:sz w:val="24"/>
          <w:szCs w:val="24"/>
        </w:rPr>
      </w:pPr>
      <w:bookmarkStart w:id="26" w:name="_Toc327_WPSOffice_Level2"/>
      <w:bookmarkStart w:id="27" w:name="_Toc435620204"/>
      <w:bookmarkStart w:id="28" w:name="_Toc17224_WPSOffice_Level2"/>
      <w:r>
        <w:rPr>
          <w:rFonts w:hint="eastAsia" w:ascii="宋体" w:hAnsi="宋体" w:cs="宋体"/>
          <w:sz w:val="24"/>
          <w:szCs w:val="24"/>
          <w:lang w:eastAsia="zh-CN"/>
        </w:rPr>
        <w:t>涂装</w:t>
      </w:r>
      <w:r>
        <w:rPr>
          <w:rFonts w:hint="eastAsia" w:ascii="宋体" w:hAnsi="宋体" w:eastAsia="宋体" w:cs="宋体"/>
          <w:sz w:val="24"/>
          <w:szCs w:val="24"/>
        </w:rPr>
        <w:t>生产物流</w:t>
      </w:r>
      <w:bookmarkEnd w:id="26"/>
      <w:bookmarkEnd w:id="27"/>
      <w:r>
        <w:rPr>
          <w:rFonts w:hint="eastAsia" w:ascii="宋体" w:hAnsi="宋体" w:eastAsia="宋体" w:cs="宋体"/>
          <w:sz w:val="24"/>
          <w:szCs w:val="24"/>
        </w:rPr>
        <w:tab/>
      </w:r>
      <w:bookmarkEnd w:id="28"/>
      <w:bookmarkStart w:id="29" w:name="_Hlk38890772"/>
    </w:p>
    <w:p w14:paraId="094F8634">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输送方式：在焊装车间白车身通过AGV小车输送到涂装车间进口处，通过行车将白车身转挂至涂装电泳滑橇上（预留叉式移栽机、侧顶机位置）。转挂完成后AGV小车返回焊装车间。涂装滑橇将白车身输送至预清理工位，进行工装安装及预清理工作。</w:t>
      </w:r>
    </w:p>
    <w:p w14:paraId="1DFEB389">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车身通过辊床滑橇输送到锁紧工位根据车身支点标准定位和锁紧。</w:t>
      </w:r>
    </w:p>
    <w:p w14:paraId="1AC6D4DC">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前处理电泳设备输送方式为自行双轨小车。</w:t>
      </w:r>
    </w:p>
    <w:p w14:paraId="7DC140AF">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color w:val="000000"/>
        </w:rPr>
        <w:t>电泳线出口，经过人工吹水、解锁及解锁检测后，通过辊床及横移机输送辊床进入电泳烘干室。</w:t>
      </w:r>
    </w:p>
    <w:p w14:paraId="4B031BCE">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车身将被输送通过电泳烘干室和强冷区。</w:t>
      </w:r>
      <w:bookmarkEnd w:id="29"/>
    </w:p>
    <w:p w14:paraId="5CBA350E">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电泳后车身通过辊床及横移机进入电泳后车身存储区，通过行车进行面漆橇更换（预留叉式移栽机、侧顶机位置）。</w:t>
      </w:r>
    </w:p>
    <w:p w14:paraId="0B0E0FC8">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备品备件进入备件下线区。</w:t>
      </w:r>
    </w:p>
    <w:p w14:paraId="671B04A5">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通过密封线后，车身被输送通过胶烘干室和强冷室，车身进入排空缓冲区冷却后，进入电泳打磨间，如果需要返修，进入离线返修区。</w:t>
      </w:r>
    </w:p>
    <w:p w14:paraId="4060046D">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喷面漆的车身将被送到面漆颜色缓冲区。</w:t>
      </w:r>
    </w:p>
    <w:p w14:paraId="761DF0EB">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车厢内部不喷涂B2的车身通过外表面喷涂区B1、内外表面喷涂区B2，水份烘干室，内外表面喷涂区CC，烘干室及强冷区。</w:t>
      </w:r>
    </w:p>
    <w:p w14:paraId="3425FBFA">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车厢内部喷涂B2的车身，通过车厢喷涂区再进入外表面喷涂区B1、内外表面喷涂区B2，水份烘干室，内外表面喷涂区CC，烘干室及强冷区。</w:t>
      </w:r>
    </w:p>
    <w:p w14:paraId="1F129EEB">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应有足够的缓冲用来在车间下班和紧急情况下排空喷漆室和烘干室。</w:t>
      </w:r>
    </w:p>
    <w:p w14:paraId="6F7461B8">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面漆后车身将运送到检查修饰线，合格车身送往终检线，不合格车身送往小修线；终检检出不合格的车身能重新进入检查修饰线。</w:t>
      </w:r>
    </w:p>
    <w:p w14:paraId="3FFF1194">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套色的车身经过面漆检查修饰室处理后，送到套色遮蔽打磨线，完成后回主线喷面漆烘干后到检查修饰室精修。</w:t>
      </w:r>
    </w:p>
    <w:p w14:paraId="4D1699E7">
      <w:pPr>
        <w:pStyle w:val="17"/>
        <w:keepNext w:val="0"/>
        <w:keepLines w:val="0"/>
        <w:pageBreakBefore w:val="0"/>
        <w:widowControl/>
        <w:numPr>
          <w:ilvl w:val="0"/>
          <w:numId w:val="2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合格的车身进入喷涂线后送往漆后车身存储区。车身转入喷蜡线，在总装车间入口车身与面漆滑橇分开。面漆滑橇通过空滑橇输送储存线自动进行堆垛。</w:t>
      </w:r>
    </w:p>
    <w:p w14:paraId="6DAAC4BA">
      <w:pPr>
        <w:pStyle w:val="17"/>
        <w:pageBreakBefore w:val="0"/>
        <w:widowControl/>
        <w:numPr>
          <w:ilvl w:val="0"/>
          <w:numId w:val="23"/>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缺陷轻微的车身将在点修补区局部补漆，检查，然后送到漆后车身存储区过喷蜡。</w:t>
      </w:r>
    </w:p>
    <w:p w14:paraId="3FE16C25">
      <w:pPr>
        <w:pStyle w:val="17"/>
        <w:pageBreakBefore w:val="0"/>
        <w:widowControl/>
        <w:numPr>
          <w:ilvl w:val="0"/>
          <w:numId w:val="23"/>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缺陷严重的车身将通过套色返回线送到面漆线，重新通过喷漆室和烘干室。</w:t>
      </w:r>
    </w:p>
    <w:p w14:paraId="70BAC1C4">
      <w:pPr>
        <w:pStyle w:val="17"/>
        <w:pageBreakBefore w:val="0"/>
        <w:widowControl/>
        <w:numPr>
          <w:ilvl w:val="0"/>
          <w:numId w:val="23"/>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经检查抛光修饰线终检合格后的车身可以直接送至Audit检测间。</w:t>
      </w:r>
    </w:p>
    <w:p w14:paraId="588C3B9D">
      <w:pPr>
        <w:pStyle w:val="17"/>
        <w:pageBreakBefore w:val="0"/>
        <w:widowControl/>
        <w:numPr>
          <w:ilvl w:val="0"/>
          <w:numId w:val="23"/>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漆后合格成品车身经转挂进入喷蜡，并在喷蜡室完成喷蜡</w:t>
      </w:r>
      <w:r>
        <w:rPr>
          <w:rFonts w:hint="eastAsia" w:ascii="宋体" w:hAnsi="宋体" w:cs="宋体"/>
          <w:lang w:eastAsia="zh-CN"/>
        </w:rPr>
        <w:t>后</w:t>
      </w:r>
      <w:r>
        <w:rPr>
          <w:rFonts w:hint="eastAsia" w:ascii="宋体" w:hAnsi="宋体" w:eastAsia="宋体" w:cs="宋体"/>
        </w:rPr>
        <w:t>进入总装库区。</w:t>
      </w:r>
      <w:bookmarkStart w:id="30" w:name="_Toc435620206"/>
      <w:bookmarkStart w:id="31" w:name="_Toc232769529"/>
    </w:p>
    <w:p w14:paraId="604426A6">
      <w:pPr>
        <w:pStyle w:val="17"/>
        <w:pageBreakBefore w:val="0"/>
        <w:widowControl/>
        <w:numPr>
          <w:ilvl w:val="0"/>
          <w:numId w:val="23"/>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color w:val="000000"/>
        </w:rPr>
      </w:pPr>
      <w:r>
        <w:rPr>
          <w:rFonts w:hint="eastAsia" w:ascii="宋体" w:hAnsi="宋体" w:eastAsia="宋体" w:cs="宋体"/>
          <w:color w:val="000000"/>
        </w:rPr>
        <w:t>工件储存</w:t>
      </w:r>
      <w:bookmarkEnd w:id="30"/>
      <w:bookmarkEnd w:id="31"/>
      <w:r>
        <w:rPr>
          <w:rFonts w:hint="eastAsia" w:ascii="宋体" w:hAnsi="宋体" w:eastAsia="宋体" w:cs="宋体"/>
          <w:color w:val="000000"/>
        </w:rPr>
        <w:t>：</w:t>
      </w:r>
    </w:p>
    <w:p w14:paraId="3CE5EB90">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涂装不考虑漆前白车身存储，前处理电泳线班后成品车到储存线。各烘干炉考虑班后跑空存放区。</w:t>
      </w:r>
      <w:bookmarkStart w:id="32" w:name="_Toc435620207"/>
    </w:p>
    <w:p w14:paraId="4A840448">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电泳后车身备件进出方式</w:t>
      </w:r>
      <w:bookmarkEnd w:id="32"/>
      <w:r>
        <w:rPr>
          <w:rFonts w:hint="eastAsia" w:ascii="宋体" w:hAnsi="宋体" w:eastAsia="宋体" w:cs="宋体"/>
        </w:rPr>
        <w:t>方便快捷。</w:t>
      </w:r>
    </w:p>
    <w:p w14:paraId="34314349">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电泳后车身备件从车间一楼备品备件下线处下线后送出。</w:t>
      </w:r>
    </w:p>
    <w:tbl>
      <w:tblPr>
        <w:tblStyle w:val="44"/>
        <w:tblpPr w:leftFromText="180" w:rightFromText="180" w:vertAnchor="text" w:horzAnchor="page" w:tblpX="1304" w:tblpY="460"/>
        <w:tblOverlap w:val="never"/>
        <w:tblW w:w="4997" w:type="pct"/>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108" w:type="dxa"/>
          <w:bottom w:w="0" w:type="dxa"/>
          <w:right w:w="108" w:type="dxa"/>
        </w:tblCellMar>
      </w:tblPr>
      <w:tblGrid>
        <w:gridCol w:w="1704"/>
        <w:gridCol w:w="1998"/>
        <w:gridCol w:w="1123"/>
        <w:gridCol w:w="1403"/>
        <w:gridCol w:w="1949"/>
        <w:gridCol w:w="1471"/>
      </w:tblGrid>
      <w:tr w14:paraId="28AE2AC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vMerge w:val="restart"/>
            <w:tcBorders>
              <w:bottom w:val="single" w:color="auto" w:sz="4" w:space="0"/>
              <w:right w:val="single" w:color="auto" w:sz="4" w:space="0"/>
            </w:tcBorders>
            <w:vAlign w:val="center"/>
          </w:tcPr>
          <w:p w14:paraId="1F4BA0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bookmarkStart w:id="33" w:name="_Toc2778_WPSOffice_Level2"/>
            <w:bookmarkStart w:id="34" w:name="_Toc32073_WPSOffice_Level2"/>
            <w:bookmarkStart w:id="35" w:name="_Toc28240_WPSOffice_Level2"/>
            <w:r>
              <w:rPr>
                <w:rFonts w:hint="eastAsia" w:ascii="宋体" w:hAnsi="宋体" w:eastAsia="宋体" w:cs="宋体"/>
                <w:color w:val="000000"/>
                <w:sz w:val="24"/>
                <w:szCs w:val="24"/>
              </w:rPr>
              <w:t>工序名称</w:t>
            </w:r>
          </w:p>
        </w:tc>
        <w:tc>
          <w:tcPr>
            <w:tcW w:w="3354" w:type="pct"/>
            <w:gridSpan w:val="4"/>
            <w:tcBorders>
              <w:left w:val="nil"/>
              <w:bottom w:val="single" w:color="auto" w:sz="4" w:space="0"/>
              <w:right w:val="single" w:color="auto" w:sz="4" w:space="0"/>
            </w:tcBorders>
            <w:vAlign w:val="center"/>
          </w:tcPr>
          <w:p w14:paraId="6857188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工艺技术参数</w:t>
            </w:r>
          </w:p>
        </w:tc>
        <w:tc>
          <w:tcPr>
            <w:tcW w:w="762" w:type="pct"/>
            <w:vMerge w:val="restart"/>
            <w:tcBorders>
              <w:left w:val="single" w:color="auto" w:sz="4" w:space="0"/>
              <w:bottom w:val="single" w:color="auto" w:sz="4" w:space="0"/>
            </w:tcBorders>
            <w:vAlign w:val="center"/>
          </w:tcPr>
          <w:p w14:paraId="635DFE3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09C7644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vMerge w:val="continue"/>
            <w:tcBorders>
              <w:top w:val="single" w:color="auto" w:sz="4" w:space="0"/>
              <w:bottom w:val="single" w:color="auto" w:sz="4" w:space="0"/>
              <w:right w:val="single" w:color="auto" w:sz="4" w:space="0"/>
            </w:tcBorders>
            <w:vAlign w:val="center"/>
          </w:tcPr>
          <w:p w14:paraId="185E4108">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color w:val="000000"/>
                <w:sz w:val="24"/>
                <w:szCs w:val="24"/>
              </w:rPr>
            </w:pPr>
          </w:p>
        </w:tc>
        <w:tc>
          <w:tcPr>
            <w:tcW w:w="1035" w:type="pct"/>
            <w:tcBorders>
              <w:top w:val="nil"/>
              <w:left w:val="nil"/>
              <w:bottom w:val="single" w:color="auto" w:sz="4" w:space="0"/>
              <w:right w:val="single" w:color="auto" w:sz="4" w:space="0"/>
            </w:tcBorders>
            <w:vAlign w:val="center"/>
          </w:tcPr>
          <w:p w14:paraId="12ABF3A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处理方法</w:t>
            </w:r>
          </w:p>
        </w:tc>
        <w:tc>
          <w:tcPr>
            <w:tcW w:w="582" w:type="pct"/>
            <w:tcBorders>
              <w:top w:val="nil"/>
              <w:left w:val="nil"/>
              <w:bottom w:val="single" w:color="auto" w:sz="4" w:space="0"/>
              <w:right w:val="single" w:color="auto" w:sz="4" w:space="0"/>
            </w:tcBorders>
            <w:vAlign w:val="center"/>
          </w:tcPr>
          <w:p w14:paraId="2BC924F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处理介质</w:t>
            </w:r>
          </w:p>
        </w:tc>
        <w:tc>
          <w:tcPr>
            <w:tcW w:w="727" w:type="pct"/>
            <w:tcBorders>
              <w:top w:val="nil"/>
              <w:left w:val="nil"/>
              <w:bottom w:val="single" w:color="auto" w:sz="4" w:space="0"/>
              <w:right w:val="single" w:color="auto" w:sz="4" w:space="0"/>
            </w:tcBorders>
            <w:vAlign w:val="center"/>
          </w:tcPr>
          <w:p w14:paraId="4474FE2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处理温度（℃）</w:t>
            </w:r>
          </w:p>
        </w:tc>
        <w:tc>
          <w:tcPr>
            <w:tcW w:w="1008" w:type="pct"/>
            <w:tcBorders>
              <w:top w:val="nil"/>
              <w:left w:val="nil"/>
              <w:bottom w:val="single" w:color="auto" w:sz="4" w:space="0"/>
              <w:right w:val="single" w:color="auto" w:sz="4" w:space="0"/>
            </w:tcBorders>
            <w:vAlign w:val="center"/>
          </w:tcPr>
          <w:p w14:paraId="545A59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处理时间（min）</w:t>
            </w:r>
          </w:p>
        </w:tc>
        <w:tc>
          <w:tcPr>
            <w:tcW w:w="762" w:type="pct"/>
            <w:vMerge w:val="continue"/>
            <w:tcBorders>
              <w:top w:val="single" w:color="auto" w:sz="4" w:space="0"/>
              <w:left w:val="single" w:color="auto" w:sz="4" w:space="0"/>
              <w:bottom w:val="single" w:color="auto" w:sz="4" w:space="0"/>
            </w:tcBorders>
            <w:vAlign w:val="center"/>
          </w:tcPr>
          <w:p w14:paraId="69BC43B2">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color w:val="000000"/>
                <w:sz w:val="24"/>
                <w:szCs w:val="24"/>
              </w:rPr>
            </w:pPr>
          </w:p>
        </w:tc>
      </w:tr>
      <w:tr w14:paraId="3881B74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738C696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预清理</w:t>
            </w:r>
          </w:p>
        </w:tc>
        <w:tc>
          <w:tcPr>
            <w:tcW w:w="1035" w:type="pct"/>
            <w:tcBorders>
              <w:top w:val="nil"/>
              <w:left w:val="nil"/>
              <w:bottom w:val="single" w:color="auto" w:sz="4" w:space="0"/>
              <w:right w:val="single" w:color="auto" w:sz="4" w:space="0"/>
            </w:tcBorders>
            <w:vAlign w:val="center"/>
          </w:tcPr>
          <w:p w14:paraId="6E0E6D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5AE6D1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71BC96D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008" w:type="pct"/>
            <w:tcBorders>
              <w:top w:val="nil"/>
              <w:left w:val="nil"/>
              <w:bottom w:val="single" w:color="auto" w:sz="4" w:space="0"/>
              <w:right w:val="single" w:color="auto" w:sz="4" w:space="0"/>
            </w:tcBorders>
            <w:vAlign w:val="center"/>
          </w:tcPr>
          <w:p w14:paraId="649DF0D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bottom w:val="single" w:color="auto" w:sz="4" w:space="0"/>
            </w:tcBorders>
            <w:vAlign w:val="center"/>
          </w:tcPr>
          <w:p w14:paraId="5442AC0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上门盖工装</w:t>
            </w:r>
          </w:p>
        </w:tc>
      </w:tr>
      <w:tr w14:paraId="52AE8B7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0C5195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前处理线</w:t>
            </w:r>
          </w:p>
        </w:tc>
        <w:tc>
          <w:tcPr>
            <w:tcW w:w="1035" w:type="pct"/>
            <w:tcBorders>
              <w:top w:val="nil"/>
              <w:left w:val="nil"/>
              <w:bottom w:val="single" w:color="auto" w:sz="4" w:space="0"/>
              <w:right w:val="single" w:color="auto" w:sz="4" w:space="0"/>
            </w:tcBorders>
            <w:vAlign w:val="center"/>
          </w:tcPr>
          <w:p w14:paraId="30594AF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582" w:type="pct"/>
            <w:tcBorders>
              <w:top w:val="nil"/>
              <w:left w:val="nil"/>
              <w:bottom w:val="single" w:color="auto" w:sz="4" w:space="0"/>
              <w:right w:val="single" w:color="auto" w:sz="4" w:space="0"/>
            </w:tcBorders>
            <w:vAlign w:val="center"/>
          </w:tcPr>
          <w:p w14:paraId="2CCEC37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7BCB66D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1008" w:type="pct"/>
            <w:tcBorders>
              <w:top w:val="nil"/>
              <w:left w:val="nil"/>
              <w:bottom w:val="single" w:color="auto" w:sz="4" w:space="0"/>
              <w:right w:val="single" w:color="auto" w:sz="4" w:space="0"/>
            </w:tcBorders>
            <w:vAlign w:val="center"/>
          </w:tcPr>
          <w:p w14:paraId="3024E01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p>
        </w:tc>
        <w:tc>
          <w:tcPr>
            <w:tcW w:w="762" w:type="pct"/>
            <w:tcBorders>
              <w:top w:val="nil"/>
              <w:left w:val="nil"/>
              <w:bottom w:val="single" w:color="auto" w:sz="4" w:space="0"/>
            </w:tcBorders>
            <w:vAlign w:val="center"/>
          </w:tcPr>
          <w:p w14:paraId="6137202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10JPH</w:t>
            </w:r>
          </w:p>
        </w:tc>
      </w:tr>
      <w:tr w14:paraId="2BBC9EA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7F891F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预脱脂</w:t>
            </w:r>
          </w:p>
        </w:tc>
        <w:tc>
          <w:tcPr>
            <w:tcW w:w="1035" w:type="pct"/>
            <w:tcBorders>
              <w:top w:val="nil"/>
              <w:left w:val="nil"/>
              <w:bottom w:val="single" w:color="auto" w:sz="4" w:space="0"/>
              <w:right w:val="single" w:color="auto" w:sz="4" w:space="0"/>
            </w:tcBorders>
            <w:vAlign w:val="center"/>
          </w:tcPr>
          <w:p w14:paraId="3191A5C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全浸</w:t>
            </w:r>
          </w:p>
        </w:tc>
        <w:tc>
          <w:tcPr>
            <w:tcW w:w="582" w:type="pct"/>
            <w:tcBorders>
              <w:top w:val="nil"/>
              <w:left w:val="nil"/>
              <w:bottom w:val="single" w:color="auto" w:sz="4" w:space="0"/>
              <w:right w:val="single" w:color="auto" w:sz="4" w:space="0"/>
            </w:tcBorders>
            <w:vAlign w:val="center"/>
          </w:tcPr>
          <w:p w14:paraId="4745BC3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3CFB8E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55</w:t>
            </w:r>
          </w:p>
        </w:tc>
        <w:tc>
          <w:tcPr>
            <w:tcW w:w="1008" w:type="pct"/>
            <w:tcBorders>
              <w:top w:val="nil"/>
              <w:left w:val="nil"/>
              <w:bottom w:val="single" w:color="auto" w:sz="4" w:space="0"/>
              <w:right w:val="single" w:color="auto" w:sz="4" w:space="0"/>
            </w:tcBorders>
            <w:vAlign w:val="center"/>
          </w:tcPr>
          <w:p w14:paraId="28A0FD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762" w:type="pct"/>
            <w:tcBorders>
              <w:top w:val="nil"/>
              <w:left w:val="nil"/>
              <w:bottom w:val="single" w:color="auto" w:sz="4" w:space="0"/>
            </w:tcBorders>
            <w:vAlign w:val="center"/>
          </w:tcPr>
          <w:p w14:paraId="53CA74A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13A8E9F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08F8C2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脱脂</w:t>
            </w:r>
          </w:p>
        </w:tc>
        <w:tc>
          <w:tcPr>
            <w:tcW w:w="1035" w:type="pct"/>
            <w:tcBorders>
              <w:top w:val="nil"/>
              <w:left w:val="nil"/>
              <w:bottom w:val="single" w:color="auto" w:sz="4" w:space="0"/>
              <w:right w:val="single" w:color="auto" w:sz="4" w:space="0"/>
            </w:tcBorders>
            <w:vAlign w:val="center"/>
          </w:tcPr>
          <w:p w14:paraId="62AD11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全浸+出槽喷淋</w:t>
            </w:r>
          </w:p>
        </w:tc>
        <w:tc>
          <w:tcPr>
            <w:tcW w:w="582" w:type="pct"/>
            <w:tcBorders>
              <w:top w:val="nil"/>
              <w:left w:val="nil"/>
              <w:bottom w:val="single" w:color="auto" w:sz="4" w:space="0"/>
              <w:right w:val="single" w:color="auto" w:sz="4" w:space="0"/>
            </w:tcBorders>
            <w:vAlign w:val="center"/>
          </w:tcPr>
          <w:p w14:paraId="32DB9D2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6BCC8DD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55</w:t>
            </w:r>
          </w:p>
        </w:tc>
        <w:tc>
          <w:tcPr>
            <w:tcW w:w="1008" w:type="pct"/>
            <w:tcBorders>
              <w:top w:val="nil"/>
              <w:left w:val="nil"/>
              <w:bottom w:val="single" w:color="auto" w:sz="4" w:space="0"/>
              <w:right w:val="single" w:color="auto" w:sz="4" w:space="0"/>
            </w:tcBorders>
            <w:vAlign w:val="center"/>
          </w:tcPr>
          <w:p w14:paraId="1CCD4BE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762" w:type="pct"/>
            <w:tcBorders>
              <w:top w:val="nil"/>
              <w:left w:val="nil"/>
              <w:bottom w:val="single" w:color="auto" w:sz="4" w:space="0"/>
            </w:tcBorders>
            <w:vAlign w:val="center"/>
          </w:tcPr>
          <w:p w14:paraId="4DB85EE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3510860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4B979B9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水洗1</w:t>
            </w:r>
          </w:p>
        </w:tc>
        <w:tc>
          <w:tcPr>
            <w:tcW w:w="1035" w:type="pct"/>
            <w:tcBorders>
              <w:top w:val="nil"/>
              <w:left w:val="nil"/>
              <w:bottom w:val="single" w:color="auto" w:sz="4" w:space="0"/>
              <w:right w:val="single" w:color="auto" w:sz="4" w:space="0"/>
            </w:tcBorders>
            <w:vAlign w:val="center"/>
          </w:tcPr>
          <w:p w14:paraId="574445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vAlign w:val="center"/>
          </w:tcPr>
          <w:p w14:paraId="652926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3D7E79A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74D352F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vAlign w:val="center"/>
          </w:tcPr>
          <w:p w14:paraId="385D90F0">
            <w:pPr>
              <w:pageBreakBefore w:val="0"/>
              <w:widowControl/>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w:t>
            </w:r>
          </w:p>
        </w:tc>
      </w:tr>
      <w:tr w14:paraId="09596ED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7BA04A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水洗2</w:t>
            </w:r>
          </w:p>
        </w:tc>
        <w:tc>
          <w:tcPr>
            <w:tcW w:w="1035" w:type="pct"/>
            <w:tcBorders>
              <w:top w:val="nil"/>
              <w:left w:val="nil"/>
              <w:bottom w:val="single" w:color="auto" w:sz="4" w:space="0"/>
              <w:right w:val="single" w:color="auto" w:sz="4" w:space="0"/>
            </w:tcBorders>
            <w:vAlign w:val="center"/>
          </w:tcPr>
          <w:p w14:paraId="4571D0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vAlign w:val="center"/>
          </w:tcPr>
          <w:p w14:paraId="564C94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6C7B15E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50A8841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vAlign w:val="center"/>
          </w:tcPr>
          <w:p w14:paraId="07E1946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3282C99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160138B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纯水1</w:t>
            </w:r>
          </w:p>
        </w:tc>
        <w:tc>
          <w:tcPr>
            <w:tcW w:w="1035" w:type="pct"/>
            <w:tcBorders>
              <w:top w:val="nil"/>
              <w:left w:val="nil"/>
              <w:bottom w:val="single" w:color="auto" w:sz="4" w:space="0"/>
              <w:right w:val="single" w:color="auto" w:sz="4" w:space="0"/>
            </w:tcBorders>
            <w:vAlign w:val="center"/>
          </w:tcPr>
          <w:p w14:paraId="6D576A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vAlign w:val="center"/>
          </w:tcPr>
          <w:p w14:paraId="2CDB625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shd w:val="clear" w:color="auto" w:fill="auto"/>
            <w:vAlign w:val="center"/>
          </w:tcPr>
          <w:p w14:paraId="1CFC9F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auto" w:fill="auto"/>
            <w:vAlign w:val="center"/>
          </w:tcPr>
          <w:p w14:paraId="223723B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vAlign w:val="center"/>
          </w:tcPr>
          <w:p w14:paraId="4CDE1A8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二级纯水</w:t>
            </w:r>
          </w:p>
        </w:tc>
      </w:tr>
      <w:tr w14:paraId="7B33095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000000" w:fill="auto"/>
            <w:vAlign w:val="center"/>
          </w:tcPr>
          <w:p w14:paraId="02EEE6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薄膜转化</w:t>
            </w:r>
          </w:p>
        </w:tc>
        <w:tc>
          <w:tcPr>
            <w:tcW w:w="1035" w:type="pct"/>
            <w:tcBorders>
              <w:top w:val="nil"/>
              <w:left w:val="nil"/>
              <w:bottom w:val="single" w:color="auto" w:sz="4" w:space="0"/>
              <w:right w:val="single" w:color="auto" w:sz="4" w:space="0"/>
            </w:tcBorders>
            <w:shd w:val="clear" w:color="000000" w:fill="auto"/>
            <w:vAlign w:val="center"/>
          </w:tcPr>
          <w:p w14:paraId="6FBD2BE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shd w:val="clear" w:color="000000" w:fill="auto"/>
            <w:vAlign w:val="center"/>
          </w:tcPr>
          <w:p w14:paraId="1B2B19F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000000" w:fill="auto"/>
            <w:vAlign w:val="center"/>
          </w:tcPr>
          <w:p w14:paraId="55F1156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13-35</w:t>
            </w:r>
          </w:p>
        </w:tc>
        <w:tc>
          <w:tcPr>
            <w:tcW w:w="1008" w:type="pct"/>
            <w:tcBorders>
              <w:top w:val="nil"/>
              <w:left w:val="nil"/>
              <w:bottom w:val="single" w:color="auto" w:sz="4" w:space="0"/>
              <w:right w:val="single" w:color="auto" w:sz="4" w:space="0"/>
            </w:tcBorders>
            <w:shd w:val="clear" w:color="000000" w:fill="auto"/>
            <w:vAlign w:val="center"/>
          </w:tcPr>
          <w:p w14:paraId="1F111E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762" w:type="pct"/>
            <w:tcBorders>
              <w:top w:val="nil"/>
              <w:left w:val="nil"/>
              <w:bottom w:val="single" w:color="auto" w:sz="4" w:space="0"/>
            </w:tcBorders>
            <w:shd w:val="clear" w:color="000000" w:fill="auto"/>
            <w:vAlign w:val="center"/>
          </w:tcPr>
          <w:p w14:paraId="28D001F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4DF55BB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569C8E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水洗3</w:t>
            </w:r>
          </w:p>
        </w:tc>
        <w:tc>
          <w:tcPr>
            <w:tcW w:w="1035" w:type="pct"/>
            <w:tcBorders>
              <w:top w:val="nil"/>
              <w:left w:val="nil"/>
              <w:bottom w:val="single" w:color="auto" w:sz="4" w:space="0"/>
              <w:right w:val="single" w:color="auto" w:sz="4" w:space="0"/>
            </w:tcBorders>
            <w:vAlign w:val="center"/>
          </w:tcPr>
          <w:p w14:paraId="3009BFF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vAlign w:val="center"/>
          </w:tcPr>
          <w:p w14:paraId="68B013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61B3C9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09E6E01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vAlign w:val="center"/>
          </w:tcPr>
          <w:p w14:paraId="634E14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增加补纯水管路　</w:t>
            </w:r>
          </w:p>
        </w:tc>
      </w:tr>
      <w:tr w14:paraId="24A10B8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auto" w:fill="auto"/>
            <w:vAlign w:val="center"/>
          </w:tcPr>
          <w:p w14:paraId="24C7CC4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喷雾加湿</w:t>
            </w:r>
          </w:p>
        </w:tc>
        <w:tc>
          <w:tcPr>
            <w:tcW w:w="1035" w:type="pct"/>
            <w:tcBorders>
              <w:top w:val="nil"/>
              <w:left w:val="nil"/>
              <w:bottom w:val="single" w:color="auto" w:sz="4" w:space="0"/>
              <w:right w:val="single" w:color="auto" w:sz="4" w:space="0"/>
            </w:tcBorders>
            <w:shd w:val="clear" w:color="auto" w:fill="auto"/>
            <w:vAlign w:val="center"/>
          </w:tcPr>
          <w:p w14:paraId="4765161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新鲜纯水喷</w:t>
            </w:r>
          </w:p>
        </w:tc>
        <w:tc>
          <w:tcPr>
            <w:tcW w:w="582" w:type="pct"/>
            <w:tcBorders>
              <w:top w:val="nil"/>
              <w:left w:val="nil"/>
              <w:bottom w:val="single" w:color="auto" w:sz="4" w:space="0"/>
              <w:right w:val="single" w:color="auto" w:sz="4" w:space="0"/>
            </w:tcBorders>
            <w:shd w:val="clear" w:color="auto" w:fill="auto"/>
            <w:vAlign w:val="center"/>
          </w:tcPr>
          <w:p w14:paraId="01A9B10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auto" w:fill="auto"/>
            <w:vAlign w:val="center"/>
          </w:tcPr>
          <w:p w14:paraId="48938F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auto" w:fill="auto"/>
            <w:vAlign w:val="center"/>
          </w:tcPr>
          <w:p w14:paraId="16C48A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762" w:type="pct"/>
            <w:tcBorders>
              <w:top w:val="nil"/>
              <w:left w:val="nil"/>
              <w:bottom w:val="single" w:color="auto" w:sz="4" w:space="0"/>
            </w:tcBorders>
            <w:vAlign w:val="center"/>
          </w:tcPr>
          <w:p w14:paraId="1AF0DDF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新增</w:t>
            </w:r>
          </w:p>
        </w:tc>
      </w:tr>
      <w:tr w14:paraId="545342B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2BA7C9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电泳线</w:t>
            </w:r>
          </w:p>
        </w:tc>
        <w:tc>
          <w:tcPr>
            <w:tcW w:w="1035" w:type="pct"/>
            <w:tcBorders>
              <w:top w:val="nil"/>
              <w:left w:val="nil"/>
              <w:bottom w:val="single" w:color="auto" w:sz="4" w:space="0"/>
              <w:right w:val="single" w:color="auto" w:sz="4" w:space="0"/>
            </w:tcBorders>
            <w:vAlign w:val="center"/>
          </w:tcPr>
          <w:p w14:paraId="4D4B14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582" w:type="pct"/>
            <w:tcBorders>
              <w:top w:val="nil"/>
              <w:left w:val="nil"/>
              <w:bottom w:val="single" w:color="auto" w:sz="4" w:space="0"/>
              <w:right w:val="single" w:color="auto" w:sz="4" w:space="0"/>
            </w:tcBorders>
            <w:vAlign w:val="center"/>
          </w:tcPr>
          <w:p w14:paraId="28217D3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2FB55C2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008" w:type="pct"/>
            <w:tcBorders>
              <w:top w:val="nil"/>
              <w:left w:val="nil"/>
              <w:bottom w:val="single" w:color="auto" w:sz="4" w:space="0"/>
              <w:right w:val="single" w:color="auto" w:sz="4" w:space="0"/>
            </w:tcBorders>
            <w:vAlign w:val="center"/>
          </w:tcPr>
          <w:p w14:paraId="49D2173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70DC73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10JPH</w:t>
            </w:r>
          </w:p>
        </w:tc>
      </w:tr>
      <w:tr w14:paraId="4F226A2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auto" w:fill="auto"/>
            <w:vAlign w:val="center"/>
          </w:tcPr>
          <w:p w14:paraId="3295645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水洗4</w:t>
            </w:r>
          </w:p>
        </w:tc>
        <w:tc>
          <w:tcPr>
            <w:tcW w:w="1035" w:type="pct"/>
            <w:tcBorders>
              <w:top w:val="nil"/>
              <w:left w:val="nil"/>
              <w:bottom w:val="single" w:color="auto" w:sz="4" w:space="0"/>
              <w:right w:val="single" w:color="auto" w:sz="4" w:space="0"/>
            </w:tcBorders>
            <w:shd w:val="clear" w:color="auto" w:fill="auto"/>
            <w:vAlign w:val="center"/>
          </w:tcPr>
          <w:p w14:paraId="073911C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shd w:val="clear" w:color="auto" w:fill="auto"/>
            <w:vAlign w:val="center"/>
          </w:tcPr>
          <w:p w14:paraId="61C00EE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auto" w:fill="auto"/>
            <w:vAlign w:val="center"/>
          </w:tcPr>
          <w:p w14:paraId="2FA06F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auto" w:fill="auto"/>
            <w:vAlign w:val="center"/>
          </w:tcPr>
          <w:p w14:paraId="72D746E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vAlign w:val="center"/>
          </w:tcPr>
          <w:p w14:paraId="1080D2C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增加补纯水管路</w:t>
            </w:r>
          </w:p>
        </w:tc>
      </w:tr>
      <w:tr w14:paraId="3095492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000000" w:fill="auto"/>
            <w:vAlign w:val="center"/>
          </w:tcPr>
          <w:p w14:paraId="320E55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纯水2</w:t>
            </w:r>
          </w:p>
        </w:tc>
        <w:tc>
          <w:tcPr>
            <w:tcW w:w="1035" w:type="pct"/>
            <w:tcBorders>
              <w:top w:val="nil"/>
              <w:left w:val="nil"/>
              <w:bottom w:val="single" w:color="auto" w:sz="4" w:space="0"/>
              <w:right w:val="single" w:color="auto" w:sz="4" w:space="0"/>
            </w:tcBorders>
            <w:shd w:val="clear" w:color="auto" w:fill="auto"/>
            <w:vAlign w:val="center"/>
          </w:tcPr>
          <w:p w14:paraId="6EFF71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shd w:val="clear" w:color="auto" w:fill="auto"/>
            <w:vAlign w:val="center"/>
          </w:tcPr>
          <w:p w14:paraId="42437D4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auto" w:fill="auto"/>
            <w:vAlign w:val="center"/>
          </w:tcPr>
          <w:p w14:paraId="701355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auto" w:fill="auto"/>
            <w:vAlign w:val="center"/>
          </w:tcPr>
          <w:p w14:paraId="26BA147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vAlign w:val="center"/>
          </w:tcPr>
          <w:p w14:paraId="2F89CF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二级纯水</w:t>
            </w:r>
          </w:p>
        </w:tc>
      </w:tr>
      <w:tr w14:paraId="5A36FEA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shd w:val="clear" w:color="000000" w:fill="auto"/>
            <w:vAlign w:val="center"/>
          </w:tcPr>
          <w:p w14:paraId="125FB90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阴极电泳</w:t>
            </w:r>
          </w:p>
        </w:tc>
        <w:tc>
          <w:tcPr>
            <w:tcW w:w="1035" w:type="pct"/>
            <w:tcBorders>
              <w:top w:val="nil"/>
              <w:left w:val="nil"/>
              <w:bottom w:val="single" w:color="auto" w:sz="4" w:space="0"/>
              <w:right w:val="single" w:color="auto" w:sz="4" w:space="0"/>
            </w:tcBorders>
            <w:shd w:val="clear" w:color="000000" w:fill="auto"/>
            <w:vAlign w:val="center"/>
          </w:tcPr>
          <w:p w14:paraId="016CC3D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w:t>
            </w:r>
          </w:p>
        </w:tc>
        <w:tc>
          <w:tcPr>
            <w:tcW w:w="582" w:type="pct"/>
            <w:tcBorders>
              <w:top w:val="nil"/>
              <w:left w:val="nil"/>
              <w:bottom w:val="single" w:color="auto" w:sz="4" w:space="0"/>
              <w:right w:val="single" w:color="auto" w:sz="4" w:space="0"/>
            </w:tcBorders>
            <w:shd w:val="clear" w:color="000000" w:fill="auto"/>
            <w:vAlign w:val="center"/>
          </w:tcPr>
          <w:p w14:paraId="12224D7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000000" w:fill="auto"/>
            <w:vAlign w:val="center"/>
          </w:tcPr>
          <w:p w14:paraId="746A307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30±2</w:t>
            </w:r>
          </w:p>
        </w:tc>
        <w:tc>
          <w:tcPr>
            <w:tcW w:w="1008" w:type="pct"/>
            <w:tcBorders>
              <w:top w:val="nil"/>
              <w:left w:val="nil"/>
              <w:bottom w:val="single" w:color="auto" w:sz="4" w:space="0"/>
              <w:right w:val="single" w:color="auto" w:sz="4" w:space="0"/>
            </w:tcBorders>
            <w:shd w:val="clear" w:color="000000" w:fill="auto"/>
            <w:vAlign w:val="center"/>
          </w:tcPr>
          <w:p w14:paraId="6B7120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762" w:type="pct"/>
            <w:tcBorders>
              <w:top w:val="nil"/>
              <w:left w:val="nil"/>
              <w:bottom w:val="single" w:color="auto" w:sz="4" w:space="0"/>
            </w:tcBorders>
            <w:shd w:val="clear" w:color="000000" w:fill="auto"/>
            <w:vAlign w:val="center"/>
          </w:tcPr>
          <w:p w14:paraId="094CAB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41D2C2D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000000" w:fill="auto"/>
            <w:vAlign w:val="center"/>
          </w:tcPr>
          <w:p w14:paraId="160CA66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UF1液洗</w:t>
            </w:r>
          </w:p>
        </w:tc>
        <w:tc>
          <w:tcPr>
            <w:tcW w:w="1035" w:type="pct"/>
            <w:tcBorders>
              <w:top w:val="nil"/>
              <w:left w:val="nil"/>
              <w:bottom w:val="single" w:color="auto" w:sz="4" w:space="0"/>
              <w:right w:val="single" w:color="auto" w:sz="4" w:space="0"/>
            </w:tcBorders>
            <w:shd w:val="clear" w:color="000000" w:fill="auto"/>
            <w:vAlign w:val="center"/>
          </w:tcPr>
          <w:p w14:paraId="05CFAA2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shd w:val="clear" w:color="000000" w:fill="auto"/>
            <w:vAlign w:val="center"/>
          </w:tcPr>
          <w:p w14:paraId="14689CC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000000" w:fill="auto"/>
            <w:vAlign w:val="center"/>
          </w:tcPr>
          <w:p w14:paraId="51A2B41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000000" w:fill="auto"/>
            <w:vAlign w:val="center"/>
          </w:tcPr>
          <w:p w14:paraId="55D9C0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shd w:val="clear" w:color="000000" w:fill="auto"/>
            <w:vAlign w:val="center"/>
          </w:tcPr>
          <w:p w14:paraId="2AD3EE3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3CEE2D6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000000" w:fill="auto"/>
            <w:vAlign w:val="center"/>
          </w:tcPr>
          <w:p w14:paraId="184B22B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UF2液洗</w:t>
            </w:r>
          </w:p>
        </w:tc>
        <w:tc>
          <w:tcPr>
            <w:tcW w:w="1035" w:type="pct"/>
            <w:tcBorders>
              <w:top w:val="nil"/>
              <w:left w:val="nil"/>
              <w:bottom w:val="single" w:color="auto" w:sz="4" w:space="0"/>
              <w:right w:val="single" w:color="auto" w:sz="4" w:space="0"/>
            </w:tcBorders>
            <w:shd w:val="clear" w:color="000000" w:fill="auto"/>
            <w:vAlign w:val="center"/>
          </w:tcPr>
          <w:p w14:paraId="731FE4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shd w:val="clear" w:color="000000" w:fill="auto"/>
            <w:vAlign w:val="center"/>
          </w:tcPr>
          <w:p w14:paraId="687899D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000000" w:fill="auto"/>
            <w:vAlign w:val="center"/>
          </w:tcPr>
          <w:p w14:paraId="3D17E56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000000" w:fill="auto"/>
            <w:vAlign w:val="center"/>
          </w:tcPr>
          <w:p w14:paraId="4768769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shd w:val="clear" w:color="000000" w:fill="auto"/>
            <w:vAlign w:val="center"/>
          </w:tcPr>
          <w:p w14:paraId="06A538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26D0FCA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shd w:val="clear" w:color="000000" w:fill="auto"/>
            <w:vAlign w:val="center"/>
          </w:tcPr>
          <w:p w14:paraId="45F464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纯水洗3</w:t>
            </w:r>
          </w:p>
        </w:tc>
        <w:tc>
          <w:tcPr>
            <w:tcW w:w="1035" w:type="pct"/>
            <w:tcBorders>
              <w:top w:val="nil"/>
              <w:left w:val="nil"/>
              <w:bottom w:val="single" w:color="auto" w:sz="4" w:space="0"/>
              <w:right w:val="single" w:color="auto" w:sz="4" w:space="0"/>
            </w:tcBorders>
            <w:shd w:val="clear" w:color="000000" w:fill="auto"/>
            <w:vAlign w:val="center"/>
          </w:tcPr>
          <w:p w14:paraId="6978C98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全浸+出槽喷淋</w:t>
            </w:r>
          </w:p>
        </w:tc>
        <w:tc>
          <w:tcPr>
            <w:tcW w:w="582" w:type="pct"/>
            <w:tcBorders>
              <w:top w:val="nil"/>
              <w:left w:val="nil"/>
              <w:bottom w:val="single" w:color="auto" w:sz="4" w:space="0"/>
              <w:right w:val="single" w:color="auto" w:sz="4" w:space="0"/>
            </w:tcBorders>
            <w:shd w:val="clear" w:color="000000" w:fill="auto"/>
            <w:vAlign w:val="center"/>
          </w:tcPr>
          <w:p w14:paraId="1FDDCBC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shd w:val="clear" w:color="000000" w:fill="auto"/>
            <w:vAlign w:val="center"/>
          </w:tcPr>
          <w:p w14:paraId="01F24D6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shd w:val="clear" w:color="000000" w:fill="auto"/>
            <w:vAlign w:val="center"/>
          </w:tcPr>
          <w:p w14:paraId="337FD14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000000"/>
                <w:sz w:val="24"/>
                <w:szCs w:val="24"/>
              </w:rPr>
              <w:t>浸入即出</w:t>
            </w:r>
          </w:p>
        </w:tc>
        <w:tc>
          <w:tcPr>
            <w:tcW w:w="762" w:type="pct"/>
            <w:tcBorders>
              <w:top w:val="nil"/>
              <w:left w:val="nil"/>
              <w:bottom w:val="single" w:color="auto" w:sz="4" w:space="0"/>
            </w:tcBorders>
            <w:shd w:val="clear" w:color="000000" w:fill="auto"/>
            <w:vAlign w:val="center"/>
          </w:tcPr>
          <w:p w14:paraId="04D4FE1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二级纯水　</w:t>
            </w:r>
          </w:p>
        </w:tc>
      </w:tr>
      <w:tr w14:paraId="2000234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7363BE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吹水、检查</w:t>
            </w:r>
          </w:p>
        </w:tc>
        <w:tc>
          <w:tcPr>
            <w:tcW w:w="1035" w:type="pct"/>
            <w:tcBorders>
              <w:top w:val="nil"/>
              <w:left w:val="nil"/>
              <w:bottom w:val="single" w:color="auto" w:sz="4" w:space="0"/>
              <w:right w:val="single" w:color="auto" w:sz="4" w:space="0"/>
            </w:tcBorders>
            <w:vAlign w:val="center"/>
          </w:tcPr>
          <w:p w14:paraId="10F105F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人工</w:t>
            </w:r>
          </w:p>
        </w:tc>
        <w:tc>
          <w:tcPr>
            <w:tcW w:w="582" w:type="pct"/>
            <w:tcBorders>
              <w:top w:val="nil"/>
              <w:left w:val="nil"/>
              <w:bottom w:val="single" w:color="auto" w:sz="4" w:space="0"/>
              <w:right w:val="single" w:color="auto" w:sz="4" w:space="0"/>
            </w:tcBorders>
            <w:vAlign w:val="center"/>
          </w:tcPr>
          <w:p w14:paraId="5CA31BB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7A2F2B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008" w:type="pct"/>
            <w:tcBorders>
              <w:top w:val="nil"/>
              <w:left w:val="nil"/>
              <w:bottom w:val="single" w:color="auto" w:sz="4" w:space="0"/>
              <w:right w:val="single" w:color="auto" w:sz="4" w:space="0"/>
            </w:tcBorders>
            <w:vAlign w:val="center"/>
          </w:tcPr>
          <w:p w14:paraId="7CA25B7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2FC319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0C11225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3006BBB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电泳烘干</w:t>
            </w:r>
          </w:p>
        </w:tc>
        <w:tc>
          <w:tcPr>
            <w:tcW w:w="1035" w:type="pct"/>
            <w:tcBorders>
              <w:top w:val="nil"/>
              <w:left w:val="nil"/>
              <w:bottom w:val="single" w:color="auto" w:sz="4" w:space="0"/>
              <w:right w:val="single" w:color="auto" w:sz="4" w:space="0"/>
            </w:tcBorders>
            <w:vAlign w:val="center"/>
          </w:tcPr>
          <w:p w14:paraId="0AB73AC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热风循环</w:t>
            </w:r>
          </w:p>
        </w:tc>
        <w:tc>
          <w:tcPr>
            <w:tcW w:w="582" w:type="pct"/>
            <w:tcBorders>
              <w:top w:val="nil"/>
              <w:left w:val="nil"/>
              <w:bottom w:val="single" w:color="auto" w:sz="4" w:space="0"/>
              <w:right w:val="single" w:color="auto" w:sz="4" w:space="0"/>
            </w:tcBorders>
            <w:vAlign w:val="center"/>
          </w:tcPr>
          <w:p w14:paraId="7B8CB4F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09A6A69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180（车身）</w:t>
            </w:r>
          </w:p>
        </w:tc>
        <w:tc>
          <w:tcPr>
            <w:tcW w:w="1008" w:type="pct"/>
            <w:tcBorders>
              <w:top w:val="nil"/>
              <w:left w:val="nil"/>
              <w:bottom w:val="single" w:color="auto" w:sz="4" w:space="0"/>
              <w:right w:val="single" w:color="auto" w:sz="4" w:space="0"/>
            </w:tcBorders>
            <w:vAlign w:val="center"/>
          </w:tcPr>
          <w:p w14:paraId="62AF972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762" w:type="pct"/>
            <w:tcBorders>
              <w:top w:val="nil"/>
              <w:left w:val="nil"/>
              <w:bottom w:val="single" w:color="auto" w:sz="4" w:space="0"/>
            </w:tcBorders>
            <w:vAlign w:val="center"/>
          </w:tcPr>
          <w:p w14:paraId="6023FA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10JPH</w:t>
            </w:r>
          </w:p>
        </w:tc>
      </w:tr>
      <w:tr w14:paraId="11BDB95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A7948F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强冷</w:t>
            </w:r>
          </w:p>
        </w:tc>
        <w:tc>
          <w:tcPr>
            <w:tcW w:w="1035" w:type="pct"/>
            <w:tcBorders>
              <w:top w:val="nil"/>
              <w:left w:val="nil"/>
              <w:bottom w:val="single" w:color="auto" w:sz="4" w:space="0"/>
              <w:right w:val="single" w:color="auto" w:sz="4" w:space="0"/>
            </w:tcBorders>
            <w:vAlign w:val="center"/>
          </w:tcPr>
          <w:p w14:paraId="21A38B2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强制吹风</w:t>
            </w:r>
          </w:p>
        </w:tc>
        <w:tc>
          <w:tcPr>
            <w:tcW w:w="582" w:type="pct"/>
            <w:tcBorders>
              <w:top w:val="nil"/>
              <w:left w:val="nil"/>
              <w:bottom w:val="single" w:color="auto" w:sz="4" w:space="0"/>
              <w:right w:val="single" w:color="auto" w:sz="4" w:space="0"/>
            </w:tcBorders>
            <w:vAlign w:val="center"/>
          </w:tcPr>
          <w:p w14:paraId="2B76F2E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1E33E65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1008" w:type="pct"/>
            <w:tcBorders>
              <w:top w:val="nil"/>
              <w:left w:val="nil"/>
              <w:bottom w:val="single" w:color="auto" w:sz="4" w:space="0"/>
              <w:right w:val="single" w:color="auto" w:sz="4" w:space="0"/>
            </w:tcBorders>
            <w:vAlign w:val="center"/>
          </w:tcPr>
          <w:p w14:paraId="701AA6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762" w:type="pct"/>
            <w:tcBorders>
              <w:top w:val="nil"/>
              <w:left w:val="nil"/>
              <w:bottom w:val="single" w:color="auto" w:sz="4" w:space="0"/>
            </w:tcBorders>
            <w:vAlign w:val="center"/>
          </w:tcPr>
          <w:p w14:paraId="65AB983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2369706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641011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粗密封（含沥青板）</w:t>
            </w:r>
          </w:p>
        </w:tc>
        <w:tc>
          <w:tcPr>
            <w:tcW w:w="1035" w:type="pct"/>
            <w:tcBorders>
              <w:top w:val="nil"/>
              <w:left w:val="nil"/>
              <w:bottom w:val="single" w:color="auto" w:sz="4" w:space="0"/>
              <w:right w:val="single" w:color="auto" w:sz="4" w:space="0"/>
            </w:tcBorders>
            <w:vAlign w:val="center"/>
          </w:tcPr>
          <w:p w14:paraId="0A653BA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156110C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274099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≥18</w:t>
            </w:r>
          </w:p>
        </w:tc>
        <w:tc>
          <w:tcPr>
            <w:tcW w:w="1008" w:type="pct"/>
            <w:tcBorders>
              <w:top w:val="nil"/>
              <w:left w:val="nil"/>
              <w:bottom w:val="single" w:color="auto" w:sz="4" w:space="0"/>
              <w:right w:val="single" w:color="auto" w:sz="4" w:space="0"/>
            </w:tcBorders>
            <w:vAlign w:val="center"/>
          </w:tcPr>
          <w:p w14:paraId="23AF2BD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0297D5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PVC线10JPH</w:t>
            </w:r>
          </w:p>
        </w:tc>
      </w:tr>
      <w:tr w14:paraId="0568C9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32DE9FA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细密封</w:t>
            </w:r>
          </w:p>
        </w:tc>
        <w:tc>
          <w:tcPr>
            <w:tcW w:w="1035" w:type="pct"/>
            <w:tcBorders>
              <w:top w:val="nil"/>
              <w:left w:val="nil"/>
              <w:bottom w:val="single" w:color="auto" w:sz="4" w:space="0"/>
              <w:right w:val="single" w:color="auto" w:sz="4" w:space="0"/>
            </w:tcBorders>
            <w:vAlign w:val="center"/>
          </w:tcPr>
          <w:p w14:paraId="065D75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128F997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0205291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13FFA4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0B01B1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7D6930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6A0934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转挂</w:t>
            </w:r>
          </w:p>
        </w:tc>
        <w:tc>
          <w:tcPr>
            <w:tcW w:w="1035" w:type="pct"/>
            <w:tcBorders>
              <w:top w:val="nil"/>
              <w:left w:val="nil"/>
              <w:bottom w:val="single" w:color="auto" w:sz="4" w:space="0"/>
              <w:right w:val="single" w:color="auto" w:sz="4" w:space="0"/>
            </w:tcBorders>
            <w:vAlign w:val="center"/>
          </w:tcPr>
          <w:p w14:paraId="72E0106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033EC16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48D2676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1F24C2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00F955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2D1289E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3D1EC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上遮蔽</w:t>
            </w:r>
          </w:p>
        </w:tc>
        <w:tc>
          <w:tcPr>
            <w:tcW w:w="1035" w:type="pct"/>
            <w:tcBorders>
              <w:top w:val="nil"/>
              <w:left w:val="nil"/>
              <w:bottom w:val="single" w:color="auto" w:sz="4" w:space="0"/>
              <w:right w:val="single" w:color="auto" w:sz="4" w:space="0"/>
            </w:tcBorders>
            <w:vAlign w:val="center"/>
          </w:tcPr>
          <w:p w14:paraId="358233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6977A47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38FAAA2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17F235A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1C4F84C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57BD689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37" w:hRule="atLeast"/>
        </w:trPr>
        <w:tc>
          <w:tcPr>
            <w:tcW w:w="883" w:type="pct"/>
            <w:tcBorders>
              <w:top w:val="nil"/>
              <w:bottom w:val="single" w:color="auto" w:sz="4" w:space="0"/>
              <w:right w:val="single" w:color="auto" w:sz="4" w:space="0"/>
            </w:tcBorders>
            <w:vAlign w:val="center"/>
          </w:tcPr>
          <w:p w14:paraId="50683EF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UBS</w:t>
            </w:r>
          </w:p>
        </w:tc>
        <w:tc>
          <w:tcPr>
            <w:tcW w:w="1035" w:type="pct"/>
            <w:tcBorders>
              <w:top w:val="nil"/>
              <w:left w:val="nil"/>
              <w:bottom w:val="single" w:color="auto" w:sz="4" w:space="0"/>
              <w:right w:val="single" w:color="auto" w:sz="4" w:space="0"/>
            </w:tcBorders>
            <w:vAlign w:val="center"/>
          </w:tcPr>
          <w:p w14:paraId="4F9E524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2F2C93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798277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09966F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39F04DF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预留机器人安装位置</w:t>
            </w:r>
          </w:p>
        </w:tc>
      </w:tr>
      <w:tr w14:paraId="051BCF8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A3FFAB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检查</w:t>
            </w:r>
          </w:p>
        </w:tc>
        <w:tc>
          <w:tcPr>
            <w:tcW w:w="1035" w:type="pct"/>
            <w:tcBorders>
              <w:top w:val="nil"/>
              <w:left w:val="nil"/>
              <w:bottom w:val="single" w:color="auto" w:sz="4" w:space="0"/>
              <w:right w:val="single" w:color="auto" w:sz="4" w:space="0"/>
            </w:tcBorders>
            <w:vAlign w:val="center"/>
          </w:tcPr>
          <w:p w14:paraId="59EE241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429EA0B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2ED4FC5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380DCDD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52CA5FB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42DC2F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401" w:hRule="atLeast"/>
        </w:trPr>
        <w:tc>
          <w:tcPr>
            <w:tcW w:w="883" w:type="pct"/>
            <w:tcBorders>
              <w:top w:val="nil"/>
              <w:bottom w:val="single" w:color="auto" w:sz="4" w:space="0"/>
              <w:right w:val="single" w:color="auto" w:sz="4" w:space="0"/>
            </w:tcBorders>
            <w:vAlign w:val="center"/>
          </w:tcPr>
          <w:p w14:paraId="1CD4B1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UBC</w:t>
            </w:r>
          </w:p>
        </w:tc>
        <w:tc>
          <w:tcPr>
            <w:tcW w:w="1035" w:type="pct"/>
            <w:tcBorders>
              <w:top w:val="nil"/>
              <w:left w:val="nil"/>
              <w:bottom w:val="single" w:color="auto" w:sz="4" w:space="0"/>
              <w:right w:val="single" w:color="auto" w:sz="4" w:space="0"/>
            </w:tcBorders>
            <w:vAlign w:val="center"/>
          </w:tcPr>
          <w:p w14:paraId="3B2B8F9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52CF5ED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254A86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6063DDD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0FF442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预留机器人安装位置</w:t>
            </w:r>
          </w:p>
        </w:tc>
      </w:tr>
      <w:tr w14:paraId="4D693EA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B54643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下遮蔽</w:t>
            </w:r>
          </w:p>
        </w:tc>
        <w:tc>
          <w:tcPr>
            <w:tcW w:w="1035" w:type="pct"/>
            <w:tcBorders>
              <w:top w:val="nil"/>
              <w:left w:val="nil"/>
              <w:bottom w:val="single" w:color="auto" w:sz="4" w:space="0"/>
              <w:right w:val="single" w:color="auto" w:sz="4" w:space="0"/>
            </w:tcBorders>
            <w:vAlign w:val="center"/>
          </w:tcPr>
          <w:p w14:paraId="4FCFD0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4F0C432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727BC4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6F50BE7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62A1A30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11360F8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A80246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转挂</w:t>
            </w:r>
          </w:p>
        </w:tc>
        <w:tc>
          <w:tcPr>
            <w:tcW w:w="1035" w:type="pct"/>
            <w:tcBorders>
              <w:top w:val="nil"/>
              <w:left w:val="nil"/>
              <w:bottom w:val="single" w:color="auto" w:sz="4" w:space="0"/>
              <w:right w:val="single" w:color="auto" w:sz="4" w:space="0"/>
            </w:tcBorders>
            <w:vAlign w:val="center"/>
          </w:tcPr>
          <w:p w14:paraId="1609F2A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792C1DC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0520F7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5A2582A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6DA8DA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5C82916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39B5964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PVC烘干</w:t>
            </w:r>
          </w:p>
        </w:tc>
        <w:tc>
          <w:tcPr>
            <w:tcW w:w="1035" w:type="pct"/>
            <w:tcBorders>
              <w:top w:val="nil"/>
              <w:left w:val="nil"/>
              <w:bottom w:val="single" w:color="auto" w:sz="4" w:space="0"/>
              <w:right w:val="single" w:color="auto" w:sz="4" w:space="0"/>
            </w:tcBorders>
            <w:vAlign w:val="center"/>
          </w:tcPr>
          <w:p w14:paraId="398C836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热风循环</w:t>
            </w:r>
          </w:p>
        </w:tc>
        <w:tc>
          <w:tcPr>
            <w:tcW w:w="582" w:type="pct"/>
            <w:tcBorders>
              <w:top w:val="nil"/>
              <w:left w:val="nil"/>
              <w:bottom w:val="single" w:color="auto" w:sz="4" w:space="0"/>
              <w:right w:val="single" w:color="auto" w:sz="4" w:space="0"/>
            </w:tcBorders>
            <w:vAlign w:val="center"/>
          </w:tcPr>
          <w:p w14:paraId="660C63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37E0F80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140</w:t>
            </w:r>
          </w:p>
        </w:tc>
        <w:tc>
          <w:tcPr>
            <w:tcW w:w="1008" w:type="pct"/>
            <w:tcBorders>
              <w:top w:val="nil"/>
              <w:left w:val="nil"/>
              <w:bottom w:val="single" w:color="auto" w:sz="4" w:space="0"/>
              <w:right w:val="single" w:color="auto" w:sz="4" w:space="0"/>
            </w:tcBorders>
            <w:vAlign w:val="center"/>
          </w:tcPr>
          <w:p w14:paraId="6E752A8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20</w:t>
            </w:r>
          </w:p>
        </w:tc>
        <w:tc>
          <w:tcPr>
            <w:tcW w:w="762" w:type="pct"/>
            <w:tcBorders>
              <w:top w:val="nil"/>
              <w:left w:val="nil"/>
              <w:bottom w:val="single" w:color="auto" w:sz="4" w:space="0"/>
            </w:tcBorders>
            <w:vAlign w:val="center"/>
          </w:tcPr>
          <w:p w14:paraId="7395CBF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53E457D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2FBA363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PVC强冷</w:t>
            </w:r>
          </w:p>
        </w:tc>
        <w:tc>
          <w:tcPr>
            <w:tcW w:w="1035" w:type="pct"/>
            <w:tcBorders>
              <w:top w:val="nil"/>
              <w:left w:val="nil"/>
              <w:bottom w:val="single" w:color="auto" w:sz="4" w:space="0"/>
              <w:right w:val="single" w:color="auto" w:sz="4" w:space="0"/>
            </w:tcBorders>
            <w:vAlign w:val="center"/>
          </w:tcPr>
          <w:p w14:paraId="78484CD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强制吹风</w:t>
            </w:r>
          </w:p>
        </w:tc>
        <w:tc>
          <w:tcPr>
            <w:tcW w:w="582" w:type="pct"/>
            <w:tcBorders>
              <w:top w:val="nil"/>
              <w:left w:val="nil"/>
              <w:bottom w:val="single" w:color="auto" w:sz="4" w:space="0"/>
              <w:right w:val="single" w:color="auto" w:sz="4" w:space="0"/>
            </w:tcBorders>
            <w:vAlign w:val="center"/>
          </w:tcPr>
          <w:p w14:paraId="14A18B6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3850C9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1008" w:type="pct"/>
            <w:tcBorders>
              <w:top w:val="nil"/>
              <w:left w:val="nil"/>
              <w:bottom w:val="single" w:color="auto" w:sz="4" w:space="0"/>
              <w:right w:val="single" w:color="auto" w:sz="4" w:space="0"/>
            </w:tcBorders>
            <w:vAlign w:val="center"/>
          </w:tcPr>
          <w:p w14:paraId="18E80E1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762" w:type="pct"/>
            <w:tcBorders>
              <w:top w:val="nil"/>
              <w:left w:val="nil"/>
              <w:bottom w:val="single" w:color="auto" w:sz="4" w:space="0"/>
            </w:tcBorders>
            <w:vAlign w:val="center"/>
          </w:tcPr>
          <w:p w14:paraId="063ADC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76FFB16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2687A6F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电泳打磨</w:t>
            </w:r>
          </w:p>
        </w:tc>
        <w:tc>
          <w:tcPr>
            <w:tcW w:w="1035" w:type="pct"/>
            <w:tcBorders>
              <w:top w:val="nil"/>
              <w:left w:val="nil"/>
              <w:bottom w:val="single" w:color="auto" w:sz="4" w:space="0"/>
              <w:right w:val="single" w:color="auto" w:sz="4" w:space="0"/>
            </w:tcBorders>
            <w:vAlign w:val="center"/>
          </w:tcPr>
          <w:p w14:paraId="6503606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573E790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6E399F1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334F4FC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3EDA8D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10JPH　</w:t>
            </w:r>
          </w:p>
        </w:tc>
      </w:tr>
      <w:tr w14:paraId="1047769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D70059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电泳离线打磨</w:t>
            </w:r>
          </w:p>
        </w:tc>
        <w:tc>
          <w:tcPr>
            <w:tcW w:w="1035" w:type="pct"/>
            <w:tcBorders>
              <w:top w:val="nil"/>
              <w:left w:val="nil"/>
              <w:bottom w:val="single" w:color="auto" w:sz="4" w:space="0"/>
              <w:right w:val="single" w:color="auto" w:sz="4" w:space="0"/>
            </w:tcBorders>
            <w:vAlign w:val="center"/>
          </w:tcPr>
          <w:p w14:paraId="3B9756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32E96CA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3AF9ED6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60F22AD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1DBC47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3F6206B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31AA967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套色遮蔽打磨</w:t>
            </w:r>
          </w:p>
        </w:tc>
        <w:tc>
          <w:tcPr>
            <w:tcW w:w="1035" w:type="pct"/>
            <w:tcBorders>
              <w:top w:val="nil"/>
              <w:left w:val="nil"/>
              <w:bottom w:val="single" w:color="auto" w:sz="4" w:space="0"/>
              <w:right w:val="single" w:color="auto" w:sz="4" w:space="0"/>
            </w:tcBorders>
            <w:vAlign w:val="center"/>
          </w:tcPr>
          <w:p w14:paraId="27E3145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5CC660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4FA4B2E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RT</w:t>
            </w:r>
          </w:p>
        </w:tc>
        <w:tc>
          <w:tcPr>
            <w:tcW w:w="1008" w:type="pct"/>
            <w:tcBorders>
              <w:top w:val="nil"/>
              <w:left w:val="nil"/>
              <w:bottom w:val="single" w:color="auto" w:sz="4" w:space="0"/>
              <w:right w:val="single" w:color="auto" w:sz="4" w:space="0"/>
            </w:tcBorders>
            <w:vAlign w:val="center"/>
          </w:tcPr>
          <w:p w14:paraId="7F6D611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02D19BC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20%</w:t>
            </w:r>
          </w:p>
        </w:tc>
      </w:tr>
      <w:tr w14:paraId="00FAF0E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39548A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分色</w:t>
            </w:r>
          </w:p>
        </w:tc>
        <w:tc>
          <w:tcPr>
            <w:tcW w:w="1035" w:type="pct"/>
            <w:tcBorders>
              <w:top w:val="nil"/>
              <w:left w:val="nil"/>
              <w:bottom w:val="single" w:color="auto" w:sz="4" w:space="0"/>
              <w:right w:val="single" w:color="auto" w:sz="4" w:space="0"/>
            </w:tcBorders>
            <w:vAlign w:val="center"/>
          </w:tcPr>
          <w:p w14:paraId="4360A65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582" w:type="pct"/>
            <w:tcBorders>
              <w:top w:val="nil"/>
              <w:left w:val="nil"/>
              <w:bottom w:val="single" w:color="auto" w:sz="4" w:space="0"/>
              <w:right w:val="single" w:color="auto" w:sz="4" w:space="0"/>
            </w:tcBorders>
            <w:vAlign w:val="center"/>
          </w:tcPr>
          <w:p w14:paraId="1F7F8A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54C6B6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1008" w:type="pct"/>
            <w:tcBorders>
              <w:top w:val="nil"/>
              <w:left w:val="nil"/>
              <w:bottom w:val="single" w:color="auto" w:sz="4" w:space="0"/>
              <w:right w:val="single" w:color="auto" w:sz="4" w:space="0"/>
            </w:tcBorders>
            <w:vAlign w:val="center"/>
          </w:tcPr>
          <w:p w14:paraId="54E78B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73B7776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EBE01B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75296F5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面漆喷涂线</w:t>
            </w:r>
          </w:p>
        </w:tc>
        <w:tc>
          <w:tcPr>
            <w:tcW w:w="1035" w:type="pct"/>
            <w:tcBorders>
              <w:top w:val="nil"/>
              <w:left w:val="nil"/>
              <w:bottom w:val="single" w:color="auto" w:sz="4" w:space="0"/>
              <w:right w:val="single" w:color="auto" w:sz="4" w:space="0"/>
            </w:tcBorders>
            <w:vAlign w:val="center"/>
          </w:tcPr>
          <w:p w14:paraId="1F27C93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582" w:type="pct"/>
            <w:tcBorders>
              <w:top w:val="nil"/>
              <w:left w:val="nil"/>
              <w:bottom w:val="single" w:color="auto" w:sz="4" w:space="0"/>
              <w:right w:val="single" w:color="auto" w:sz="4" w:space="0"/>
            </w:tcBorders>
            <w:vAlign w:val="center"/>
          </w:tcPr>
          <w:p w14:paraId="2CA12E4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05E9D8B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1008" w:type="pct"/>
            <w:tcBorders>
              <w:top w:val="nil"/>
              <w:left w:val="nil"/>
              <w:bottom w:val="single" w:color="auto" w:sz="4" w:space="0"/>
              <w:right w:val="single" w:color="auto" w:sz="4" w:space="0"/>
            </w:tcBorders>
            <w:vAlign w:val="center"/>
          </w:tcPr>
          <w:p w14:paraId="2159C3A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7CB625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10JPH</w:t>
            </w:r>
          </w:p>
        </w:tc>
      </w:tr>
      <w:tr w14:paraId="17F91B3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1F1B343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底漆吹、擦净</w:t>
            </w:r>
          </w:p>
        </w:tc>
        <w:tc>
          <w:tcPr>
            <w:tcW w:w="1035" w:type="pct"/>
            <w:tcBorders>
              <w:top w:val="nil"/>
              <w:left w:val="nil"/>
              <w:bottom w:val="single" w:color="auto" w:sz="4" w:space="0"/>
              <w:right w:val="single" w:color="auto" w:sz="4" w:space="0"/>
            </w:tcBorders>
            <w:vAlign w:val="center"/>
          </w:tcPr>
          <w:p w14:paraId="697503D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7BAA8CB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3D4AF1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0748497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294566C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30C75E5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A0D373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离子风</w:t>
            </w:r>
          </w:p>
        </w:tc>
        <w:tc>
          <w:tcPr>
            <w:tcW w:w="1035" w:type="pct"/>
            <w:tcBorders>
              <w:top w:val="nil"/>
              <w:left w:val="nil"/>
              <w:bottom w:val="single" w:color="auto" w:sz="4" w:space="0"/>
              <w:right w:val="single" w:color="auto" w:sz="4" w:space="0"/>
            </w:tcBorders>
            <w:vAlign w:val="center"/>
          </w:tcPr>
          <w:p w14:paraId="17C9153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5F69238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0DAB995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4E051E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62A49F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115D2EB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433B4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气密封</w:t>
            </w:r>
          </w:p>
        </w:tc>
        <w:tc>
          <w:tcPr>
            <w:tcW w:w="1035" w:type="pct"/>
            <w:tcBorders>
              <w:top w:val="nil"/>
              <w:left w:val="nil"/>
              <w:bottom w:val="single" w:color="auto" w:sz="4" w:space="0"/>
              <w:right w:val="single" w:color="auto" w:sz="4" w:space="0"/>
            </w:tcBorders>
            <w:vAlign w:val="center"/>
          </w:tcPr>
          <w:p w14:paraId="2660BC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18A7C40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6D64C65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262399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762B44A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4FC2F33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C0E43A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B2车厢喷涂</w:t>
            </w:r>
          </w:p>
        </w:tc>
        <w:tc>
          <w:tcPr>
            <w:tcW w:w="1035" w:type="pct"/>
            <w:tcBorders>
              <w:top w:val="nil"/>
              <w:left w:val="nil"/>
              <w:bottom w:val="single" w:color="auto" w:sz="4" w:space="0"/>
              <w:right w:val="single" w:color="auto" w:sz="4" w:space="0"/>
            </w:tcBorders>
            <w:vAlign w:val="center"/>
          </w:tcPr>
          <w:p w14:paraId="13688E4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0A3FEFD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68C2EFA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759BC3F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2E9C5C6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E979C5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7B6A19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B1自动喷涂</w:t>
            </w:r>
          </w:p>
        </w:tc>
        <w:tc>
          <w:tcPr>
            <w:tcW w:w="1035" w:type="pct"/>
            <w:tcBorders>
              <w:top w:val="nil"/>
              <w:left w:val="nil"/>
              <w:bottom w:val="single" w:color="auto" w:sz="4" w:space="0"/>
              <w:right w:val="single" w:color="auto" w:sz="4" w:space="0"/>
            </w:tcBorders>
            <w:vAlign w:val="center"/>
          </w:tcPr>
          <w:p w14:paraId="29BE38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751DB2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tcPr>
          <w:p w14:paraId="6870661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4421A8B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0D4C03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73F2A50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07E6CD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气密封</w:t>
            </w:r>
          </w:p>
        </w:tc>
        <w:tc>
          <w:tcPr>
            <w:tcW w:w="1035" w:type="pct"/>
            <w:tcBorders>
              <w:top w:val="nil"/>
              <w:left w:val="nil"/>
              <w:bottom w:val="single" w:color="auto" w:sz="4" w:space="0"/>
              <w:right w:val="single" w:color="auto" w:sz="4" w:space="0"/>
            </w:tcBorders>
            <w:vAlign w:val="center"/>
          </w:tcPr>
          <w:p w14:paraId="4F23274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689433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54643AE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6C7DA90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471E23B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9D8501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92171E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B1检查</w:t>
            </w:r>
          </w:p>
        </w:tc>
        <w:tc>
          <w:tcPr>
            <w:tcW w:w="1035" w:type="pct"/>
            <w:tcBorders>
              <w:top w:val="nil"/>
              <w:left w:val="nil"/>
              <w:bottom w:val="single" w:color="auto" w:sz="4" w:space="0"/>
              <w:right w:val="single" w:color="auto" w:sz="4" w:space="0"/>
            </w:tcBorders>
            <w:vAlign w:val="center"/>
          </w:tcPr>
          <w:p w14:paraId="552E1E0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3C9C8B4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2B7B19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6A4E50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718C93E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255B55D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11A03A3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B2内腔喷涂</w:t>
            </w:r>
          </w:p>
        </w:tc>
        <w:tc>
          <w:tcPr>
            <w:tcW w:w="1035" w:type="pct"/>
            <w:tcBorders>
              <w:top w:val="nil"/>
              <w:left w:val="nil"/>
              <w:bottom w:val="single" w:color="auto" w:sz="4" w:space="0"/>
              <w:right w:val="single" w:color="auto" w:sz="4" w:space="0"/>
            </w:tcBorders>
            <w:vAlign w:val="center"/>
          </w:tcPr>
          <w:p w14:paraId="41A2376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60638F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tcPr>
          <w:p w14:paraId="777A4FF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49A69AC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625DD1A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5088FF5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4997D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气密封</w:t>
            </w:r>
          </w:p>
        </w:tc>
        <w:tc>
          <w:tcPr>
            <w:tcW w:w="1035" w:type="pct"/>
            <w:tcBorders>
              <w:top w:val="nil"/>
              <w:left w:val="nil"/>
              <w:bottom w:val="single" w:color="auto" w:sz="4" w:space="0"/>
              <w:right w:val="single" w:color="auto" w:sz="4" w:space="0"/>
            </w:tcBorders>
            <w:vAlign w:val="center"/>
          </w:tcPr>
          <w:p w14:paraId="08C2F9C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6A29E0F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754ED73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2E7F4EA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3D7F582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3D7838F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E9A394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B2自动外喷涂</w:t>
            </w:r>
          </w:p>
        </w:tc>
        <w:tc>
          <w:tcPr>
            <w:tcW w:w="1035" w:type="pct"/>
            <w:tcBorders>
              <w:top w:val="nil"/>
              <w:left w:val="nil"/>
              <w:bottom w:val="single" w:color="auto" w:sz="4" w:space="0"/>
              <w:right w:val="single" w:color="auto" w:sz="4" w:space="0"/>
            </w:tcBorders>
            <w:vAlign w:val="center"/>
          </w:tcPr>
          <w:p w14:paraId="54CD15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4E28290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tcPr>
          <w:p w14:paraId="5E763A5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690BAA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11D84FF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505C128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1E4DBC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气密封</w:t>
            </w:r>
          </w:p>
        </w:tc>
        <w:tc>
          <w:tcPr>
            <w:tcW w:w="1035" w:type="pct"/>
            <w:tcBorders>
              <w:top w:val="nil"/>
              <w:left w:val="nil"/>
              <w:bottom w:val="single" w:color="auto" w:sz="4" w:space="0"/>
              <w:right w:val="single" w:color="auto" w:sz="4" w:space="0"/>
            </w:tcBorders>
            <w:vAlign w:val="center"/>
          </w:tcPr>
          <w:p w14:paraId="2E3CBB3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25A708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448EE4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47000C7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55DDA0A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5ED001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08A686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B2检查</w:t>
            </w:r>
          </w:p>
        </w:tc>
        <w:tc>
          <w:tcPr>
            <w:tcW w:w="1035" w:type="pct"/>
            <w:tcBorders>
              <w:top w:val="nil"/>
              <w:left w:val="nil"/>
              <w:bottom w:val="single" w:color="auto" w:sz="4" w:space="0"/>
              <w:right w:val="single" w:color="auto" w:sz="4" w:space="0"/>
            </w:tcBorders>
            <w:vAlign w:val="center"/>
          </w:tcPr>
          <w:p w14:paraId="65D1078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06FA98C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tcPr>
          <w:p w14:paraId="53EB185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01AF474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1C839A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2120705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5F141C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晾干</w:t>
            </w:r>
          </w:p>
        </w:tc>
        <w:tc>
          <w:tcPr>
            <w:tcW w:w="1035" w:type="pct"/>
            <w:tcBorders>
              <w:top w:val="nil"/>
              <w:left w:val="nil"/>
              <w:bottom w:val="single" w:color="auto" w:sz="4" w:space="0"/>
              <w:right w:val="single" w:color="auto" w:sz="4" w:space="0"/>
            </w:tcBorders>
            <w:vAlign w:val="center"/>
          </w:tcPr>
          <w:p w14:paraId="02A508D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0981DC2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0A1F0A5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5AA771D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28AE4A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471D4ED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53456E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过渡段</w:t>
            </w:r>
          </w:p>
        </w:tc>
        <w:tc>
          <w:tcPr>
            <w:tcW w:w="1035" w:type="pct"/>
            <w:tcBorders>
              <w:top w:val="nil"/>
              <w:left w:val="nil"/>
              <w:bottom w:val="single" w:color="auto" w:sz="4" w:space="0"/>
              <w:right w:val="single" w:color="auto" w:sz="4" w:space="0"/>
            </w:tcBorders>
            <w:vAlign w:val="center"/>
          </w:tcPr>
          <w:p w14:paraId="6648175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6C293B3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117A081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060E90F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1B40A25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08C4AF1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65C8C92">
            <w:pPr>
              <w:pageBreakBefore w:val="0"/>
              <w:widowControl/>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    气密封</w:t>
            </w:r>
          </w:p>
        </w:tc>
        <w:tc>
          <w:tcPr>
            <w:tcW w:w="1035" w:type="pct"/>
            <w:tcBorders>
              <w:top w:val="nil"/>
              <w:left w:val="nil"/>
              <w:bottom w:val="single" w:color="auto" w:sz="4" w:space="0"/>
              <w:right w:val="single" w:color="auto" w:sz="4" w:space="0"/>
            </w:tcBorders>
            <w:vAlign w:val="center"/>
          </w:tcPr>
          <w:p w14:paraId="795C39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0B40AB5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13AFFE5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7FA2ADD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053E11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3D6C223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CC510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水份烘干</w:t>
            </w:r>
          </w:p>
        </w:tc>
        <w:tc>
          <w:tcPr>
            <w:tcW w:w="1035" w:type="pct"/>
            <w:tcBorders>
              <w:top w:val="nil"/>
              <w:left w:val="nil"/>
              <w:bottom w:val="single" w:color="auto" w:sz="4" w:space="0"/>
              <w:right w:val="single" w:color="auto" w:sz="4" w:space="0"/>
            </w:tcBorders>
            <w:vAlign w:val="center"/>
          </w:tcPr>
          <w:p w14:paraId="4342498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582" w:type="pct"/>
            <w:tcBorders>
              <w:top w:val="nil"/>
              <w:left w:val="nil"/>
              <w:bottom w:val="single" w:color="auto" w:sz="4" w:space="0"/>
              <w:right w:val="single" w:color="auto" w:sz="4" w:space="0"/>
            </w:tcBorders>
            <w:vAlign w:val="center"/>
          </w:tcPr>
          <w:p w14:paraId="6B6B3D3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75D309C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60~80</w:t>
            </w:r>
          </w:p>
        </w:tc>
        <w:tc>
          <w:tcPr>
            <w:tcW w:w="1008" w:type="pct"/>
            <w:tcBorders>
              <w:top w:val="nil"/>
              <w:left w:val="nil"/>
              <w:bottom w:val="single" w:color="auto" w:sz="4" w:space="0"/>
              <w:right w:val="single" w:color="auto" w:sz="4" w:space="0"/>
            </w:tcBorders>
            <w:vAlign w:val="center"/>
          </w:tcPr>
          <w:p w14:paraId="7FBF1FD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8-10</w:t>
            </w:r>
          </w:p>
        </w:tc>
        <w:tc>
          <w:tcPr>
            <w:tcW w:w="762" w:type="pct"/>
            <w:tcBorders>
              <w:top w:val="nil"/>
              <w:left w:val="nil"/>
              <w:bottom w:val="single" w:color="auto" w:sz="4" w:space="0"/>
            </w:tcBorders>
            <w:vAlign w:val="center"/>
          </w:tcPr>
          <w:p w14:paraId="19BD69D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0A28396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1EE510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气密封</w:t>
            </w:r>
          </w:p>
        </w:tc>
        <w:tc>
          <w:tcPr>
            <w:tcW w:w="1035" w:type="pct"/>
            <w:tcBorders>
              <w:top w:val="nil"/>
              <w:left w:val="nil"/>
              <w:bottom w:val="single" w:color="auto" w:sz="4" w:space="0"/>
              <w:right w:val="single" w:color="auto" w:sz="4" w:space="0"/>
            </w:tcBorders>
            <w:vAlign w:val="center"/>
          </w:tcPr>
          <w:p w14:paraId="5C9D969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25E738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vAlign w:val="center"/>
          </w:tcPr>
          <w:p w14:paraId="7B9F23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7C1CDD6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788D156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0029DC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07EC45F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强冷</w:t>
            </w:r>
          </w:p>
        </w:tc>
        <w:tc>
          <w:tcPr>
            <w:tcW w:w="1035" w:type="pct"/>
            <w:tcBorders>
              <w:top w:val="nil"/>
              <w:left w:val="nil"/>
              <w:bottom w:val="single" w:color="auto" w:sz="4" w:space="0"/>
              <w:right w:val="single" w:color="auto" w:sz="4" w:space="0"/>
            </w:tcBorders>
            <w:vAlign w:val="center"/>
          </w:tcPr>
          <w:p w14:paraId="4FE5C95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582" w:type="pct"/>
            <w:tcBorders>
              <w:top w:val="nil"/>
              <w:left w:val="nil"/>
              <w:bottom w:val="single" w:color="auto" w:sz="4" w:space="0"/>
              <w:right w:val="single" w:color="auto" w:sz="4" w:space="0"/>
            </w:tcBorders>
            <w:vAlign w:val="center"/>
          </w:tcPr>
          <w:p w14:paraId="7886D0C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27" w:type="pct"/>
            <w:tcBorders>
              <w:top w:val="nil"/>
              <w:left w:val="nil"/>
              <w:bottom w:val="single" w:color="auto" w:sz="4" w:space="0"/>
              <w:right w:val="single" w:color="auto" w:sz="4" w:space="0"/>
            </w:tcBorders>
            <w:vAlign w:val="center"/>
          </w:tcPr>
          <w:p w14:paraId="439BA07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≤35</w:t>
            </w:r>
          </w:p>
        </w:tc>
        <w:tc>
          <w:tcPr>
            <w:tcW w:w="1008" w:type="pct"/>
            <w:tcBorders>
              <w:top w:val="nil"/>
              <w:left w:val="nil"/>
              <w:bottom w:val="single" w:color="auto" w:sz="4" w:space="0"/>
              <w:right w:val="single" w:color="auto" w:sz="4" w:space="0"/>
            </w:tcBorders>
            <w:vAlign w:val="center"/>
          </w:tcPr>
          <w:p w14:paraId="5308A0B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2712BB1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r>
      <w:tr w14:paraId="7602ABC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7C202F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气密封</w:t>
            </w:r>
          </w:p>
        </w:tc>
        <w:tc>
          <w:tcPr>
            <w:tcW w:w="1035" w:type="pct"/>
            <w:tcBorders>
              <w:top w:val="nil"/>
              <w:left w:val="nil"/>
              <w:bottom w:val="single" w:color="auto" w:sz="4" w:space="0"/>
              <w:right w:val="single" w:color="auto" w:sz="4" w:space="0"/>
            </w:tcBorders>
            <w:vAlign w:val="center"/>
          </w:tcPr>
          <w:p w14:paraId="1EE50F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w:t>
            </w:r>
          </w:p>
        </w:tc>
        <w:tc>
          <w:tcPr>
            <w:tcW w:w="582" w:type="pct"/>
            <w:tcBorders>
              <w:top w:val="nil"/>
              <w:left w:val="nil"/>
              <w:bottom w:val="single" w:color="auto" w:sz="4" w:space="0"/>
              <w:right w:val="single" w:color="auto" w:sz="4" w:space="0"/>
            </w:tcBorders>
            <w:vAlign w:val="center"/>
          </w:tcPr>
          <w:p w14:paraId="7601923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27" w:type="pct"/>
            <w:tcBorders>
              <w:top w:val="nil"/>
              <w:left w:val="nil"/>
              <w:bottom w:val="single" w:color="auto" w:sz="4" w:space="0"/>
              <w:right w:val="single" w:color="auto" w:sz="4" w:space="0"/>
            </w:tcBorders>
          </w:tcPr>
          <w:p w14:paraId="7B70B8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7A006D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7EE8809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2EC0998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95DEC8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2K清漆内喷涂</w:t>
            </w:r>
          </w:p>
        </w:tc>
        <w:tc>
          <w:tcPr>
            <w:tcW w:w="1035" w:type="pct"/>
            <w:tcBorders>
              <w:top w:val="nil"/>
              <w:left w:val="nil"/>
              <w:bottom w:val="single" w:color="auto" w:sz="4" w:space="0"/>
              <w:right w:val="single" w:color="auto" w:sz="4" w:space="0"/>
            </w:tcBorders>
            <w:vAlign w:val="center"/>
          </w:tcPr>
          <w:p w14:paraId="29453F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sz w:val="24"/>
                <w:szCs w:val="24"/>
              </w:rPr>
              <w:t>手工</w:t>
            </w:r>
          </w:p>
        </w:tc>
        <w:tc>
          <w:tcPr>
            <w:tcW w:w="582" w:type="pct"/>
            <w:tcBorders>
              <w:top w:val="nil"/>
              <w:left w:val="nil"/>
              <w:bottom w:val="single" w:color="auto" w:sz="4" w:space="0"/>
              <w:right w:val="single" w:color="auto" w:sz="4" w:space="0"/>
            </w:tcBorders>
            <w:vAlign w:val="center"/>
          </w:tcPr>
          <w:p w14:paraId="2E2C0B6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tcPr>
          <w:p w14:paraId="1C0CFC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13D1440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bottom w:val="single" w:color="auto" w:sz="4" w:space="0"/>
            </w:tcBorders>
            <w:vAlign w:val="center"/>
          </w:tcPr>
          <w:p w14:paraId="1F63D7C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0F3AC8F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213BDD1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气密封</w:t>
            </w:r>
          </w:p>
        </w:tc>
        <w:tc>
          <w:tcPr>
            <w:tcW w:w="1035" w:type="pct"/>
            <w:tcBorders>
              <w:top w:val="nil"/>
              <w:left w:val="nil"/>
              <w:bottom w:val="single" w:color="auto" w:sz="4" w:space="0"/>
              <w:right w:val="single" w:color="auto" w:sz="4" w:space="0"/>
            </w:tcBorders>
            <w:vAlign w:val="center"/>
          </w:tcPr>
          <w:p w14:paraId="429623F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582" w:type="pct"/>
            <w:tcBorders>
              <w:top w:val="nil"/>
              <w:left w:val="nil"/>
              <w:bottom w:val="single" w:color="auto" w:sz="4" w:space="0"/>
              <w:right w:val="single" w:color="auto" w:sz="4" w:space="0"/>
            </w:tcBorders>
            <w:vAlign w:val="center"/>
          </w:tcPr>
          <w:p w14:paraId="7F51428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tcPr>
          <w:p w14:paraId="1EE9EF8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3671477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bottom w:val="single" w:color="auto" w:sz="4" w:space="0"/>
            </w:tcBorders>
            <w:vAlign w:val="center"/>
          </w:tcPr>
          <w:p w14:paraId="16BDE1C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21745D8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4DC408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2K清漆外喷涂</w:t>
            </w:r>
          </w:p>
        </w:tc>
        <w:tc>
          <w:tcPr>
            <w:tcW w:w="1035" w:type="pct"/>
            <w:tcBorders>
              <w:top w:val="nil"/>
              <w:left w:val="nil"/>
              <w:bottom w:val="single" w:color="auto" w:sz="4" w:space="0"/>
              <w:right w:val="single" w:color="auto" w:sz="4" w:space="0"/>
            </w:tcBorders>
            <w:vAlign w:val="center"/>
          </w:tcPr>
          <w:p w14:paraId="7376C9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自动</w:t>
            </w:r>
          </w:p>
        </w:tc>
        <w:tc>
          <w:tcPr>
            <w:tcW w:w="582" w:type="pct"/>
            <w:tcBorders>
              <w:top w:val="nil"/>
              <w:left w:val="nil"/>
              <w:bottom w:val="single" w:color="auto" w:sz="4" w:space="0"/>
              <w:right w:val="single" w:color="auto" w:sz="4" w:space="0"/>
            </w:tcBorders>
            <w:vAlign w:val="center"/>
          </w:tcPr>
          <w:p w14:paraId="0791FDC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tcPr>
          <w:p w14:paraId="004EB4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72A4249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bottom w:val="single" w:color="auto" w:sz="4" w:space="0"/>
            </w:tcBorders>
            <w:vAlign w:val="center"/>
          </w:tcPr>
          <w:p w14:paraId="66DAB41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7C095A0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166EA51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2K清漆检查</w:t>
            </w:r>
          </w:p>
        </w:tc>
        <w:tc>
          <w:tcPr>
            <w:tcW w:w="1035" w:type="pct"/>
            <w:tcBorders>
              <w:top w:val="nil"/>
              <w:left w:val="nil"/>
              <w:bottom w:val="single" w:color="auto" w:sz="4" w:space="0"/>
              <w:right w:val="single" w:color="auto" w:sz="4" w:space="0"/>
            </w:tcBorders>
            <w:vAlign w:val="center"/>
          </w:tcPr>
          <w:p w14:paraId="2861F7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4BF9CE2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tcPr>
          <w:p w14:paraId="7223BF0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7318F06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bottom w:val="single" w:color="auto" w:sz="4" w:space="0"/>
            </w:tcBorders>
            <w:vAlign w:val="center"/>
          </w:tcPr>
          <w:p w14:paraId="7D1585B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5D7E17A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62FC466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面漆晾干</w:t>
            </w:r>
          </w:p>
        </w:tc>
        <w:tc>
          <w:tcPr>
            <w:tcW w:w="1035" w:type="pct"/>
            <w:tcBorders>
              <w:top w:val="nil"/>
              <w:left w:val="nil"/>
              <w:bottom w:val="single" w:color="auto" w:sz="4" w:space="0"/>
              <w:right w:val="single" w:color="auto" w:sz="4" w:space="0"/>
            </w:tcBorders>
            <w:vAlign w:val="center"/>
          </w:tcPr>
          <w:p w14:paraId="0968876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582" w:type="pct"/>
            <w:tcBorders>
              <w:top w:val="nil"/>
              <w:left w:val="nil"/>
              <w:bottom w:val="single" w:color="auto" w:sz="4" w:space="0"/>
              <w:right w:val="single" w:color="auto" w:sz="4" w:space="0"/>
            </w:tcBorders>
            <w:vAlign w:val="center"/>
          </w:tcPr>
          <w:p w14:paraId="3D0A82D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tcPr>
          <w:p w14:paraId="770A5B9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sz w:val="24"/>
                <w:szCs w:val="24"/>
              </w:rPr>
              <w:t>23℃±2</w:t>
            </w:r>
          </w:p>
        </w:tc>
        <w:tc>
          <w:tcPr>
            <w:tcW w:w="1008" w:type="pct"/>
            <w:tcBorders>
              <w:top w:val="nil"/>
              <w:left w:val="nil"/>
              <w:bottom w:val="single" w:color="auto" w:sz="4" w:space="0"/>
              <w:right w:val="single" w:color="auto" w:sz="4" w:space="0"/>
            </w:tcBorders>
            <w:vAlign w:val="center"/>
          </w:tcPr>
          <w:p w14:paraId="25867C2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bottom w:val="single" w:color="auto" w:sz="4" w:space="0"/>
            </w:tcBorders>
            <w:vAlign w:val="center"/>
          </w:tcPr>
          <w:p w14:paraId="7E4FA1A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108AADB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03157AA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面漆烘干</w:t>
            </w:r>
          </w:p>
        </w:tc>
        <w:tc>
          <w:tcPr>
            <w:tcW w:w="1035" w:type="pct"/>
            <w:tcBorders>
              <w:top w:val="nil"/>
              <w:left w:val="nil"/>
              <w:bottom w:val="single" w:color="auto" w:sz="4" w:space="0"/>
              <w:right w:val="single" w:color="auto" w:sz="4" w:space="0"/>
            </w:tcBorders>
            <w:vAlign w:val="center"/>
          </w:tcPr>
          <w:p w14:paraId="638AFF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热风循环</w:t>
            </w:r>
          </w:p>
        </w:tc>
        <w:tc>
          <w:tcPr>
            <w:tcW w:w="582" w:type="pct"/>
            <w:tcBorders>
              <w:top w:val="nil"/>
              <w:left w:val="nil"/>
              <w:bottom w:val="single" w:color="auto" w:sz="4" w:space="0"/>
              <w:right w:val="single" w:color="auto" w:sz="4" w:space="0"/>
            </w:tcBorders>
            <w:vAlign w:val="center"/>
          </w:tcPr>
          <w:p w14:paraId="69EA4C7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37B7691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160</w:t>
            </w:r>
          </w:p>
        </w:tc>
        <w:tc>
          <w:tcPr>
            <w:tcW w:w="1008" w:type="pct"/>
            <w:tcBorders>
              <w:top w:val="nil"/>
              <w:left w:val="nil"/>
              <w:bottom w:val="single" w:color="auto" w:sz="4" w:space="0"/>
              <w:right w:val="single" w:color="auto" w:sz="4" w:space="0"/>
            </w:tcBorders>
            <w:vAlign w:val="center"/>
          </w:tcPr>
          <w:p w14:paraId="508BE2B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35</w:t>
            </w:r>
          </w:p>
        </w:tc>
        <w:tc>
          <w:tcPr>
            <w:tcW w:w="762" w:type="pct"/>
            <w:tcBorders>
              <w:top w:val="nil"/>
              <w:left w:val="nil"/>
              <w:bottom w:val="single" w:color="auto" w:sz="4" w:space="0"/>
            </w:tcBorders>
            <w:vAlign w:val="center"/>
          </w:tcPr>
          <w:p w14:paraId="5AFA2F2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7CD08FB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7B6250C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强冷</w:t>
            </w:r>
          </w:p>
        </w:tc>
        <w:tc>
          <w:tcPr>
            <w:tcW w:w="1035" w:type="pct"/>
            <w:tcBorders>
              <w:top w:val="nil"/>
              <w:left w:val="nil"/>
              <w:bottom w:val="single" w:color="auto" w:sz="4" w:space="0"/>
              <w:right w:val="single" w:color="auto" w:sz="4" w:space="0"/>
            </w:tcBorders>
            <w:vAlign w:val="center"/>
          </w:tcPr>
          <w:p w14:paraId="6196CCF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强制吹风</w:t>
            </w:r>
          </w:p>
        </w:tc>
        <w:tc>
          <w:tcPr>
            <w:tcW w:w="582" w:type="pct"/>
            <w:tcBorders>
              <w:top w:val="nil"/>
              <w:left w:val="nil"/>
              <w:bottom w:val="single" w:color="auto" w:sz="4" w:space="0"/>
              <w:right w:val="single" w:color="auto" w:sz="4" w:space="0"/>
            </w:tcBorders>
            <w:vAlign w:val="center"/>
          </w:tcPr>
          <w:p w14:paraId="479CA5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46D2582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≤40</w:t>
            </w:r>
          </w:p>
        </w:tc>
        <w:tc>
          <w:tcPr>
            <w:tcW w:w="1008" w:type="pct"/>
            <w:tcBorders>
              <w:top w:val="nil"/>
              <w:left w:val="nil"/>
              <w:bottom w:val="single" w:color="auto" w:sz="4" w:space="0"/>
              <w:right w:val="single" w:color="auto" w:sz="4" w:space="0"/>
            </w:tcBorders>
            <w:vAlign w:val="center"/>
          </w:tcPr>
          <w:p w14:paraId="28DACA6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762" w:type="pct"/>
            <w:tcBorders>
              <w:top w:val="nil"/>
              <w:left w:val="nil"/>
              <w:bottom w:val="single" w:color="auto" w:sz="4" w:space="0"/>
            </w:tcBorders>
            <w:vAlign w:val="center"/>
          </w:tcPr>
          <w:p w14:paraId="23E06E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5277EAE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4E6F55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面漆修饰</w:t>
            </w:r>
          </w:p>
        </w:tc>
        <w:tc>
          <w:tcPr>
            <w:tcW w:w="1035" w:type="pct"/>
            <w:tcBorders>
              <w:top w:val="nil"/>
              <w:left w:val="nil"/>
              <w:bottom w:val="single" w:color="auto" w:sz="4" w:space="0"/>
              <w:right w:val="single" w:color="auto" w:sz="4" w:space="0"/>
            </w:tcBorders>
            <w:vAlign w:val="center"/>
          </w:tcPr>
          <w:p w14:paraId="465FBFF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1250444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0EAA9F4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RT</w:t>
            </w:r>
          </w:p>
        </w:tc>
        <w:tc>
          <w:tcPr>
            <w:tcW w:w="1008" w:type="pct"/>
            <w:tcBorders>
              <w:top w:val="nil"/>
              <w:left w:val="nil"/>
              <w:bottom w:val="single" w:color="auto" w:sz="4" w:space="0"/>
              <w:right w:val="single" w:color="auto" w:sz="4" w:space="0"/>
            </w:tcBorders>
            <w:vAlign w:val="center"/>
          </w:tcPr>
          <w:p w14:paraId="56F23C4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269B0CF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16F964F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26795C1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面漆AUDIT</w:t>
            </w:r>
          </w:p>
        </w:tc>
        <w:tc>
          <w:tcPr>
            <w:tcW w:w="1035" w:type="pct"/>
            <w:tcBorders>
              <w:top w:val="nil"/>
              <w:left w:val="nil"/>
              <w:bottom w:val="single" w:color="auto" w:sz="4" w:space="0"/>
              <w:right w:val="single" w:color="auto" w:sz="4" w:space="0"/>
            </w:tcBorders>
            <w:vAlign w:val="center"/>
          </w:tcPr>
          <w:p w14:paraId="3E9FA11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713FA54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3BF475C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RT</w:t>
            </w:r>
          </w:p>
        </w:tc>
        <w:tc>
          <w:tcPr>
            <w:tcW w:w="1008" w:type="pct"/>
            <w:tcBorders>
              <w:top w:val="nil"/>
              <w:left w:val="nil"/>
              <w:bottom w:val="single" w:color="auto" w:sz="4" w:space="0"/>
              <w:right w:val="single" w:color="auto" w:sz="4" w:space="0"/>
            </w:tcBorders>
            <w:vAlign w:val="center"/>
          </w:tcPr>
          <w:p w14:paraId="5A1C4C5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721E5FD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209B76B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3923A1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点修补</w:t>
            </w:r>
          </w:p>
        </w:tc>
        <w:tc>
          <w:tcPr>
            <w:tcW w:w="1035" w:type="pct"/>
            <w:tcBorders>
              <w:top w:val="nil"/>
              <w:left w:val="nil"/>
              <w:bottom w:val="single" w:color="auto" w:sz="4" w:space="0"/>
              <w:right w:val="single" w:color="auto" w:sz="4" w:space="0"/>
            </w:tcBorders>
            <w:vAlign w:val="center"/>
          </w:tcPr>
          <w:p w14:paraId="29623D0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44553C4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5BBB326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RT</w:t>
            </w:r>
          </w:p>
        </w:tc>
        <w:tc>
          <w:tcPr>
            <w:tcW w:w="1008" w:type="pct"/>
            <w:tcBorders>
              <w:top w:val="nil"/>
              <w:left w:val="nil"/>
              <w:bottom w:val="single" w:color="auto" w:sz="4" w:space="0"/>
              <w:right w:val="single" w:color="auto" w:sz="4" w:space="0"/>
            </w:tcBorders>
            <w:vAlign w:val="center"/>
          </w:tcPr>
          <w:p w14:paraId="3804CD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w:t>
            </w:r>
          </w:p>
        </w:tc>
        <w:tc>
          <w:tcPr>
            <w:tcW w:w="762" w:type="pct"/>
            <w:tcBorders>
              <w:top w:val="nil"/>
              <w:left w:val="nil"/>
              <w:bottom w:val="single" w:color="auto" w:sz="4" w:space="0"/>
            </w:tcBorders>
            <w:vAlign w:val="center"/>
          </w:tcPr>
          <w:p w14:paraId="12EE78D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52E7025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26CFE2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终检报交</w:t>
            </w:r>
          </w:p>
        </w:tc>
        <w:tc>
          <w:tcPr>
            <w:tcW w:w="1035" w:type="pct"/>
            <w:tcBorders>
              <w:top w:val="nil"/>
              <w:left w:val="nil"/>
              <w:bottom w:val="single" w:color="auto" w:sz="4" w:space="0"/>
              <w:right w:val="single" w:color="auto" w:sz="4" w:space="0"/>
            </w:tcBorders>
            <w:vAlign w:val="center"/>
          </w:tcPr>
          <w:p w14:paraId="2093951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58F6D80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0D26062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RT</w:t>
            </w:r>
          </w:p>
        </w:tc>
        <w:tc>
          <w:tcPr>
            <w:tcW w:w="1008" w:type="pct"/>
            <w:tcBorders>
              <w:top w:val="nil"/>
              <w:left w:val="nil"/>
              <w:bottom w:val="single" w:color="auto" w:sz="4" w:space="0"/>
              <w:right w:val="single" w:color="auto" w:sz="4" w:space="0"/>
            </w:tcBorders>
            <w:vAlign w:val="center"/>
          </w:tcPr>
          <w:p w14:paraId="4148FA8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1D93E67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2248613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74" w:hRule="atLeast"/>
        </w:trPr>
        <w:tc>
          <w:tcPr>
            <w:tcW w:w="883" w:type="pct"/>
            <w:tcBorders>
              <w:top w:val="nil"/>
              <w:bottom w:val="single" w:color="auto" w:sz="4" w:space="0"/>
              <w:right w:val="single" w:color="auto" w:sz="4" w:space="0"/>
            </w:tcBorders>
            <w:vAlign w:val="center"/>
          </w:tcPr>
          <w:p w14:paraId="5D448A6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注蜡</w:t>
            </w:r>
          </w:p>
        </w:tc>
        <w:tc>
          <w:tcPr>
            <w:tcW w:w="1035" w:type="pct"/>
            <w:tcBorders>
              <w:top w:val="nil"/>
              <w:left w:val="nil"/>
              <w:bottom w:val="single" w:color="auto" w:sz="4" w:space="0"/>
              <w:right w:val="single" w:color="auto" w:sz="4" w:space="0"/>
            </w:tcBorders>
            <w:vAlign w:val="center"/>
          </w:tcPr>
          <w:p w14:paraId="763B9AE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手工</w:t>
            </w:r>
          </w:p>
        </w:tc>
        <w:tc>
          <w:tcPr>
            <w:tcW w:w="582" w:type="pct"/>
            <w:tcBorders>
              <w:top w:val="nil"/>
              <w:left w:val="nil"/>
              <w:bottom w:val="single" w:color="auto" w:sz="4" w:space="0"/>
              <w:right w:val="single" w:color="auto" w:sz="4" w:space="0"/>
            </w:tcBorders>
            <w:vAlign w:val="center"/>
          </w:tcPr>
          <w:p w14:paraId="4F90D7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bottom w:val="single" w:color="auto" w:sz="4" w:space="0"/>
              <w:right w:val="single" w:color="auto" w:sz="4" w:space="0"/>
            </w:tcBorders>
            <w:vAlign w:val="center"/>
          </w:tcPr>
          <w:p w14:paraId="373AEA1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RT</w:t>
            </w:r>
          </w:p>
        </w:tc>
        <w:tc>
          <w:tcPr>
            <w:tcW w:w="1008" w:type="pct"/>
            <w:tcBorders>
              <w:top w:val="nil"/>
              <w:left w:val="nil"/>
              <w:bottom w:val="single" w:color="auto" w:sz="4" w:space="0"/>
              <w:right w:val="single" w:color="auto" w:sz="4" w:space="0"/>
            </w:tcBorders>
            <w:vAlign w:val="center"/>
          </w:tcPr>
          <w:p w14:paraId="78056E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762" w:type="pct"/>
            <w:tcBorders>
              <w:top w:val="nil"/>
              <w:left w:val="nil"/>
              <w:bottom w:val="single" w:color="auto" w:sz="4" w:space="0"/>
            </w:tcBorders>
            <w:vAlign w:val="center"/>
          </w:tcPr>
          <w:p w14:paraId="05B5C74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r w14:paraId="3BC0542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4" w:hRule="atLeast"/>
        </w:trPr>
        <w:tc>
          <w:tcPr>
            <w:tcW w:w="883" w:type="pct"/>
            <w:tcBorders>
              <w:top w:val="nil"/>
              <w:right w:val="single" w:color="auto" w:sz="4" w:space="0"/>
            </w:tcBorders>
            <w:vAlign w:val="center"/>
          </w:tcPr>
          <w:p w14:paraId="4AE0B46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转挂至总装</w:t>
            </w:r>
          </w:p>
        </w:tc>
        <w:tc>
          <w:tcPr>
            <w:tcW w:w="1035" w:type="pct"/>
            <w:tcBorders>
              <w:top w:val="nil"/>
              <w:left w:val="nil"/>
              <w:right w:val="single" w:color="auto" w:sz="4" w:space="0"/>
            </w:tcBorders>
            <w:vAlign w:val="center"/>
          </w:tcPr>
          <w:p w14:paraId="3598AD6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自动　</w:t>
            </w:r>
          </w:p>
        </w:tc>
        <w:tc>
          <w:tcPr>
            <w:tcW w:w="582" w:type="pct"/>
            <w:tcBorders>
              <w:top w:val="nil"/>
              <w:left w:val="nil"/>
              <w:right w:val="single" w:color="auto" w:sz="4" w:space="0"/>
            </w:tcBorders>
            <w:vAlign w:val="center"/>
          </w:tcPr>
          <w:p w14:paraId="0E04D69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27" w:type="pct"/>
            <w:tcBorders>
              <w:top w:val="nil"/>
              <w:left w:val="nil"/>
              <w:right w:val="single" w:color="auto" w:sz="4" w:space="0"/>
            </w:tcBorders>
            <w:vAlign w:val="center"/>
          </w:tcPr>
          <w:p w14:paraId="63A3A40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RT</w:t>
            </w:r>
          </w:p>
        </w:tc>
        <w:tc>
          <w:tcPr>
            <w:tcW w:w="1008" w:type="pct"/>
            <w:tcBorders>
              <w:top w:val="nil"/>
              <w:left w:val="nil"/>
              <w:right w:val="single" w:color="auto" w:sz="4" w:space="0"/>
            </w:tcBorders>
            <w:vAlign w:val="center"/>
          </w:tcPr>
          <w:p w14:paraId="21E519D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c>
          <w:tcPr>
            <w:tcW w:w="762" w:type="pct"/>
            <w:tcBorders>
              <w:top w:val="nil"/>
              <w:left w:val="nil"/>
            </w:tcBorders>
            <w:vAlign w:val="center"/>
          </w:tcPr>
          <w:p w14:paraId="37289C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w:t>
            </w:r>
          </w:p>
        </w:tc>
      </w:tr>
    </w:tbl>
    <w:p w14:paraId="3B7CB143">
      <w:pPr>
        <w:pStyle w:val="17"/>
        <w:pageBreakBefore w:val="0"/>
        <w:numPr>
          <w:ilvl w:val="0"/>
          <w:numId w:val="18"/>
        </w:numPr>
        <w:kinsoku/>
        <w:topLinePunct w:val="0"/>
        <w:bidi w:val="0"/>
        <w:adjustRightInd w:val="0"/>
        <w:snapToGrid w:val="0"/>
        <w:spacing w:before="0" w:after="0" w:afterAutospacing="0" w:line="360" w:lineRule="auto"/>
        <w:ind w:left="0" w:firstLine="0" w:firstLineChars="0"/>
        <w:jc w:val="left"/>
        <w:rPr>
          <w:rFonts w:hint="eastAsia" w:ascii="宋体" w:hAnsi="宋体" w:eastAsia="宋体" w:cs="宋体"/>
          <w:sz w:val="24"/>
          <w:szCs w:val="24"/>
        </w:rPr>
      </w:pPr>
      <w:r>
        <w:rPr>
          <w:rFonts w:hint="eastAsia" w:ascii="宋体" w:hAnsi="宋体" w:cs="宋体"/>
          <w:sz w:val="24"/>
          <w:szCs w:val="24"/>
          <w:lang w:eastAsia="zh-CN"/>
        </w:rPr>
        <w:t>涂装</w:t>
      </w:r>
      <w:r>
        <w:rPr>
          <w:rFonts w:hint="eastAsia" w:ascii="宋体" w:hAnsi="宋体" w:eastAsia="宋体" w:cs="宋体"/>
          <w:sz w:val="24"/>
          <w:szCs w:val="24"/>
        </w:rPr>
        <w:t>工艺流程表</w:t>
      </w:r>
      <w:bookmarkEnd w:id="33"/>
      <w:bookmarkEnd w:id="34"/>
      <w:bookmarkEnd w:id="35"/>
    </w:p>
    <w:p w14:paraId="541F2CC2">
      <w:pPr>
        <w:pStyle w:val="17"/>
        <w:pageBreakBefore w:val="0"/>
        <w:numPr>
          <w:ilvl w:val="0"/>
          <w:numId w:val="18"/>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sz w:val="24"/>
          <w:szCs w:val="24"/>
        </w:rPr>
      </w:pPr>
      <w:bookmarkStart w:id="36" w:name="_Toc14778_WPSOffice_Level2"/>
      <w:bookmarkStart w:id="37" w:name="_Toc12196_WPSOffice_Level2"/>
      <w:bookmarkStart w:id="38" w:name="_Toc24057_WPSOffice_Level2"/>
      <w:r>
        <w:rPr>
          <w:rFonts w:hint="eastAsia" w:ascii="宋体" w:hAnsi="宋体" w:cs="宋体"/>
          <w:sz w:val="24"/>
          <w:szCs w:val="24"/>
          <w:lang w:eastAsia="zh-CN"/>
        </w:rPr>
        <w:t>涂装</w:t>
      </w:r>
      <w:r>
        <w:rPr>
          <w:rFonts w:hint="eastAsia" w:ascii="宋体" w:hAnsi="宋体" w:eastAsia="宋体" w:cs="宋体"/>
          <w:sz w:val="24"/>
          <w:szCs w:val="24"/>
        </w:rPr>
        <w:t>能源供应参数</w:t>
      </w:r>
      <w:bookmarkEnd w:id="36"/>
      <w:bookmarkEnd w:id="37"/>
      <w:bookmarkEnd w:id="38"/>
    </w:p>
    <w:tbl>
      <w:tblPr>
        <w:tblStyle w:val="44"/>
        <w:tblW w:w="4999" w:type="pct"/>
        <w:jc w:val="center"/>
        <w:tblLayout w:type="autofit"/>
        <w:tblCellMar>
          <w:top w:w="0" w:type="dxa"/>
          <w:left w:w="108" w:type="dxa"/>
          <w:bottom w:w="0" w:type="dxa"/>
          <w:right w:w="108" w:type="dxa"/>
        </w:tblCellMar>
      </w:tblPr>
      <w:tblGrid>
        <w:gridCol w:w="696"/>
        <w:gridCol w:w="2983"/>
        <w:gridCol w:w="2983"/>
        <w:gridCol w:w="2990"/>
      </w:tblGrid>
      <w:tr w14:paraId="76AEF6B9">
        <w:tblPrEx>
          <w:tblCellMar>
            <w:top w:w="0" w:type="dxa"/>
            <w:left w:w="108" w:type="dxa"/>
            <w:bottom w:w="0" w:type="dxa"/>
            <w:right w:w="108" w:type="dxa"/>
          </w:tblCellMar>
        </w:tblPrEx>
        <w:trPr>
          <w:trHeight w:val="454" w:hRule="atLeast"/>
          <w:jc w:val="center"/>
        </w:trPr>
        <w:tc>
          <w:tcPr>
            <w:tcW w:w="351" w:type="pct"/>
            <w:tcBorders>
              <w:top w:val="single" w:color="auto" w:sz="4" w:space="0"/>
              <w:left w:val="single" w:color="auto" w:sz="4" w:space="0"/>
              <w:bottom w:val="single" w:color="auto" w:sz="4" w:space="0"/>
              <w:right w:val="single" w:color="auto" w:sz="4" w:space="0"/>
            </w:tcBorders>
            <w:noWrap/>
            <w:vAlign w:val="center"/>
          </w:tcPr>
          <w:p w14:paraId="61652E5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项目</w:t>
            </w:r>
          </w:p>
        </w:tc>
        <w:tc>
          <w:tcPr>
            <w:tcW w:w="1548" w:type="pct"/>
            <w:tcBorders>
              <w:top w:val="single" w:color="auto" w:sz="4" w:space="0"/>
              <w:left w:val="nil"/>
              <w:bottom w:val="single" w:color="auto" w:sz="4" w:space="0"/>
              <w:right w:val="single" w:color="auto" w:sz="4" w:space="0"/>
            </w:tcBorders>
            <w:noWrap/>
            <w:vAlign w:val="center"/>
          </w:tcPr>
          <w:p w14:paraId="54920A0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工业用水</w:t>
            </w:r>
          </w:p>
        </w:tc>
        <w:tc>
          <w:tcPr>
            <w:tcW w:w="1548" w:type="pct"/>
            <w:tcBorders>
              <w:top w:val="single" w:color="auto" w:sz="4" w:space="0"/>
              <w:left w:val="nil"/>
              <w:bottom w:val="single" w:color="auto" w:sz="4" w:space="0"/>
              <w:right w:val="single" w:color="auto" w:sz="4" w:space="0"/>
            </w:tcBorders>
            <w:noWrap/>
            <w:vAlign w:val="center"/>
          </w:tcPr>
          <w:p w14:paraId="0DFBC6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w:t>
            </w:r>
          </w:p>
        </w:tc>
        <w:tc>
          <w:tcPr>
            <w:tcW w:w="1551" w:type="pct"/>
            <w:tcBorders>
              <w:top w:val="single" w:color="auto" w:sz="4" w:space="0"/>
              <w:left w:val="nil"/>
              <w:bottom w:val="single" w:color="auto" w:sz="4" w:space="0"/>
              <w:right w:val="single" w:color="auto" w:sz="4" w:space="0"/>
            </w:tcBorders>
            <w:noWrap/>
            <w:vAlign w:val="center"/>
          </w:tcPr>
          <w:p w14:paraId="1905879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压缩空气</w:t>
            </w:r>
          </w:p>
        </w:tc>
      </w:tr>
      <w:tr w14:paraId="5DB3627D">
        <w:tblPrEx>
          <w:tblCellMar>
            <w:top w:w="0" w:type="dxa"/>
            <w:left w:w="108" w:type="dxa"/>
            <w:bottom w:w="0" w:type="dxa"/>
            <w:right w:w="108" w:type="dxa"/>
          </w:tblCellMar>
        </w:tblPrEx>
        <w:trPr>
          <w:trHeight w:val="454" w:hRule="atLeast"/>
          <w:jc w:val="center"/>
        </w:trPr>
        <w:tc>
          <w:tcPr>
            <w:tcW w:w="351" w:type="pct"/>
            <w:tcBorders>
              <w:top w:val="nil"/>
              <w:left w:val="single" w:color="auto" w:sz="4" w:space="0"/>
              <w:bottom w:val="single" w:color="auto" w:sz="4" w:space="0"/>
              <w:right w:val="single" w:color="auto" w:sz="4" w:space="0"/>
            </w:tcBorders>
            <w:noWrap/>
            <w:vAlign w:val="center"/>
          </w:tcPr>
          <w:p w14:paraId="5953E8F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tc>
        <w:tc>
          <w:tcPr>
            <w:tcW w:w="1548" w:type="pct"/>
            <w:tcBorders>
              <w:top w:val="nil"/>
              <w:left w:val="nil"/>
              <w:bottom w:val="single" w:color="auto" w:sz="4" w:space="0"/>
              <w:right w:val="single" w:color="auto" w:sz="4" w:space="0"/>
            </w:tcBorders>
            <w:noWrap/>
            <w:vAlign w:val="center"/>
          </w:tcPr>
          <w:p w14:paraId="2524BEF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0.2Mpa-0.3Mpa</w:t>
            </w:r>
          </w:p>
        </w:tc>
        <w:tc>
          <w:tcPr>
            <w:tcW w:w="1548" w:type="pct"/>
            <w:tcBorders>
              <w:top w:val="nil"/>
              <w:left w:val="nil"/>
              <w:bottom w:val="single" w:color="auto" w:sz="4" w:space="0"/>
              <w:right w:val="single" w:color="auto" w:sz="4" w:space="0"/>
            </w:tcBorders>
            <w:vAlign w:val="center"/>
          </w:tcPr>
          <w:p w14:paraId="14DC4BF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三相：AC380V×50Hz</w:t>
            </w:r>
            <w:r>
              <w:rPr>
                <w:rFonts w:hint="eastAsia" w:ascii="宋体" w:hAnsi="宋体" w:eastAsia="宋体" w:cs="宋体"/>
                <w:sz w:val="24"/>
                <w:szCs w:val="24"/>
              </w:rPr>
              <w:br w:type="textWrapping"/>
            </w:r>
            <w:r>
              <w:rPr>
                <w:rFonts w:hint="eastAsia" w:ascii="宋体" w:hAnsi="宋体" w:eastAsia="宋体" w:cs="宋体"/>
                <w:sz w:val="24"/>
                <w:szCs w:val="24"/>
              </w:rPr>
              <w:t>单相：AC220V×50Hz</w:t>
            </w:r>
          </w:p>
        </w:tc>
        <w:tc>
          <w:tcPr>
            <w:tcW w:w="1551" w:type="pct"/>
            <w:tcBorders>
              <w:top w:val="nil"/>
              <w:left w:val="nil"/>
              <w:bottom w:val="single" w:color="auto" w:sz="4" w:space="0"/>
              <w:right w:val="single" w:color="auto" w:sz="4" w:space="0"/>
            </w:tcBorders>
            <w:noWrap/>
            <w:vAlign w:val="center"/>
          </w:tcPr>
          <w:p w14:paraId="05A4CB9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0.6Mpa-0.7Mpa</w:t>
            </w:r>
          </w:p>
        </w:tc>
      </w:tr>
      <w:tr w14:paraId="46E21F44">
        <w:tblPrEx>
          <w:tblCellMar>
            <w:top w:w="0" w:type="dxa"/>
            <w:left w:w="108" w:type="dxa"/>
            <w:bottom w:w="0" w:type="dxa"/>
            <w:right w:w="108" w:type="dxa"/>
          </w:tblCellMar>
        </w:tblPrEx>
        <w:trPr>
          <w:trHeight w:val="454" w:hRule="atLeast"/>
          <w:jc w:val="center"/>
        </w:trPr>
        <w:tc>
          <w:tcPr>
            <w:tcW w:w="351" w:type="pct"/>
            <w:tcBorders>
              <w:top w:val="nil"/>
              <w:left w:val="single" w:color="auto" w:sz="4" w:space="0"/>
              <w:bottom w:val="single" w:color="auto" w:sz="4" w:space="0"/>
              <w:right w:val="single" w:color="auto" w:sz="4" w:space="0"/>
            </w:tcBorders>
            <w:noWrap/>
            <w:vAlign w:val="center"/>
          </w:tcPr>
          <w:p w14:paraId="67AE699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项目</w:t>
            </w:r>
          </w:p>
        </w:tc>
        <w:tc>
          <w:tcPr>
            <w:tcW w:w="1548" w:type="pct"/>
            <w:tcBorders>
              <w:top w:val="nil"/>
              <w:left w:val="nil"/>
              <w:bottom w:val="single" w:color="auto" w:sz="4" w:space="0"/>
              <w:right w:val="single" w:color="auto" w:sz="4" w:space="0"/>
            </w:tcBorders>
            <w:noWrap/>
            <w:vAlign w:val="center"/>
          </w:tcPr>
          <w:p w14:paraId="724BB6C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天然气</w:t>
            </w:r>
          </w:p>
        </w:tc>
        <w:tc>
          <w:tcPr>
            <w:tcW w:w="1548" w:type="pct"/>
            <w:tcBorders>
              <w:top w:val="nil"/>
              <w:left w:val="nil"/>
              <w:bottom w:val="single" w:color="auto" w:sz="4" w:space="0"/>
              <w:right w:val="single" w:color="auto" w:sz="4" w:space="0"/>
            </w:tcBorders>
            <w:noWrap/>
            <w:vAlign w:val="center"/>
          </w:tcPr>
          <w:p w14:paraId="63638E0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热水</w:t>
            </w:r>
          </w:p>
        </w:tc>
        <w:tc>
          <w:tcPr>
            <w:tcW w:w="1551" w:type="pct"/>
            <w:tcBorders>
              <w:top w:val="nil"/>
              <w:left w:val="nil"/>
              <w:bottom w:val="single" w:color="auto" w:sz="4" w:space="0"/>
              <w:right w:val="single" w:color="auto" w:sz="4" w:space="0"/>
            </w:tcBorders>
            <w:noWrap/>
            <w:vAlign w:val="center"/>
          </w:tcPr>
          <w:p w14:paraId="3AFB631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冷冻水</w:t>
            </w:r>
          </w:p>
        </w:tc>
      </w:tr>
      <w:tr w14:paraId="7D48E693">
        <w:tblPrEx>
          <w:tblCellMar>
            <w:top w:w="0" w:type="dxa"/>
            <w:left w:w="108" w:type="dxa"/>
            <w:bottom w:w="0" w:type="dxa"/>
            <w:right w:w="108" w:type="dxa"/>
          </w:tblCellMar>
        </w:tblPrEx>
        <w:trPr>
          <w:trHeight w:val="454" w:hRule="atLeast"/>
          <w:jc w:val="center"/>
        </w:trPr>
        <w:tc>
          <w:tcPr>
            <w:tcW w:w="351" w:type="pct"/>
            <w:tcBorders>
              <w:top w:val="nil"/>
              <w:left w:val="single" w:color="auto" w:sz="4" w:space="0"/>
              <w:bottom w:val="single" w:color="auto" w:sz="4" w:space="0"/>
              <w:right w:val="single" w:color="auto" w:sz="4" w:space="0"/>
            </w:tcBorders>
            <w:noWrap/>
            <w:vAlign w:val="center"/>
          </w:tcPr>
          <w:p w14:paraId="77C0FE0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参数</w:t>
            </w:r>
          </w:p>
        </w:tc>
        <w:tc>
          <w:tcPr>
            <w:tcW w:w="1548" w:type="pct"/>
            <w:tcBorders>
              <w:top w:val="nil"/>
              <w:left w:val="nil"/>
              <w:bottom w:val="single" w:color="auto" w:sz="4" w:space="0"/>
              <w:right w:val="single" w:color="auto" w:sz="4" w:space="0"/>
            </w:tcBorders>
            <w:vAlign w:val="center"/>
          </w:tcPr>
          <w:p w14:paraId="3ED1387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热值：约8500kcal/Nm³</w:t>
            </w:r>
            <w:r>
              <w:rPr>
                <w:rFonts w:hint="eastAsia" w:ascii="宋体" w:hAnsi="宋体" w:eastAsia="宋体" w:cs="宋体"/>
                <w:sz w:val="24"/>
                <w:szCs w:val="24"/>
              </w:rPr>
              <w:br w:type="textWrapping"/>
            </w:r>
            <w:r>
              <w:rPr>
                <w:rFonts w:hint="eastAsia" w:ascii="宋体" w:hAnsi="宋体" w:eastAsia="宋体" w:cs="宋体"/>
                <w:sz w:val="24"/>
                <w:szCs w:val="24"/>
              </w:rPr>
              <w:t>压力：30-50KPa</w:t>
            </w:r>
          </w:p>
        </w:tc>
        <w:tc>
          <w:tcPr>
            <w:tcW w:w="1548" w:type="pct"/>
            <w:tcBorders>
              <w:top w:val="nil"/>
              <w:left w:val="nil"/>
              <w:bottom w:val="single" w:color="auto" w:sz="4" w:space="0"/>
              <w:right w:val="single" w:color="auto" w:sz="4" w:space="0"/>
            </w:tcBorders>
            <w:vAlign w:val="center"/>
          </w:tcPr>
          <w:p w14:paraId="6230358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压力：0.2Mpa-0.7Mpa</w:t>
            </w:r>
            <w:r>
              <w:rPr>
                <w:rFonts w:hint="eastAsia" w:ascii="宋体" w:hAnsi="宋体" w:eastAsia="宋体" w:cs="宋体"/>
                <w:sz w:val="24"/>
                <w:szCs w:val="24"/>
              </w:rPr>
              <w:br w:type="textWrapping"/>
            </w:r>
            <w:r>
              <w:rPr>
                <w:rFonts w:hint="eastAsia" w:ascii="宋体" w:hAnsi="宋体" w:eastAsia="宋体" w:cs="宋体"/>
                <w:sz w:val="24"/>
                <w:szCs w:val="24"/>
              </w:rPr>
              <w:t>温度：85℃-95℃</w:t>
            </w:r>
          </w:p>
        </w:tc>
        <w:tc>
          <w:tcPr>
            <w:tcW w:w="1551" w:type="pct"/>
            <w:tcBorders>
              <w:top w:val="nil"/>
              <w:left w:val="nil"/>
              <w:bottom w:val="single" w:color="auto" w:sz="4" w:space="0"/>
              <w:right w:val="single" w:color="auto" w:sz="4" w:space="0"/>
            </w:tcBorders>
            <w:vAlign w:val="center"/>
          </w:tcPr>
          <w:p w14:paraId="22D1805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压力：0.3Mpa-0.4Mpa</w:t>
            </w:r>
          </w:p>
          <w:p w14:paraId="2BB171F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温度：7℃-12℃</w:t>
            </w:r>
          </w:p>
        </w:tc>
      </w:tr>
    </w:tbl>
    <w:p w14:paraId="10852A14">
      <w:pPr>
        <w:pStyle w:val="17"/>
        <w:pageBreakBefore w:val="0"/>
        <w:numPr>
          <w:ilvl w:val="0"/>
          <w:numId w:val="18"/>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sz w:val="24"/>
          <w:szCs w:val="24"/>
        </w:rPr>
      </w:pPr>
      <w:bookmarkStart w:id="39" w:name="_Toc435620214"/>
      <w:bookmarkStart w:id="40" w:name="_Toc27181_WPSOffice_Level2"/>
      <w:bookmarkStart w:id="41" w:name="_Toc23002_WPSOffice_Level2"/>
      <w:bookmarkStart w:id="42" w:name="_Toc13178_WPSOffice_Level2"/>
      <w:r>
        <w:rPr>
          <w:rFonts w:hint="eastAsia" w:ascii="宋体" w:hAnsi="宋体" w:eastAsia="宋体" w:cs="宋体"/>
          <w:sz w:val="24"/>
          <w:szCs w:val="24"/>
        </w:rPr>
        <w:t>车间施工要求</w:t>
      </w:r>
      <w:bookmarkEnd w:id="39"/>
      <w:bookmarkEnd w:id="40"/>
      <w:bookmarkEnd w:id="41"/>
    </w:p>
    <w:p w14:paraId="4D7EC32F">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设计施工原则：</w:t>
      </w:r>
    </w:p>
    <w:p w14:paraId="3C8655D6">
      <w:pPr>
        <w:pStyle w:val="17"/>
        <w:pageBreakBefore w:val="0"/>
        <w:numPr>
          <w:ilvl w:val="0"/>
          <w:numId w:val="25"/>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名词解释</w:t>
      </w:r>
    </w:p>
    <w:p w14:paraId="26CAE06A">
      <w:pPr>
        <w:pStyle w:val="17"/>
        <w:pageBreakBefore w:val="0"/>
        <w:numPr>
          <w:ilvl w:val="0"/>
          <w:numId w:val="25"/>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法规：国家正式颁布的法律法规对事物的解释。</w:t>
      </w:r>
    </w:p>
    <w:p w14:paraId="3625F756">
      <w:pPr>
        <w:pStyle w:val="17"/>
        <w:pageBreakBefore w:val="0"/>
        <w:numPr>
          <w:ilvl w:val="0"/>
          <w:numId w:val="25"/>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标准：行业内生效的条文对事物的解释。</w:t>
      </w:r>
    </w:p>
    <w:p w14:paraId="4B6AD337">
      <w:pPr>
        <w:pStyle w:val="17"/>
        <w:pageBreakBefore w:val="0"/>
        <w:numPr>
          <w:ilvl w:val="0"/>
          <w:numId w:val="25"/>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功能：满足为设定条件事物的运行所具备的条件。</w:t>
      </w:r>
    </w:p>
    <w:p w14:paraId="535D8DCF">
      <w:pPr>
        <w:pStyle w:val="17"/>
        <w:keepNext w:val="0"/>
        <w:keepLines w:val="0"/>
        <w:pageBreakBefore w:val="0"/>
        <w:widowControl w:val="0"/>
        <w:numPr>
          <w:ilvl w:val="0"/>
          <w:numId w:val="2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子功能：是对功能一层或多层的分解，子功能的描述必须符合功能规定的原则，同时又是对功能要求的支撑。</w:t>
      </w:r>
    </w:p>
    <w:p w14:paraId="47B0F317">
      <w:pPr>
        <w:pStyle w:val="17"/>
        <w:pageBreakBefore w:val="0"/>
        <w:numPr>
          <w:ilvl w:val="0"/>
          <w:numId w:val="25"/>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做法：为达到子功能的要求，所采取的具体的工艺和措施。</w:t>
      </w:r>
    </w:p>
    <w:p w14:paraId="0D979668">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设计、施工原则</w:t>
      </w:r>
    </w:p>
    <w:p w14:paraId="1113C17F">
      <w:pPr>
        <w:pStyle w:val="17"/>
        <w:pageBreakBefore w:val="0"/>
        <w:numPr>
          <w:ilvl w:val="0"/>
          <w:numId w:val="26"/>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项目的设计和施工必须满足法规和标准。</w:t>
      </w:r>
    </w:p>
    <w:p w14:paraId="37C2B93B">
      <w:pPr>
        <w:pStyle w:val="17"/>
        <w:pageBreakBefore w:val="0"/>
        <w:numPr>
          <w:ilvl w:val="0"/>
          <w:numId w:val="26"/>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项目的设计和施工必须满足</w:t>
      </w:r>
      <w:r>
        <w:rPr>
          <w:rFonts w:hint="eastAsia" w:ascii="宋体" w:hAnsi="宋体" w:cs="宋体"/>
          <w:lang w:eastAsia="zh-CN"/>
        </w:rPr>
        <w:t>招标人</w:t>
      </w:r>
      <w:r>
        <w:rPr>
          <w:rFonts w:hint="eastAsia" w:ascii="宋体" w:hAnsi="宋体" w:eastAsia="宋体" w:cs="宋体"/>
        </w:rPr>
        <w:t>提出的功能要求。</w:t>
      </w:r>
    </w:p>
    <w:p w14:paraId="06D69CE0">
      <w:pPr>
        <w:pStyle w:val="17"/>
        <w:pageBreakBefore w:val="0"/>
        <w:numPr>
          <w:ilvl w:val="0"/>
          <w:numId w:val="26"/>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规定了明确做法的子功能模块，按做法设计、施工。</w:t>
      </w:r>
    </w:p>
    <w:p w14:paraId="45474C12">
      <w:pPr>
        <w:pStyle w:val="17"/>
        <w:pageBreakBefore w:val="0"/>
        <w:numPr>
          <w:ilvl w:val="0"/>
          <w:numId w:val="26"/>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没有规定明确做法的子功能模块，在满足功能要求的前提下，按照法规和行业标准设计、施工。</w:t>
      </w:r>
    </w:p>
    <w:p w14:paraId="0165D1E9">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关联关系</w:t>
      </w:r>
    </w:p>
    <w:p w14:paraId="72823F2C">
      <w:pPr>
        <w:pStyle w:val="17"/>
        <w:pageBreakBefore w:val="0"/>
        <w:numPr>
          <w:ilvl w:val="-1"/>
          <w:numId w:val="0"/>
        </w:numPr>
        <w:kinsoku/>
        <w:wordWrap/>
        <w:topLinePunct w:val="0"/>
        <w:bidi w:val="0"/>
        <w:adjustRightInd w:val="0"/>
        <w:snapToGrid w:val="0"/>
        <w:spacing w:before="0" w:after="0" w:afterAutospacing="0" w:line="360" w:lineRule="auto"/>
        <w:ind w:left="0" w:leftChars="0" w:firstLine="420" w:firstLineChars="0"/>
        <w:rPr>
          <w:rFonts w:hint="eastAsia" w:ascii="宋体" w:hAnsi="宋体" w:eastAsia="宋体" w:cs="宋体"/>
        </w:rPr>
      </w:pPr>
      <w:r>
        <w:rPr>
          <w:rFonts w:hint="eastAsia" w:ascii="宋体" w:hAnsi="宋体" w:eastAsia="宋体" w:cs="宋体"/>
        </w:rPr>
        <w:t>功能必须符合国家法规和行业标准，子功能不能违背功能规定的原则，具体的做法要满足子功能规定的技术要求，最终满足的是功能要求。</w:t>
      </w:r>
    </w:p>
    <w:p w14:paraId="2156B8A1">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偏差控制原则</w:t>
      </w:r>
    </w:p>
    <w:p w14:paraId="48CA02FA">
      <w:pPr>
        <w:pStyle w:val="17"/>
        <w:pageBreakBefore w:val="0"/>
        <w:kinsoku/>
        <w:wordWrap/>
        <w:topLinePunct w:val="0"/>
        <w:bidi w:val="0"/>
        <w:adjustRightInd w:val="0"/>
        <w:snapToGrid w:val="0"/>
        <w:spacing w:before="0" w:after="0" w:afterAutospacing="0" w:line="360" w:lineRule="auto"/>
        <w:ind w:left="0" w:leftChars="0" w:firstLine="420" w:firstLineChars="0"/>
        <w:rPr>
          <w:rFonts w:hint="eastAsia" w:ascii="宋体" w:hAnsi="宋体" w:eastAsia="宋体" w:cs="宋体"/>
        </w:rPr>
      </w:pPr>
      <w:r>
        <w:rPr>
          <w:rFonts w:hint="eastAsia" w:ascii="宋体" w:hAnsi="宋体" w:eastAsia="宋体" w:cs="宋体"/>
        </w:rPr>
        <w:t>法规标准、功能、子功能、做法相互之间冲突和出现偏差漏项，</w:t>
      </w:r>
      <w:r>
        <w:rPr>
          <w:rFonts w:hint="eastAsia" w:ascii="宋体" w:hAnsi="宋体" w:cs="宋体"/>
          <w:lang w:eastAsia="zh-CN"/>
        </w:rPr>
        <w:t>投标人</w:t>
      </w:r>
      <w:r>
        <w:rPr>
          <w:rFonts w:hint="eastAsia" w:ascii="宋体" w:hAnsi="宋体" w:eastAsia="宋体" w:cs="宋体"/>
        </w:rPr>
        <w:t>在设计中自行完善或在施工中自行修正，</w:t>
      </w:r>
      <w:r>
        <w:rPr>
          <w:rFonts w:hint="eastAsia" w:ascii="宋体" w:hAnsi="宋体" w:cs="宋体"/>
          <w:lang w:eastAsia="zh-CN"/>
        </w:rPr>
        <w:t>招标人</w:t>
      </w:r>
      <w:r>
        <w:rPr>
          <w:rFonts w:hint="eastAsia" w:ascii="宋体" w:hAnsi="宋体" w:eastAsia="宋体" w:cs="宋体"/>
        </w:rPr>
        <w:t>不承担由此而产生的费用。</w:t>
      </w:r>
    </w:p>
    <w:p w14:paraId="4912C8D4">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解释说明</w:t>
      </w:r>
    </w:p>
    <w:p w14:paraId="55B009D5">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ab/>
      </w:r>
      <w:r>
        <w:rPr>
          <w:rFonts w:hint="eastAsia" w:ascii="宋体" w:hAnsi="宋体" w:eastAsia="宋体" w:cs="宋体"/>
        </w:rPr>
        <w:t>满足</w:t>
      </w:r>
      <w:r>
        <w:rPr>
          <w:rFonts w:hint="eastAsia" w:ascii="宋体" w:hAnsi="宋体" w:cs="宋体"/>
          <w:lang w:eastAsia="zh-CN"/>
        </w:rPr>
        <w:t>招标人</w:t>
      </w:r>
      <w:r>
        <w:rPr>
          <w:rFonts w:hint="eastAsia" w:ascii="宋体" w:hAnsi="宋体" w:eastAsia="宋体" w:cs="宋体"/>
        </w:rPr>
        <w:t>功能：满足</w:t>
      </w:r>
      <w:r>
        <w:rPr>
          <w:rFonts w:hint="eastAsia" w:ascii="宋体" w:hAnsi="宋体" w:cs="宋体"/>
          <w:lang w:eastAsia="zh-CN"/>
        </w:rPr>
        <w:t>招标人</w:t>
      </w:r>
      <w:r>
        <w:rPr>
          <w:rFonts w:hint="eastAsia" w:ascii="宋体" w:hAnsi="宋体" w:eastAsia="宋体" w:cs="宋体"/>
        </w:rPr>
        <w:t>功能要求是设计、施工唯一依据，出现冲突、偏差和漏项时，最终的解释标准是满足</w:t>
      </w:r>
      <w:r>
        <w:rPr>
          <w:rFonts w:hint="eastAsia" w:ascii="宋体" w:hAnsi="宋体" w:cs="宋体"/>
          <w:lang w:eastAsia="zh-CN"/>
        </w:rPr>
        <w:t>招标人</w:t>
      </w:r>
      <w:r>
        <w:rPr>
          <w:rFonts w:hint="eastAsia" w:ascii="宋体" w:hAnsi="宋体" w:eastAsia="宋体" w:cs="宋体"/>
        </w:rPr>
        <w:t>的功能要求。</w:t>
      </w:r>
    </w:p>
    <w:p w14:paraId="4FAF482F">
      <w:pPr>
        <w:pStyle w:val="17"/>
        <w:keepNext w:val="0"/>
        <w:keepLines w:val="0"/>
        <w:pageBreakBefore w:val="0"/>
        <w:widowControl w:val="0"/>
        <w:numPr>
          <w:ilvl w:val="0"/>
          <w:numId w:val="24"/>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图纸、工程量清单：图纸、工程量清单等合同附件只能作为</w:t>
      </w:r>
      <w:r>
        <w:rPr>
          <w:rFonts w:hint="eastAsia" w:ascii="宋体" w:hAnsi="宋体" w:eastAsia="宋体" w:cs="宋体"/>
          <w:lang w:eastAsia="zh-CN"/>
        </w:rPr>
        <w:t>投标人</w:t>
      </w:r>
      <w:r>
        <w:rPr>
          <w:rFonts w:hint="eastAsia" w:ascii="宋体" w:hAnsi="宋体" w:eastAsia="宋体" w:cs="宋体"/>
        </w:rPr>
        <w:t>报价的参考，按图纸和工程量清单施工不能满足</w:t>
      </w:r>
      <w:r>
        <w:rPr>
          <w:rFonts w:hint="eastAsia" w:ascii="宋体" w:hAnsi="宋体" w:eastAsia="宋体" w:cs="宋体"/>
          <w:lang w:eastAsia="zh-CN"/>
        </w:rPr>
        <w:t>招标人</w:t>
      </w:r>
      <w:r>
        <w:rPr>
          <w:rFonts w:hint="eastAsia" w:ascii="宋体" w:hAnsi="宋体" w:eastAsia="宋体" w:cs="宋体"/>
        </w:rPr>
        <w:t>功能要求时按偏差控制原则处理。</w:t>
      </w:r>
    </w:p>
    <w:p w14:paraId="6D883840">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图纸会签：</w:t>
      </w:r>
      <w:r>
        <w:rPr>
          <w:rFonts w:hint="eastAsia" w:ascii="宋体" w:hAnsi="宋体" w:cs="宋体"/>
          <w:lang w:eastAsia="zh-CN"/>
        </w:rPr>
        <w:t>招标人</w:t>
      </w:r>
      <w:r>
        <w:rPr>
          <w:rFonts w:hint="eastAsia" w:ascii="宋体" w:hAnsi="宋体" w:eastAsia="宋体" w:cs="宋体"/>
        </w:rPr>
        <w:t>只对图纸是否满足功能要求进行会签，不对存在的冲突、漏项和偏差承担责任，在实际施工中出现冲突、漏项和偏差时，</w:t>
      </w:r>
      <w:r>
        <w:rPr>
          <w:rFonts w:hint="eastAsia" w:ascii="宋体" w:hAnsi="宋体" w:cs="宋体"/>
          <w:lang w:eastAsia="zh-CN"/>
        </w:rPr>
        <w:t>招标人</w:t>
      </w:r>
      <w:r>
        <w:rPr>
          <w:rFonts w:hint="eastAsia" w:ascii="宋体" w:hAnsi="宋体" w:eastAsia="宋体" w:cs="宋体"/>
        </w:rPr>
        <w:t>会签的图纸不能作为费用变更的依据。</w:t>
      </w:r>
    </w:p>
    <w:p w14:paraId="4E6B0190">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本文件作为此工程发标的第一技术文件，其他文件如配置表、设备明细等为附属文件；遗缺补漏的子项目，均首先符合本文件中的基本要求和基本设施配置。</w:t>
      </w:r>
    </w:p>
    <w:p w14:paraId="064DBF05">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所有附属文件与本技术文件相矛盾、相抵触时，以本技术文件为准和以第一技术文件的补充部分为准。</w:t>
      </w:r>
    </w:p>
    <w:p w14:paraId="47BAAA80">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项目目标：能生产指定车身品种，指定的</w:t>
      </w:r>
      <w:r>
        <w:rPr>
          <w:rFonts w:hint="eastAsia" w:ascii="宋体" w:hAnsi="宋体" w:cs="宋体"/>
          <w:lang w:eastAsia="zh-CN"/>
        </w:rPr>
        <w:t>车间</w:t>
      </w:r>
      <w:r>
        <w:rPr>
          <w:rFonts w:hint="eastAsia" w:ascii="宋体" w:hAnsi="宋体" w:eastAsia="宋体" w:cs="宋体"/>
        </w:rPr>
        <w:t>质量，满足制定的年生产纲领，辅助功能设施配套齐全。</w:t>
      </w:r>
    </w:p>
    <w:p w14:paraId="540724AD">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功能要求：满足前面所规定的生产纲领、车型、工艺质量要求；</w:t>
      </w:r>
    </w:p>
    <w:p w14:paraId="3014DF53">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物流方式：车间物流线路规划合理，避免物流交叉，规划产品、器具的存储、周转，保证工位（工序）间匹配。</w:t>
      </w:r>
    </w:p>
    <w:p w14:paraId="13588A72">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质量管理：考虑与质量控制相关的措施、设备设施，如：取样点，分析仪器，化验室、Audit（评价室）室及相关设备设施等，便于质量评审。检测仪器、仪表设备按照</w:t>
      </w:r>
      <w:r>
        <w:rPr>
          <w:rFonts w:hint="eastAsia" w:ascii="宋体" w:hAnsi="宋体" w:cs="宋体"/>
          <w:lang w:eastAsia="zh-CN"/>
        </w:rPr>
        <w:t>招标人</w:t>
      </w:r>
      <w:r>
        <w:rPr>
          <w:rFonts w:hint="eastAsia" w:ascii="宋体" w:hAnsi="宋体" w:eastAsia="宋体" w:cs="宋体"/>
        </w:rPr>
        <w:t>提供清单采购，总价包含在投资范围内。</w:t>
      </w:r>
    </w:p>
    <w:p w14:paraId="69A63866">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强制项目：设计、施工中安全环保、消防、职业卫生等配套达标，分别通过国家监管部门和第三方的监测。仪器仪表类需地级市计量单位标定认可。</w:t>
      </w:r>
    </w:p>
    <w:p w14:paraId="39560317">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设备保全：设备容易操作，工作空间应适于人员停留工作，考虑现场设备维修空间、维修用辅助设备设施、维修阵地、维修工具等，以方便设备保全。</w:t>
      </w:r>
    </w:p>
    <w:p w14:paraId="3D5807F2">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功能阵地：考虑班组园地、车间办公场所及相关设备设施的建设。</w:t>
      </w:r>
    </w:p>
    <w:p w14:paraId="30C76CF7">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配套设施：根据工艺需要，设计相应给排水、压缩空气、热水、通风、空调、电力、照明、排污、固废转运等配套项目。</w:t>
      </w:r>
    </w:p>
    <w:p w14:paraId="7E29A911">
      <w:pPr>
        <w:pStyle w:val="17"/>
        <w:pageBreakBefore w:val="0"/>
        <w:numPr>
          <w:ilvl w:val="0"/>
          <w:numId w:val="24"/>
        </w:numPr>
        <w:tabs>
          <w:tab w:val="left" w:pos="0"/>
        </w:tabs>
        <w:kinsoku/>
        <w:wordWrap/>
        <w:topLinePunct w:val="0"/>
        <w:bidi w:val="0"/>
        <w:adjustRightInd w:val="0"/>
        <w:snapToGrid w:val="0"/>
        <w:spacing w:before="0" w:after="0" w:afterAutospacing="0" w:line="360" w:lineRule="auto"/>
        <w:ind w:left="420" w:leftChars="0" w:hanging="420" w:firstLineChars="0"/>
        <w:rPr>
          <w:rFonts w:hint="eastAsia" w:ascii="宋体" w:hAnsi="宋体" w:eastAsia="宋体" w:cs="宋体"/>
        </w:rPr>
      </w:pPr>
      <w:r>
        <w:rPr>
          <w:rFonts w:hint="eastAsia" w:ascii="宋体" w:hAnsi="宋体" w:eastAsia="宋体" w:cs="宋体"/>
        </w:rPr>
        <w:t>其他总体原则：</w:t>
      </w:r>
      <w:bookmarkEnd w:id="42"/>
    </w:p>
    <w:p w14:paraId="0BC88BC5">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车间项目设计过程中以</w:t>
      </w:r>
      <w:r>
        <w:rPr>
          <w:rFonts w:hint="eastAsia" w:ascii="宋体" w:hAnsi="宋体" w:cs="宋体"/>
          <w:lang w:eastAsia="zh-CN"/>
        </w:rPr>
        <w:t>招标人</w:t>
      </w:r>
      <w:r>
        <w:rPr>
          <w:rFonts w:hint="eastAsia" w:ascii="宋体" w:hAnsi="宋体" w:eastAsia="宋体" w:cs="宋体"/>
        </w:rPr>
        <w:t>提供的工艺平面图、工艺流程表及相关技术要求为基准，需对国内、国外汽车领域内的工厂进行横向、纵向对比，做到各方面成本最优，以满足投资最优化，效率最大化为设计原则。</w:t>
      </w:r>
    </w:p>
    <w:p w14:paraId="5CED5587">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本工厂要求参照国家相关绿色工厂的要求进行设计。</w:t>
      </w:r>
    </w:p>
    <w:p w14:paraId="026F6647">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为了确保该项目的平稳运行，</w:t>
      </w:r>
      <w:r>
        <w:rPr>
          <w:rFonts w:hint="eastAsia" w:ascii="宋体" w:hAnsi="宋体" w:eastAsia="宋体" w:cs="宋体"/>
          <w:lang w:eastAsia="zh-CN"/>
        </w:rPr>
        <w:t>投标人</w:t>
      </w:r>
      <w:r>
        <w:rPr>
          <w:rFonts w:hint="eastAsia" w:ascii="宋体" w:hAnsi="宋体" w:eastAsia="宋体" w:cs="宋体"/>
        </w:rPr>
        <w:t>需在勘探、设计、制造、运输、安装、调试、验收等每一个环节，遵守国家及地方相关的法律法规，并将以上相关的法律法规收集成册，放在技术文件的开头部分，作为技术文件内容的一部分。</w:t>
      </w:r>
    </w:p>
    <w:p w14:paraId="3AB5FB99">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负责设计的所有设备的流程图、原理图、总图、断面图、零部件的安装制造图、各设备参数的设计、材料汇总表、外购件汇总表（外购件品牌根据</w:t>
      </w:r>
      <w:r>
        <w:rPr>
          <w:rFonts w:hint="eastAsia" w:ascii="宋体" w:hAnsi="宋体" w:eastAsia="宋体" w:cs="宋体"/>
          <w:lang w:eastAsia="zh-CN"/>
        </w:rPr>
        <w:t>招标人</w:t>
      </w:r>
      <w:r>
        <w:rPr>
          <w:rFonts w:hint="eastAsia" w:ascii="宋体" w:hAnsi="宋体" w:eastAsia="宋体" w:cs="宋体"/>
        </w:rPr>
        <w:t>要求执行）、标准件汇总表、各主要工序核算依据等施工图纸资料均应提供给</w:t>
      </w:r>
      <w:r>
        <w:rPr>
          <w:rFonts w:hint="eastAsia" w:ascii="宋体" w:hAnsi="宋体" w:eastAsia="宋体" w:cs="宋体"/>
          <w:lang w:eastAsia="zh-CN"/>
        </w:rPr>
        <w:t>招标人</w:t>
      </w:r>
      <w:r>
        <w:rPr>
          <w:rFonts w:hint="eastAsia" w:ascii="宋体" w:hAnsi="宋体" w:eastAsia="宋体" w:cs="宋体"/>
        </w:rPr>
        <w:t>（含电子版和书面版）。</w:t>
      </w:r>
    </w:p>
    <w:p w14:paraId="6FCF259E">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非标设备连接部位采用螺栓连接，尽量减少现场的焊接工作。</w:t>
      </w:r>
    </w:p>
    <w:p w14:paraId="6B0D7C6B">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采用模块化设计，后期制作模块化，便于制作和后期安装。</w:t>
      </w:r>
    </w:p>
    <w:p w14:paraId="24B92E0B">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对于本技术文件中提到的外购件品牌和质量要求，在设计图纸中应体现该方面要求。</w:t>
      </w:r>
    </w:p>
    <w:p w14:paraId="2485D7EC">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对于本技术文件中提到的设备功能，</w:t>
      </w:r>
      <w:r>
        <w:rPr>
          <w:rFonts w:hint="eastAsia" w:ascii="宋体" w:hAnsi="宋体" w:eastAsia="宋体" w:cs="宋体"/>
          <w:lang w:eastAsia="zh-CN"/>
        </w:rPr>
        <w:t>投标人</w:t>
      </w:r>
      <w:r>
        <w:rPr>
          <w:rFonts w:hint="eastAsia" w:ascii="宋体" w:hAnsi="宋体" w:eastAsia="宋体" w:cs="宋体"/>
        </w:rPr>
        <w:t>设计时应符合</w:t>
      </w:r>
      <w:r>
        <w:rPr>
          <w:rFonts w:hint="eastAsia" w:ascii="宋体" w:hAnsi="宋体" w:eastAsia="宋体" w:cs="宋体"/>
          <w:lang w:eastAsia="zh-CN"/>
        </w:rPr>
        <w:t>招标人</w:t>
      </w:r>
      <w:r>
        <w:rPr>
          <w:rFonts w:hint="eastAsia" w:ascii="宋体" w:hAnsi="宋体" w:eastAsia="宋体" w:cs="宋体"/>
        </w:rPr>
        <w:t>要求。对疑难或争议部分，双方协商解决，在</w:t>
      </w:r>
      <w:r>
        <w:rPr>
          <w:rFonts w:hint="eastAsia" w:ascii="宋体" w:hAnsi="宋体" w:eastAsia="宋体" w:cs="宋体"/>
          <w:lang w:eastAsia="zh-CN"/>
        </w:rPr>
        <w:t>招标人</w:t>
      </w:r>
      <w:r>
        <w:rPr>
          <w:rFonts w:hint="eastAsia" w:ascii="宋体" w:hAnsi="宋体" w:eastAsia="宋体" w:cs="宋体"/>
        </w:rPr>
        <w:t>同意的情况下，最终由</w:t>
      </w:r>
      <w:r>
        <w:rPr>
          <w:rFonts w:hint="eastAsia" w:ascii="宋体" w:hAnsi="宋体" w:eastAsia="宋体" w:cs="宋体"/>
          <w:lang w:eastAsia="zh-CN"/>
        </w:rPr>
        <w:t>投标人</w:t>
      </w:r>
      <w:r>
        <w:rPr>
          <w:rFonts w:hint="eastAsia" w:ascii="宋体" w:hAnsi="宋体" w:eastAsia="宋体" w:cs="宋体"/>
        </w:rPr>
        <w:t>负责设计更改。</w:t>
      </w:r>
    </w:p>
    <w:p w14:paraId="7CBD2834">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应根据目前国内外发展现状，向</w:t>
      </w:r>
      <w:r>
        <w:rPr>
          <w:rFonts w:hint="eastAsia" w:ascii="宋体" w:hAnsi="宋体" w:eastAsia="宋体" w:cs="宋体"/>
          <w:lang w:eastAsia="zh-CN"/>
        </w:rPr>
        <w:t>招标人</w:t>
      </w:r>
      <w:r>
        <w:rPr>
          <w:rFonts w:hint="eastAsia" w:ascii="宋体" w:hAnsi="宋体" w:eastAsia="宋体" w:cs="宋体"/>
        </w:rPr>
        <w:t>提供先进、合理的工艺和设备功能，满足</w:t>
      </w:r>
      <w:r>
        <w:rPr>
          <w:rFonts w:hint="eastAsia" w:ascii="宋体" w:hAnsi="宋体" w:eastAsia="宋体" w:cs="宋体"/>
          <w:lang w:eastAsia="zh-CN"/>
        </w:rPr>
        <w:t>招标人</w:t>
      </w:r>
      <w:r>
        <w:rPr>
          <w:rFonts w:hint="eastAsia" w:ascii="宋体" w:hAnsi="宋体" w:eastAsia="宋体" w:cs="宋体"/>
        </w:rPr>
        <w:t>的要求。</w:t>
      </w:r>
    </w:p>
    <w:p w14:paraId="3312FE92">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对文件中不妥之处，</w:t>
      </w:r>
      <w:r>
        <w:rPr>
          <w:rFonts w:hint="eastAsia" w:ascii="宋体" w:hAnsi="宋体" w:eastAsia="宋体" w:cs="宋体"/>
          <w:lang w:eastAsia="zh-CN"/>
        </w:rPr>
        <w:t>投标人</w:t>
      </w:r>
      <w:r>
        <w:rPr>
          <w:rFonts w:hint="eastAsia" w:ascii="宋体" w:hAnsi="宋体" w:eastAsia="宋体" w:cs="宋体"/>
        </w:rPr>
        <w:t>消化后在征得</w:t>
      </w:r>
      <w:r>
        <w:rPr>
          <w:rFonts w:hint="eastAsia" w:ascii="宋体" w:hAnsi="宋体" w:eastAsia="宋体" w:cs="宋体"/>
          <w:lang w:eastAsia="zh-CN"/>
        </w:rPr>
        <w:t>招标人</w:t>
      </w:r>
      <w:r>
        <w:rPr>
          <w:rFonts w:hint="eastAsia" w:ascii="宋体" w:hAnsi="宋体" w:eastAsia="宋体" w:cs="宋体"/>
        </w:rPr>
        <w:t>允许的情况下，负责设计更改。</w:t>
      </w:r>
    </w:p>
    <w:p w14:paraId="096B5028">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图纸设计中应充分体现</w:t>
      </w:r>
      <w:r>
        <w:rPr>
          <w:rFonts w:hint="eastAsia" w:ascii="宋体" w:hAnsi="宋体" w:eastAsia="宋体" w:cs="宋体"/>
          <w:lang w:eastAsia="zh-CN"/>
        </w:rPr>
        <w:t>招标人</w:t>
      </w:r>
      <w:r>
        <w:rPr>
          <w:rFonts w:hint="eastAsia" w:ascii="宋体" w:hAnsi="宋体" w:eastAsia="宋体" w:cs="宋体"/>
        </w:rPr>
        <w:t>对该项目的要求，便于</w:t>
      </w:r>
      <w:r>
        <w:rPr>
          <w:rFonts w:hint="eastAsia" w:ascii="宋体" w:hAnsi="宋体" w:eastAsia="宋体" w:cs="宋体"/>
          <w:lang w:eastAsia="zh-CN"/>
        </w:rPr>
        <w:t>投标人</w:t>
      </w:r>
      <w:r>
        <w:rPr>
          <w:rFonts w:hint="eastAsia" w:ascii="宋体" w:hAnsi="宋体" w:eastAsia="宋体" w:cs="宋体"/>
        </w:rPr>
        <w:t>外购设备招标。</w:t>
      </w:r>
    </w:p>
    <w:p w14:paraId="6ADC16F5">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对于相关专业的设计输入和资料互提，如厂房特构、土建公用，</w:t>
      </w:r>
      <w:r>
        <w:rPr>
          <w:rFonts w:hint="eastAsia" w:ascii="宋体" w:hAnsi="宋体" w:eastAsia="宋体" w:cs="宋体"/>
          <w:lang w:eastAsia="zh-CN"/>
        </w:rPr>
        <w:t>投标人</w:t>
      </w:r>
      <w:r>
        <w:rPr>
          <w:rFonts w:hint="eastAsia" w:ascii="宋体" w:hAnsi="宋体" w:eastAsia="宋体" w:cs="宋体"/>
        </w:rPr>
        <w:t>负责资料提出。</w:t>
      </w:r>
    </w:p>
    <w:p w14:paraId="4F32626B">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核算提供所有设备的五气动能用量明细表和汇总表，及安装容量和相关参数；</w:t>
      </w:r>
    </w:p>
    <w:p w14:paraId="27B5B68F">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设计必须以</w:t>
      </w:r>
      <w:r>
        <w:rPr>
          <w:rFonts w:hint="eastAsia" w:ascii="宋体" w:hAnsi="宋体" w:eastAsia="宋体" w:cs="宋体"/>
          <w:lang w:eastAsia="zh-CN"/>
        </w:rPr>
        <w:t>招标人</w:t>
      </w:r>
      <w:r>
        <w:rPr>
          <w:rFonts w:hint="eastAsia" w:ascii="宋体" w:hAnsi="宋体" w:eastAsia="宋体" w:cs="宋体"/>
        </w:rPr>
        <w:t>提供或双方会签的技术要求及工艺平面图为基准，</w:t>
      </w:r>
      <w:r>
        <w:rPr>
          <w:rFonts w:hint="eastAsia" w:ascii="宋体" w:hAnsi="宋体" w:eastAsia="宋体" w:cs="宋体"/>
          <w:lang w:eastAsia="zh-CN"/>
        </w:rPr>
        <w:t>投标人</w:t>
      </w:r>
      <w:r>
        <w:rPr>
          <w:rFonts w:hint="eastAsia" w:ascii="宋体" w:hAnsi="宋体" w:eastAsia="宋体" w:cs="宋体"/>
        </w:rPr>
        <w:t>提出更改需征得</w:t>
      </w:r>
      <w:r>
        <w:rPr>
          <w:rFonts w:hint="eastAsia" w:ascii="宋体" w:hAnsi="宋体" w:eastAsia="宋体" w:cs="宋体"/>
          <w:lang w:eastAsia="zh-CN"/>
        </w:rPr>
        <w:t>招标人</w:t>
      </w:r>
      <w:r>
        <w:rPr>
          <w:rFonts w:hint="eastAsia" w:ascii="宋体" w:hAnsi="宋体" w:eastAsia="宋体" w:cs="宋体"/>
        </w:rPr>
        <w:t>代表同意并以书面形式确认。若</w:t>
      </w:r>
      <w:r>
        <w:rPr>
          <w:rFonts w:hint="eastAsia" w:ascii="宋体" w:hAnsi="宋体" w:eastAsia="宋体" w:cs="宋体"/>
          <w:lang w:eastAsia="zh-CN"/>
        </w:rPr>
        <w:t>投标人</w:t>
      </w:r>
      <w:r>
        <w:rPr>
          <w:rFonts w:hint="eastAsia" w:ascii="宋体" w:hAnsi="宋体" w:eastAsia="宋体" w:cs="宋体"/>
        </w:rPr>
        <w:t>持有比</w:t>
      </w:r>
      <w:r>
        <w:rPr>
          <w:rFonts w:hint="eastAsia" w:ascii="宋体" w:hAnsi="宋体" w:eastAsia="宋体" w:cs="宋体"/>
          <w:lang w:eastAsia="zh-CN"/>
        </w:rPr>
        <w:t>招标人</w:t>
      </w:r>
      <w:r>
        <w:rPr>
          <w:rFonts w:hint="eastAsia" w:ascii="宋体" w:hAnsi="宋体" w:eastAsia="宋体" w:cs="宋体"/>
        </w:rPr>
        <w:t>更好的技术，应及时通知</w:t>
      </w:r>
      <w:r>
        <w:rPr>
          <w:rFonts w:hint="eastAsia" w:ascii="宋体" w:hAnsi="宋体" w:eastAsia="宋体" w:cs="宋体"/>
          <w:lang w:eastAsia="zh-CN"/>
        </w:rPr>
        <w:t>招标人</w:t>
      </w:r>
      <w:r>
        <w:rPr>
          <w:rFonts w:hint="eastAsia" w:ascii="宋体" w:hAnsi="宋体" w:eastAsia="宋体" w:cs="宋体"/>
        </w:rPr>
        <w:t>，双方协商后采用并备案。</w:t>
      </w:r>
    </w:p>
    <w:p w14:paraId="13A4EEA2">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在设计过程中</w:t>
      </w:r>
      <w:r>
        <w:rPr>
          <w:rFonts w:hint="eastAsia" w:ascii="宋体" w:hAnsi="宋体" w:eastAsia="宋体" w:cs="宋体"/>
          <w:lang w:eastAsia="zh-CN"/>
        </w:rPr>
        <w:t>招标人</w:t>
      </w:r>
      <w:r>
        <w:rPr>
          <w:rFonts w:hint="eastAsia" w:ascii="宋体" w:hAnsi="宋体" w:eastAsia="宋体" w:cs="宋体"/>
        </w:rPr>
        <w:t>提出必要更改（如无重大变更），</w:t>
      </w:r>
      <w:r>
        <w:rPr>
          <w:rFonts w:hint="eastAsia" w:ascii="宋体" w:hAnsi="宋体" w:eastAsia="宋体" w:cs="宋体"/>
          <w:lang w:eastAsia="zh-CN"/>
        </w:rPr>
        <w:t>投标人</w:t>
      </w:r>
      <w:r>
        <w:rPr>
          <w:rFonts w:hint="eastAsia" w:ascii="宋体" w:hAnsi="宋体" w:eastAsia="宋体" w:cs="宋体"/>
        </w:rPr>
        <w:t>应无条件按</w:t>
      </w:r>
      <w:r>
        <w:rPr>
          <w:rFonts w:hint="eastAsia" w:ascii="宋体" w:hAnsi="宋体" w:eastAsia="宋体" w:cs="宋体"/>
          <w:lang w:eastAsia="zh-CN"/>
        </w:rPr>
        <w:t>招标人</w:t>
      </w:r>
      <w:r>
        <w:rPr>
          <w:rFonts w:hint="eastAsia" w:ascii="宋体" w:hAnsi="宋体" w:eastAsia="宋体" w:cs="宋体"/>
        </w:rPr>
        <w:t>要求执行，更改通知单需由双方技术代表签字方为有效，发生费用</w:t>
      </w:r>
      <w:r>
        <w:rPr>
          <w:rFonts w:hint="eastAsia" w:ascii="宋体" w:hAnsi="宋体" w:eastAsia="宋体" w:cs="宋体"/>
          <w:lang w:eastAsia="zh-CN"/>
        </w:rPr>
        <w:t>招标人</w:t>
      </w:r>
      <w:r>
        <w:rPr>
          <w:rFonts w:hint="eastAsia" w:ascii="宋体" w:hAnsi="宋体" w:eastAsia="宋体" w:cs="宋体"/>
        </w:rPr>
        <w:t>不再另付费用。</w:t>
      </w:r>
    </w:p>
    <w:p w14:paraId="131AB88A">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设计的所有图纸需</w:t>
      </w:r>
      <w:r>
        <w:rPr>
          <w:rFonts w:hint="eastAsia" w:ascii="宋体" w:hAnsi="宋体" w:eastAsia="宋体" w:cs="宋体"/>
          <w:lang w:eastAsia="zh-CN"/>
        </w:rPr>
        <w:t>招标人</w:t>
      </w:r>
      <w:r>
        <w:rPr>
          <w:rFonts w:hint="eastAsia" w:ascii="宋体" w:hAnsi="宋体" w:eastAsia="宋体" w:cs="宋体"/>
        </w:rPr>
        <w:t>会签。</w:t>
      </w:r>
    </w:p>
    <w:p w14:paraId="096CC7C8">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招标人</w:t>
      </w:r>
      <w:r>
        <w:rPr>
          <w:rFonts w:hint="eastAsia" w:ascii="宋体" w:hAnsi="宋体" w:eastAsia="宋体" w:cs="宋体"/>
        </w:rPr>
        <w:t>平面图的明显缺陷，</w:t>
      </w:r>
      <w:r>
        <w:rPr>
          <w:rFonts w:hint="eastAsia" w:ascii="宋体" w:hAnsi="宋体" w:eastAsia="宋体" w:cs="宋体"/>
          <w:lang w:eastAsia="zh-CN"/>
        </w:rPr>
        <w:t>投标人</w:t>
      </w:r>
      <w:r>
        <w:rPr>
          <w:rFonts w:hint="eastAsia" w:ascii="宋体" w:hAnsi="宋体" w:eastAsia="宋体" w:cs="宋体"/>
        </w:rPr>
        <w:t>必须及时通过邮件或传真等形式通知</w:t>
      </w:r>
      <w:r>
        <w:rPr>
          <w:rFonts w:hint="eastAsia" w:ascii="宋体" w:hAnsi="宋体" w:eastAsia="宋体" w:cs="宋体"/>
          <w:lang w:eastAsia="zh-CN"/>
        </w:rPr>
        <w:t>招标人</w:t>
      </w:r>
      <w:r>
        <w:rPr>
          <w:rFonts w:hint="eastAsia" w:ascii="宋体" w:hAnsi="宋体" w:eastAsia="宋体" w:cs="宋体"/>
        </w:rPr>
        <w:t>。若因</w:t>
      </w:r>
      <w:r>
        <w:rPr>
          <w:rFonts w:hint="eastAsia" w:ascii="宋体" w:hAnsi="宋体" w:eastAsia="宋体" w:cs="宋体"/>
          <w:lang w:eastAsia="zh-CN"/>
        </w:rPr>
        <w:t>投标人</w:t>
      </w:r>
      <w:r>
        <w:rPr>
          <w:rFonts w:hint="eastAsia" w:ascii="宋体" w:hAnsi="宋体" w:eastAsia="宋体" w:cs="宋体"/>
        </w:rPr>
        <w:t>未能及时通知</w:t>
      </w:r>
      <w:r>
        <w:rPr>
          <w:rFonts w:hint="eastAsia" w:ascii="宋体" w:hAnsi="宋体" w:eastAsia="宋体" w:cs="宋体"/>
          <w:lang w:eastAsia="zh-CN"/>
        </w:rPr>
        <w:t>招标人</w:t>
      </w:r>
      <w:r>
        <w:rPr>
          <w:rFonts w:hint="eastAsia" w:ascii="宋体" w:hAnsi="宋体" w:eastAsia="宋体" w:cs="宋体"/>
        </w:rPr>
        <w:t>造成损失，</w:t>
      </w:r>
      <w:r>
        <w:rPr>
          <w:rFonts w:hint="eastAsia" w:ascii="宋体" w:hAnsi="宋体" w:eastAsia="宋体" w:cs="宋体"/>
          <w:lang w:eastAsia="zh-CN"/>
        </w:rPr>
        <w:t>投标人</w:t>
      </w:r>
      <w:r>
        <w:rPr>
          <w:rFonts w:hint="eastAsia" w:ascii="宋体" w:hAnsi="宋体" w:eastAsia="宋体" w:cs="宋体"/>
        </w:rPr>
        <w:t>应承担相应责任。</w:t>
      </w:r>
    </w:p>
    <w:p w14:paraId="5C135142">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lang w:eastAsia="zh-CN"/>
        </w:rPr>
        <w:t>投标人</w:t>
      </w:r>
      <w:r>
        <w:rPr>
          <w:rFonts w:hint="eastAsia" w:ascii="宋体" w:hAnsi="宋体" w:eastAsia="宋体" w:cs="宋体"/>
        </w:rPr>
        <w:t>应遵照</w:t>
      </w:r>
      <w:r>
        <w:rPr>
          <w:rFonts w:hint="eastAsia" w:ascii="宋体" w:hAnsi="宋体" w:eastAsia="宋体" w:cs="宋体"/>
          <w:lang w:eastAsia="zh-CN"/>
        </w:rPr>
        <w:t>招标人</w:t>
      </w:r>
      <w:r>
        <w:rPr>
          <w:rFonts w:hint="eastAsia" w:ascii="宋体" w:hAnsi="宋体" w:eastAsia="宋体" w:cs="宋体"/>
        </w:rPr>
        <w:t>项目总体实施计划的要求，按节点分步出具相关设计资料和施工图纸，并配合施工过程中的设计更改，及时提供更改图纸。</w:t>
      </w:r>
    </w:p>
    <w:p w14:paraId="25883A56">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w:t>
      </w:r>
      <w:r>
        <w:rPr>
          <w:rFonts w:hint="eastAsia" w:ascii="宋体" w:hAnsi="宋体" w:eastAsia="宋体" w:cs="宋体"/>
        </w:rPr>
        <w:t>车间属于大批量、高质量车间，采用全封闭空调净化厂房。为保证喷涂质量，喷漆室区域用墙壁或楼板隔开，车间及喷漆区入口处均设有风淋室。</w:t>
      </w:r>
    </w:p>
    <w:p w14:paraId="5A9364E4">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根据产量和生产节拍的要求，采用连续输送的流水线作业。</w:t>
      </w:r>
    </w:p>
    <w:p w14:paraId="217D37F2">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根据产品的要求，</w:t>
      </w:r>
      <w:r>
        <w:rPr>
          <w:rFonts w:hint="eastAsia" w:ascii="宋体" w:hAnsi="宋体" w:cs="宋体"/>
          <w:lang w:eastAsia="zh-CN"/>
        </w:rPr>
        <w:t>涂装车间</w:t>
      </w:r>
      <w:r>
        <w:rPr>
          <w:rFonts w:hint="eastAsia" w:ascii="宋体" w:hAnsi="宋体" w:eastAsia="宋体" w:cs="宋体"/>
        </w:rPr>
        <w:t>采用薄膜前处理+阴极电泳底漆+B1涂层+B2水性色漆+2K清漆。</w:t>
      </w:r>
    </w:p>
    <w:p w14:paraId="79B787A5">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前处理热源采用热水，冷凝水无需回收。空调一次加热、烘干室热源采用天然气（调漆间空调热源为热水）。</w:t>
      </w:r>
    </w:p>
    <w:p w14:paraId="5400B70D">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前处理工艺要求采用浸喷结合方式，薄膜处理工艺。</w:t>
      </w:r>
    </w:p>
    <w:p w14:paraId="6E386B8B">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阴极电泳底漆按双组份中厚膜阴极电泳漆设计，传统供电方式</w:t>
      </w:r>
    </w:p>
    <w:p w14:paraId="79BE2A00">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油漆喷涂采用外部喷涂均由喷涂机器人喷涂，车厢内采用喷涂机器人喷涂，面漆涂装考虑到金属漆及珠光漆的施工及套色车身的施工，其涂层质量达到公司企业标准及国际标准。</w:t>
      </w:r>
    </w:p>
    <w:p w14:paraId="2A3EB60A">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设备选用可靠、耐用、具有一定的先进性，注重价格性能比。</w:t>
      </w:r>
    </w:p>
    <w:p w14:paraId="17DBF0DD">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前处理电泳采用双轨自行小车输送方式，室体内配置送排风装置。</w:t>
      </w:r>
    </w:p>
    <w:p w14:paraId="4FBDA84C">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涂胶、打磨等工序采用辊床输送，面漆采用双驱动链输送，底板防护胶喷涂工序采用滑橇加摩擦托盘输送方式，注蜡采用辊床输送。</w:t>
      </w:r>
    </w:p>
    <w:p w14:paraId="2BCD9732">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本文件中提到的除室体的平台以外，其它均要求使用模块化方式。</w:t>
      </w:r>
    </w:p>
    <w:p w14:paraId="1064BD08">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涂装车间</w:t>
      </w:r>
      <w:r>
        <w:rPr>
          <w:rFonts w:hint="eastAsia" w:ascii="宋体" w:hAnsi="宋体" w:eastAsia="宋体" w:cs="宋体"/>
        </w:rPr>
        <w:t>烘干炉采用高温辊床加双链系统，电泳烘干炉、水份烘干、面漆和PVC烘干炉采用直通式。</w:t>
      </w:r>
    </w:p>
    <w:p w14:paraId="7AF8D78C">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所有平台，通道均需安装并可以通过斜钢梯进入（具体位置以设计为准），现场严禁使用直梯的方式，斜钢梯的布置应符合安全规范要求。</w:t>
      </w:r>
    </w:p>
    <w:p w14:paraId="5D89BB91">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所有平台底部安装照明，保证照明不低于300LUX，开关并实行分段控制。</w:t>
      </w:r>
    </w:p>
    <w:p w14:paraId="030E57F7">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本项目内所有内容原则上不许另行分包，如分包必须经</w:t>
      </w:r>
      <w:r>
        <w:rPr>
          <w:rFonts w:hint="eastAsia" w:ascii="宋体" w:hAnsi="宋体" w:eastAsia="宋体" w:cs="宋体"/>
          <w:lang w:eastAsia="zh-CN"/>
        </w:rPr>
        <w:t>招标人</w:t>
      </w:r>
      <w:r>
        <w:rPr>
          <w:rFonts w:hint="eastAsia" w:ascii="宋体" w:hAnsi="宋体" w:eastAsia="宋体" w:cs="宋体"/>
        </w:rPr>
        <w:t>资质认证同意后方可实施。</w:t>
      </w:r>
    </w:p>
    <w:p w14:paraId="29BA64B7">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本项目中所有链条、风机皮带、轴承、旋转机械装置要加保护罩，应为全封闭式，不许外露。</w:t>
      </w:r>
    </w:p>
    <w:p w14:paraId="3CEA008A">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本项目所有出屋面排风系统应有防雨、防风及防雷措施。</w:t>
      </w:r>
    </w:p>
    <w:p w14:paraId="70063E12">
      <w:pPr>
        <w:pStyle w:val="17"/>
        <w:keepNext w:val="0"/>
        <w:keepLines w:val="0"/>
        <w:pageBreakBefore w:val="0"/>
        <w:widowControl w:val="0"/>
        <w:numPr>
          <w:ilvl w:val="0"/>
          <w:numId w:val="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车间内所有照明灯具除工艺需求外，其余全部采用LED光源。</w:t>
      </w:r>
    </w:p>
    <w:p w14:paraId="35C02606">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43" w:name="_Toc24846"/>
      <w:bookmarkStart w:id="44" w:name="_Toc7121_WPSOffice_Level1"/>
      <w:bookmarkStart w:id="45" w:name="_Toc10151_WPSOffice_Level1"/>
      <w:bookmarkStart w:id="46" w:name="_Toc26989"/>
      <w:bookmarkStart w:id="47" w:name="_Toc3221_WPSOffice_Level1"/>
      <w:r>
        <w:rPr>
          <w:rFonts w:hint="eastAsia" w:ascii="宋体" w:hAnsi="宋体" w:eastAsia="宋体" w:cs="宋体"/>
          <w:b/>
          <w:bCs/>
        </w:rPr>
        <w:t>技术要求</w:t>
      </w:r>
      <w:bookmarkEnd w:id="43"/>
      <w:bookmarkEnd w:id="44"/>
      <w:bookmarkEnd w:id="45"/>
      <w:bookmarkEnd w:id="46"/>
      <w:bookmarkEnd w:id="47"/>
    </w:p>
    <w:p w14:paraId="009688B8">
      <w:pPr>
        <w:pageBreakBefore w:val="0"/>
        <w:numPr>
          <w:ilvl w:val="0"/>
          <w:numId w:val="29"/>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前处理线及工作区域含（烘干室、喷漆室）技术要求详见《附件一</w:t>
      </w:r>
      <w:r>
        <w:rPr>
          <w:rFonts w:hint="eastAsia" w:ascii="宋体" w:hAnsi="宋体" w:cs="宋体"/>
          <w:sz w:val="24"/>
          <w:szCs w:val="24"/>
          <w:lang w:eastAsia="zh-CN"/>
        </w:rPr>
        <w:t>、涂装</w:t>
      </w:r>
      <w:r>
        <w:rPr>
          <w:rFonts w:hint="eastAsia" w:ascii="宋体" w:hAnsi="宋体" w:eastAsia="宋体" w:cs="宋体"/>
          <w:sz w:val="24"/>
          <w:szCs w:val="24"/>
        </w:rPr>
        <w:t>工作区域技术要求》</w:t>
      </w:r>
    </w:p>
    <w:p w14:paraId="3F7477B2">
      <w:pPr>
        <w:pageBreakBefore w:val="0"/>
        <w:numPr>
          <w:ilvl w:val="0"/>
          <w:numId w:val="29"/>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集中供胶、漆、蜡系统技术要求详见《附件二</w:t>
      </w:r>
      <w:r>
        <w:rPr>
          <w:rFonts w:hint="eastAsia" w:ascii="宋体" w:hAnsi="宋体" w:cs="宋体"/>
          <w:sz w:val="24"/>
          <w:szCs w:val="24"/>
          <w:lang w:eastAsia="zh-CN"/>
        </w:rPr>
        <w:t>、</w:t>
      </w:r>
      <w:r>
        <w:rPr>
          <w:rFonts w:hint="eastAsia" w:ascii="宋体" w:hAnsi="宋体" w:eastAsia="宋体" w:cs="宋体"/>
          <w:sz w:val="24"/>
          <w:szCs w:val="24"/>
        </w:rPr>
        <w:t>集中供胶、漆、蜡系统技术要求》</w:t>
      </w:r>
    </w:p>
    <w:p w14:paraId="4CA78F3C">
      <w:pPr>
        <w:pageBreakBefore w:val="0"/>
        <w:numPr>
          <w:ilvl w:val="0"/>
          <w:numId w:val="29"/>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机器人设备技术要求详见《附件三</w:t>
      </w:r>
      <w:r>
        <w:rPr>
          <w:rFonts w:hint="eastAsia" w:ascii="宋体" w:hAnsi="宋体" w:cs="宋体"/>
          <w:sz w:val="24"/>
          <w:szCs w:val="24"/>
          <w:lang w:eastAsia="zh-CN"/>
        </w:rPr>
        <w:t>、</w:t>
      </w:r>
      <w:r>
        <w:rPr>
          <w:rFonts w:hint="eastAsia" w:ascii="宋体" w:hAnsi="宋体" w:eastAsia="宋体" w:cs="宋体"/>
          <w:sz w:val="24"/>
          <w:szCs w:val="24"/>
        </w:rPr>
        <w:t>涂装车间机器人设备技术要求》</w:t>
      </w:r>
    </w:p>
    <w:p w14:paraId="65C02365">
      <w:pPr>
        <w:pageBreakBefore w:val="0"/>
        <w:numPr>
          <w:ilvl w:val="0"/>
          <w:numId w:val="29"/>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空调系统技术要求详见《附件四</w:t>
      </w:r>
      <w:r>
        <w:rPr>
          <w:rFonts w:hint="eastAsia" w:ascii="宋体" w:hAnsi="宋体" w:cs="宋体"/>
          <w:sz w:val="24"/>
          <w:szCs w:val="24"/>
          <w:lang w:eastAsia="zh-CN"/>
        </w:rPr>
        <w:t>、</w:t>
      </w:r>
      <w:r>
        <w:rPr>
          <w:rFonts w:hint="eastAsia" w:ascii="宋体" w:hAnsi="宋体" w:eastAsia="宋体" w:cs="宋体"/>
          <w:sz w:val="24"/>
          <w:szCs w:val="24"/>
        </w:rPr>
        <w:t>涂装车间空调系统技术要求》</w:t>
      </w:r>
    </w:p>
    <w:p w14:paraId="6924763D">
      <w:pPr>
        <w:pageBreakBefore w:val="0"/>
        <w:numPr>
          <w:ilvl w:val="0"/>
          <w:numId w:val="29"/>
        </w:numPr>
        <w:tabs>
          <w:tab w:val="left" w:pos="565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cs="宋体"/>
          <w:sz w:val="24"/>
          <w:szCs w:val="24"/>
          <w:lang w:val="en-US" w:eastAsia="zh-CN"/>
        </w:rPr>
        <w:t>涂装</w:t>
      </w:r>
      <w:r>
        <w:rPr>
          <w:rFonts w:hint="eastAsia" w:ascii="宋体" w:hAnsi="宋体" w:eastAsia="宋体" w:cs="宋体"/>
          <w:sz w:val="24"/>
          <w:szCs w:val="24"/>
        </w:rPr>
        <w:t>机械化输送系统技术要求详见《附件五</w:t>
      </w:r>
      <w:r>
        <w:rPr>
          <w:rFonts w:hint="eastAsia" w:ascii="宋体" w:hAnsi="宋体" w:cs="宋体"/>
          <w:sz w:val="24"/>
          <w:szCs w:val="24"/>
          <w:lang w:eastAsia="zh-CN"/>
        </w:rPr>
        <w:t>、</w:t>
      </w:r>
      <w:r>
        <w:rPr>
          <w:rFonts w:hint="eastAsia" w:ascii="宋体" w:hAnsi="宋体" w:eastAsia="宋体" w:cs="宋体"/>
          <w:sz w:val="24"/>
          <w:szCs w:val="24"/>
        </w:rPr>
        <w:t>涂装车间机械化输送设备技术要求》</w:t>
      </w:r>
    </w:p>
    <w:p w14:paraId="2EE35EC6">
      <w:pPr>
        <w:pageBreakBefore w:val="0"/>
        <w:numPr>
          <w:ilvl w:val="0"/>
          <w:numId w:val="29"/>
        </w:numPr>
        <w:tabs>
          <w:tab w:val="left" w:pos="565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cs="宋体"/>
          <w:sz w:val="24"/>
          <w:szCs w:val="24"/>
          <w:lang w:val="en-US" w:eastAsia="zh-CN"/>
        </w:rPr>
        <w:t>涂装</w:t>
      </w:r>
      <w:r>
        <w:rPr>
          <w:rFonts w:hint="eastAsia" w:ascii="宋体" w:hAnsi="宋体" w:eastAsia="宋体" w:cs="宋体"/>
          <w:sz w:val="24"/>
          <w:szCs w:val="24"/>
        </w:rPr>
        <w:t>电气设备技术要求详见</w:t>
      </w:r>
      <w:bookmarkStart w:id="48" w:name="OLE_LINK25"/>
      <w:r>
        <w:rPr>
          <w:rFonts w:hint="eastAsia" w:ascii="宋体" w:hAnsi="宋体" w:eastAsia="宋体" w:cs="宋体"/>
          <w:sz w:val="24"/>
          <w:szCs w:val="24"/>
        </w:rPr>
        <w:t>《</w:t>
      </w:r>
      <w:bookmarkStart w:id="49" w:name="OLE_LINK24"/>
      <w:r>
        <w:rPr>
          <w:rFonts w:hint="eastAsia" w:ascii="宋体" w:hAnsi="宋体" w:eastAsia="宋体" w:cs="宋体"/>
          <w:sz w:val="24"/>
          <w:szCs w:val="24"/>
        </w:rPr>
        <w:t>附件六</w:t>
      </w:r>
      <w:bookmarkStart w:id="50" w:name="OLE_LINK41"/>
      <w:r>
        <w:rPr>
          <w:rFonts w:hint="eastAsia" w:ascii="宋体" w:hAnsi="宋体" w:cs="宋体"/>
          <w:sz w:val="24"/>
          <w:szCs w:val="24"/>
          <w:lang w:eastAsia="zh-CN"/>
        </w:rPr>
        <w:t>、</w:t>
      </w:r>
      <w:r>
        <w:rPr>
          <w:rFonts w:hint="eastAsia" w:ascii="宋体" w:hAnsi="宋体" w:eastAsia="宋体" w:cs="宋体"/>
          <w:sz w:val="24"/>
          <w:szCs w:val="24"/>
        </w:rPr>
        <w:t>涂装车间电气设备技术要求</w:t>
      </w:r>
      <w:bookmarkEnd w:id="50"/>
      <w:r>
        <w:rPr>
          <w:rFonts w:hint="eastAsia" w:ascii="宋体" w:hAnsi="宋体" w:eastAsia="宋体" w:cs="宋体"/>
          <w:sz w:val="24"/>
          <w:szCs w:val="24"/>
        </w:rPr>
        <w:t>》</w:t>
      </w:r>
      <w:bookmarkEnd w:id="48"/>
    </w:p>
    <w:bookmarkEnd w:id="49"/>
    <w:p w14:paraId="526FF24A">
      <w:pPr>
        <w:pageBreakBefore w:val="0"/>
        <w:numPr>
          <w:ilvl w:val="0"/>
          <w:numId w:val="29"/>
        </w:numPr>
        <w:tabs>
          <w:tab w:val="left" w:pos="565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bookmarkStart w:id="51" w:name="OLE_LINK26"/>
      <w:r>
        <w:rPr>
          <w:rFonts w:hint="eastAsia"/>
          <w:sz w:val="24"/>
          <w:szCs w:val="24"/>
          <w:lang w:eastAsia="zh-CN"/>
        </w:rPr>
        <w:t>总装</w:t>
      </w:r>
      <w:r>
        <w:rPr>
          <w:rFonts w:hint="eastAsia"/>
          <w:sz w:val="24"/>
          <w:szCs w:val="24"/>
          <w:lang w:val="en-US" w:eastAsia="zh-CN"/>
        </w:rPr>
        <w:t>车间</w:t>
      </w:r>
      <w:r>
        <w:rPr>
          <w:sz w:val="24"/>
          <w:szCs w:val="24"/>
        </w:rPr>
        <w:t>通用设备要求</w:t>
      </w:r>
      <w:bookmarkEnd w:id="51"/>
      <w:bookmarkStart w:id="52" w:name="OLE_LINK27"/>
      <w:r>
        <w:rPr>
          <w:rFonts w:hint="eastAsia"/>
          <w:sz w:val="24"/>
          <w:szCs w:val="24"/>
          <w:lang w:val="en-US" w:eastAsia="zh-CN"/>
        </w:rPr>
        <w:t>详见</w:t>
      </w:r>
      <w:r>
        <w:rPr>
          <w:rFonts w:hint="eastAsia" w:ascii="宋体" w:hAnsi="宋体" w:eastAsia="宋体" w:cs="宋体"/>
          <w:sz w:val="24"/>
          <w:szCs w:val="24"/>
        </w:rPr>
        <w:t>《附件</w:t>
      </w:r>
      <w:r>
        <w:rPr>
          <w:rFonts w:hint="eastAsia" w:ascii="宋体" w:hAnsi="宋体" w:eastAsia="宋体" w:cs="宋体"/>
          <w:sz w:val="24"/>
          <w:szCs w:val="24"/>
          <w:lang w:val="en-US" w:eastAsia="zh-CN"/>
        </w:rPr>
        <w:t>七</w:t>
      </w:r>
      <w:r>
        <w:rPr>
          <w:rFonts w:hint="eastAsia" w:ascii="宋体" w:hAnsi="宋体" w:cs="宋体"/>
          <w:sz w:val="24"/>
          <w:szCs w:val="24"/>
          <w:lang w:val="en-US" w:eastAsia="zh-CN"/>
        </w:rPr>
        <w:t>、</w:t>
      </w:r>
      <w:r>
        <w:rPr>
          <w:rFonts w:hint="eastAsia"/>
          <w:sz w:val="24"/>
          <w:szCs w:val="24"/>
          <w:lang w:eastAsia="zh-CN"/>
        </w:rPr>
        <w:t>总装</w:t>
      </w:r>
      <w:r>
        <w:rPr>
          <w:rFonts w:hint="eastAsia"/>
          <w:sz w:val="24"/>
          <w:szCs w:val="24"/>
          <w:lang w:val="en-US" w:eastAsia="zh-CN"/>
        </w:rPr>
        <w:t>车间</w:t>
      </w:r>
      <w:r>
        <w:rPr>
          <w:sz w:val="24"/>
          <w:szCs w:val="24"/>
        </w:rPr>
        <w:t>通用设备技术要求</w:t>
      </w:r>
      <w:r>
        <w:rPr>
          <w:rFonts w:hint="eastAsia" w:ascii="宋体" w:hAnsi="宋体" w:eastAsia="宋体" w:cs="宋体"/>
          <w:sz w:val="24"/>
          <w:szCs w:val="24"/>
        </w:rPr>
        <w:t>》</w:t>
      </w:r>
    </w:p>
    <w:bookmarkEnd w:id="52"/>
    <w:p w14:paraId="2A257AA0">
      <w:pPr>
        <w:pageBreakBefore w:val="0"/>
        <w:numPr>
          <w:ilvl w:val="0"/>
          <w:numId w:val="29"/>
        </w:numPr>
        <w:tabs>
          <w:tab w:val="left" w:pos="565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bookmarkStart w:id="53" w:name="OLE_LINK28"/>
      <w:r>
        <w:rPr>
          <w:rFonts w:hint="eastAsia"/>
          <w:sz w:val="24"/>
          <w:szCs w:val="24"/>
          <w:lang w:eastAsia="zh-CN"/>
        </w:rPr>
        <w:t>总装</w:t>
      </w:r>
      <w:r>
        <w:rPr>
          <w:rFonts w:hint="eastAsia"/>
          <w:sz w:val="24"/>
          <w:szCs w:val="24"/>
          <w:lang w:val="en-US" w:eastAsia="zh-CN"/>
        </w:rPr>
        <w:t>车间</w:t>
      </w:r>
      <w:r>
        <w:rPr>
          <w:sz w:val="24"/>
          <w:szCs w:val="24"/>
        </w:rPr>
        <w:t>生产线设备要求</w:t>
      </w:r>
      <w:bookmarkEnd w:id="53"/>
      <w:r>
        <w:rPr>
          <w:rFonts w:hint="eastAsia"/>
          <w:sz w:val="24"/>
          <w:szCs w:val="24"/>
          <w:lang w:val="en-US" w:eastAsia="zh-CN"/>
        </w:rPr>
        <w:t>详见</w:t>
      </w:r>
      <w:r>
        <w:rPr>
          <w:rFonts w:hint="eastAsia" w:ascii="宋体" w:hAnsi="宋体" w:eastAsia="宋体" w:cs="宋体"/>
          <w:sz w:val="24"/>
          <w:szCs w:val="24"/>
        </w:rPr>
        <w:t>《附件</w:t>
      </w:r>
      <w:r>
        <w:rPr>
          <w:rFonts w:hint="eastAsia" w:ascii="宋体" w:hAnsi="宋体" w:eastAsia="宋体" w:cs="宋体"/>
          <w:sz w:val="24"/>
          <w:szCs w:val="24"/>
          <w:lang w:val="en-US" w:eastAsia="zh-CN"/>
        </w:rPr>
        <w:t>八</w:t>
      </w:r>
      <w:bookmarkStart w:id="54" w:name="OLE_LINK36"/>
      <w:r>
        <w:rPr>
          <w:rFonts w:hint="eastAsia" w:ascii="宋体" w:hAnsi="宋体" w:cs="宋体"/>
          <w:sz w:val="24"/>
          <w:szCs w:val="24"/>
          <w:lang w:val="en-US" w:eastAsia="zh-CN"/>
        </w:rPr>
        <w:t>、</w:t>
      </w:r>
      <w:r>
        <w:rPr>
          <w:rFonts w:hint="eastAsia"/>
          <w:sz w:val="24"/>
          <w:szCs w:val="24"/>
          <w:lang w:eastAsia="zh-CN"/>
        </w:rPr>
        <w:t>总装</w:t>
      </w:r>
      <w:r>
        <w:rPr>
          <w:rFonts w:hint="eastAsia"/>
          <w:sz w:val="24"/>
          <w:szCs w:val="24"/>
          <w:lang w:val="en-US" w:eastAsia="zh-CN"/>
        </w:rPr>
        <w:t>车间</w:t>
      </w:r>
      <w:r>
        <w:rPr>
          <w:sz w:val="24"/>
          <w:szCs w:val="24"/>
        </w:rPr>
        <w:t>生产线设备技术要求</w:t>
      </w:r>
      <w:bookmarkEnd w:id="54"/>
      <w:r>
        <w:rPr>
          <w:rFonts w:hint="eastAsia" w:ascii="宋体" w:hAnsi="宋体" w:eastAsia="宋体" w:cs="宋体"/>
          <w:sz w:val="24"/>
          <w:szCs w:val="24"/>
        </w:rPr>
        <w:t>》</w:t>
      </w:r>
    </w:p>
    <w:p w14:paraId="0EF10B41">
      <w:pPr>
        <w:pageBreakBefore w:val="0"/>
        <w:numPr>
          <w:ilvl w:val="0"/>
          <w:numId w:val="29"/>
        </w:numPr>
        <w:tabs>
          <w:tab w:val="left" w:pos="565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bookmarkStart w:id="55" w:name="OLE_LINK29"/>
      <w:r>
        <w:rPr>
          <w:rFonts w:hint="eastAsia" w:ascii="宋体" w:hAnsi="宋体" w:eastAsia="宋体" w:cs="宋体"/>
          <w:sz w:val="24"/>
          <w:szCs w:val="24"/>
          <w:lang w:val="en-US" w:eastAsia="zh-CN"/>
        </w:rPr>
        <w:t>设备外购件品牌清单</w:t>
      </w:r>
      <w:bookmarkEnd w:id="55"/>
      <w:bookmarkStart w:id="56" w:name="OLE_LINK33"/>
      <w:r>
        <w:rPr>
          <w:rFonts w:hint="eastAsia" w:ascii="宋体" w:hAnsi="宋体" w:cs="宋体"/>
          <w:sz w:val="24"/>
          <w:szCs w:val="24"/>
          <w:lang w:val="en-US" w:eastAsia="zh-CN"/>
        </w:rPr>
        <w:t>详见</w:t>
      </w:r>
      <w:r>
        <w:rPr>
          <w:rFonts w:hint="eastAsia" w:ascii="宋体" w:hAnsi="宋体" w:eastAsia="宋体" w:cs="宋体"/>
          <w:sz w:val="24"/>
          <w:szCs w:val="24"/>
        </w:rPr>
        <w:t>《</w:t>
      </w:r>
      <w:bookmarkStart w:id="57" w:name="OLE_LINK21"/>
      <w:r>
        <w:rPr>
          <w:rFonts w:hint="eastAsia" w:ascii="宋体" w:hAnsi="宋体" w:eastAsia="宋体" w:cs="宋体"/>
          <w:sz w:val="24"/>
          <w:szCs w:val="24"/>
        </w:rPr>
        <w:t>附件</w:t>
      </w:r>
      <w:r>
        <w:rPr>
          <w:rFonts w:hint="eastAsia" w:ascii="宋体" w:hAnsi="宋体" w:eastAsia="宋体" w:cs="宋体"/>
          <w:sz w:val="24"/>
          <w:szCs w:val="24"/>
          <w:lang w:val="en-US" w:eastAsia="zh-CN"/>
        </w:rPr>
        <w:t>九</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设备外购件品牌清单</w:t>
      </w:r>
      <w:bookmarkEnd w:id="57"/>
      <w:r>
        <w:rPr>
          <w:rFonts w:hint="eastAsia" w:ascii="宋体" w:hAnsi="宋体" w:eastAsia="宋体" w:cs="宋体"/>
          <w:sz w:val="24"/>
          <w:szCs w:val="24"/>
        </w:rPr>
        <w:t>》</w:t>
      </w:r>
      <w:bookmarkEnd w:id="56"/>
    </w:p>
    <w:p w14:paraId="223C4307">
      <w:pPr>
        <w:pageBreakBefore w:val="0"/>
        <w:numPr>
          <w:ilvl w:val="0"/>
          <w:numId w:val="29"/>
        </w:numPr>
        <w:tabs>
          <w:tab w:val="left" w:pos="565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cs="宋体"/>
          <w:sz w:val="24"/>
          <w:szCs w:val="24"/>
          <w:lang w:val="en-US" w:eastAsia="zh-CN"/>
        </w:rPr>
        <w:t>车间工程界面划分详见</w:t>
      </w:r>
      <w:r>
        <w:rPr>
          <w:rFonts w:hint="eastAsia" w:ascii="宋体" w:hAnsi="宋体" w:eastAsia="宋体" w:cs="宋体"/>
          <w:sz w:val="24"/>
          <w:szCs w:val="24"/>
        </w:rPr>
        <w:t>《</w:t>
      </w:r>
      <w:bookmarkStart w:id="58" w:name="OLE_LINK38"/>
      <w:r>
        <w:rPr>
          <w:rFonts w:hint="eastAsia" w:ascii="宋体" w:hAnsi="宋体" w:eastAsia="宋体" w:cs="宋体"/>
          <w:sz w:val="24"/>
          <w:szCs w:val="24"/>
        </w:rPr>
        <w:t>附件</w:t>
      </w:r>
      <w:r>
        <w:rPr>
          <w:rFonts w:hint="eastAsia" w:ascii="宋体" w:hAnsi="宋体" w:eastAsia="宋体" w:cs="宋体"/>
          <w:sz w:val="24"/>
          <w:szCs w:val="24"/>
          <w:lang w:val="en-US" w:eastAsia="zh-CN"/>
        </w:rPr>
        <w:t>十</w:t>
      </w:r>
      <w:bookmarkEnd w:id="58"/>
      <w:r>
        <w:rPr>
          <w:rFonts w:hint="eastAsia" w:ascii="宋体" w:hAnsi="宋体" w:cs="宋体"/>
          <w:sz w:val="24"/>
          <w:szCs w:val="24"/>
          <w:lang w:val="en-US" w:eastAsia="zh-CN"/>
        </w:rPr>
        <w:t>、</w:t>
      </w:r>
      <w:r>
        <w:rPr>
          <w:rFonts w:hint="eastAsia" w:cs="宋体"/>
          <w:sz w:val="24"/>
          <w:szCs w:val="24"/>
          <w:lang w:val="en-US" w:eastAsia="zh-CN"/>
        </w:rPr>
        <w:t>车间工程界面划分</w:t>
      </w:r>
      <w:r>
        <w:rPr>
          <w:rFonts w:hint="eastAsia" w:ascii="宋体" w:hAnsi="宋体" w:eastAsia="宋体" w:cs="宋体"/>
          <w:sz w:val="24"/>
          <w:szCs w:val="24"/>
        </w:rPr>
        <w:t>》</w:t>
      </w:r>
    </w:p>
    <w:p w14:paraId="380F2D04">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59" w:name="_Toc484171106"/>
      <w:bookmarkStart w:id="60" w:name="_Toc20330_WPSOffice_Level1"/>
      <w:bookmarkStart w:id="61" w:name="_Toc27285"/>
      <w:bookmarkStart w:id="62" w:name="_Toc484171077"/>
      <w:bookmarkStart w:id="63" w:name="_Toc484170902"/>
      <w:bookmarkStart w:id="64" w:name="_Toc19818"/>
      <w:bookmarkStart w:id="65" w:name="_Toc10317_WPSOffice_Level1"/>
      <w:bookmarkStart w:id="66" w:name="_Toc4623_WPSOffice_Level1"/>
      <w:r>
        <w:rPr>
          <w:rFonts w:hint="eastAsia" w:ascii="宋体" w:hAnsi="宋体" w:eastAsia="宋体" w:cs="宋体"/>
          <w:b/>
          <w:bCs/>
        </w:rPr>
        <w:t>质量要求</w:t>
      </w:r>
      <w:bookmarkEnd w:id="59"/>
      <w:bookmarkEnd w:id="60"/>
      <w:bookmarkEnd w:id="61"/>
      <w:bookmarkEnd w:id="62"/>
      <w:bookmarkEnd w:id="63"/>
      <w:bookmarkEnd w:id="64"/>
      <w:bookmarkEnd w:id="65"/>
      <w:bookmarkEnd w:id="66"/>
    </w:p>
    <w:p w14:paraId="16DA3F44">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所有设备的性能、质量必须满足</w:t>
      </w:r>
      <w:r>
        <w:rPr>
          <w:rFonts w:hint="eastAsia" w:ascii="宋体" w:hAnsi="宋体" w:cs="宋体"/>
          <w:lang w:eastAsia="zh-CN"/>
        </w:rPr>
        <w:t>招标人</w:t>
      </w:r>
      <w:r>
        <w:rPr>
          <w:rFonts w:hint="eastAsia" w:ascii="宋体" w:hAnsi="宋体" w:eastAsia="宋体" w:cs="宋体"/>
        </w:rPr>
        <w:t>生产要求。</w:t>
      </w:r>
    </w:p>
    <w:p w14:paraId="61E14606">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国内采购件选用国内优质产品，采购前需经</w:t>
      </w:r>
      <w:r>
        <w:rPr>
          <w:rFonts w:hint="eastAsia" w:ascii="宋体" w:hAnsi="宋体" w:cs="宋体"/>
          <w:lang w:eastAsia="zh-CN"/>
        </w:rPr>
        <w:t>招标人</w:t>
      </w:r>
      <w:r>
        <w:rPr>
          <w:rFonts w:hint="eastAsia" w:ascii="宋体" w:hAnsi="宋体" w:eastAsia="宋体" w:cs="宋体"/>
        </w:rPr>
        <w:t>进行资质确认。</w:t>
      </w:r>
    </w:p>
    <w:p w14:paraId="3D320D71">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rFonts w:hint="eastAsia"/>
          <w:color w:val="000000"/>
          <w:lang w:eastAsia="zh-CN"/>
        </w:rPr>
        <w:t>投标人</w:t>
      </w:r>
      <w:r>
        <w:rPr>
          <w:color w:val="000000"/>
        </w:rPr>
        <w:t>应抽调精干人员组成项目组，并保证项目组人员的稳定性，项目组主要成员不得随意更换；项目组的组织机构和主要负责人的联系方式，应该报给</w:t>
      </w:r>
      <w:r>
        <w:rPr>
          <w:rFonts w:hint="eastAsia"/>
          <w:color w:val="000000"/>
          <w:lang w:eastAsia="zh-CN"/>
        </w:rPr>
        <w:t>招标人</w:t>
      </w:r>
      <w:r>
        <w:rPr>
          <w:color w:val="000000"/>
        </w:rPr>
        <w:t>。</w:t>
      </w:r>
    </w:p>
    <w:p w14:paraId="54B4F245">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rFonts w:hint="eastAsia"/>
          <w:color w:val="000000"/>
          <w:lang w:eastAsia="zh-CN"/>
        </w:rPr>
        <w:t>投标人</w:t>
      </w:r>
      <w:r>
        <w:rPr>
          <w:color w:val="000000"/>
        </w:rPr>
        <w:t>项目组负责人和技术人员应具有组织同类工程项目的经验以及相关的技术职称证明；施工人员应具有电工，焊工等从业资格证，杜绝无证上岗，并接受</w:t>
      </w:r>
      <w:r>
        <w:rPr>
          <w:rFonts w:hint="eastAsia"/>
          <w:color w:val="000000"/>
          <w:lang w:eastAsia="zh-CN"/>
        </w:rPr>
        <w:t>招标人</w:t>
      </w:r>
      <w:r>
        <w:rPr>
          <w:color w:val="000000"/>
        </w:rPr>
        <w:t>的管理。</w:t>
      </w:r>
    </w:p>
    <w:p w14:paraId="2EE5A98F">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rFonts w:hint="eastAsia"/>
          <w:color w:val="000000"/>
          <w:lang w:eastAsia="zh-CN"/>
        </w:rPr>
        <w:t>投标人</w:t>
      </w:r>
      <w:r>
        <w:rPr>
          <w:color w:val="000000"/>
        </w:rPr>
        <w:t>必须和</w:t>
      </w:r>
      <w:r>
        <w:rPr>
          <w:rFonts w:hint="eastAsia"/>
          <w:color w:val="000000"/>
          <w:lang w:eastAsia="zh-CN"/>
        </w:rPr>
        <w:t>招标人</w:t>
      </w:r>
      <w:r>
        <w:rPr>
          <w:color w:val="000000"/>
        </w:rPr>
        <w:t>签订《安全和文明施工协议书》，坚持文明施工，安全施工并重。</w:t>
      </w:r>
    </w:p>
    <w:p w14:paraId="0A256D13">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rFonts w:hint="eastAsia"/>
          <w:color w:val="000000"/>
          <w:lang w:eastAsia="zh-CN"/>
        </w:rPr>
        <w:t>投标人</w:t>
      </w:r>
      <w:r>
        <w:rPr>
          <w:color w:val="000000"/>
        </w:rPr>
        <w:t>物资进入现场后，要妥善保管，在设备最</w:t>
      </w:r>
      <w:r>
        <w:rPr>
          <w:rFonts w:hint="eastAsia"/>
          <w:color w:val="000000"/>
          <w:lang w:eastAsia="zh-CN"/>
        </w:rPr>
        <w:t>调试验收</w:t>
      </w:r>
      <w:r>
        <w:rPr>
          <w:color w:val="000000"/>
        </w:rPr>
        <w:t>前发生的物资丢失或损坏，</w:t>
      </w:r>
      <w:r>
        <w:rPr>
          <w:rFonts w:hint="eastAsia"/>
          <w:color w:val="000000"/>
          <w:lang w:eastAsia="zh-CN"/>
        </w:rPr>
        <w:t>招标人</w:t>
      </w:r>
      <w:r>
        <w:rPr>
          <w:color w:val="000000"/>
        </w:rPr>
        <w:t>不承担责任。</w:t>
      </w:r>
    </w:p>
    <w:p w14:paraId="4C432FFB">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为了缩短工期，要求尽量在</w:t>
      </w:r>
      <w:r>
        <w:rPr>
          <w:rFonts w:hint="eastAsia"/>
          <w:color w:val="000000"/>
          <w:lang w:eastAsia="zh-CN"/>
        </w:rPr>
        <w:t>投标人</w:t>
      </w:r>
      <w:r>
        <w:rPr>
          <w:color w:val="000000"/>
        </w:rPr>
        <w:t>工厂完成设备预装；为避免与其他单位过多的交叉作业，采取分片，分层流水施工，从而保证工期。</w:t>
      </w:r>
    </w:p>
    <w:p w14:paraId="3220EB73">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rFonts w:hint="eastAsia"/>
          <w:color w:val="000000"/>
          <w:lang w:eastAsia="zh-CN"/>
        </w:rPr>
        <w:t>投标人</w:t>
      </w:r>
      <w:r>
        <w:rPr>
          <w:color w:val="000000"/>
        </w:rPr>
        <w:t>在现场施工的过程中，需对电柜进行相应的防护处理，做到防尘防水。</w:t>
      </w:r>
    </w:p>
    <w:p w14:paraId="11336B27">
      <w:pPr>
        <w:pStyle w:val="17"/>
        <w:keepNext w:val="0"/>
        <w:keepLines w:val="0"/>
        <w:pageBreakBefore w:val="0"/>
        <w:numPr>
          <w:ilvl w:val="0"/>
          <w:numId w:val="30"/>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所有</w:t>
      </w:r>
      <w:r>
        <w:rPr>
          <w:rFonts w:hint="eastAsia"/>
          <w:color w:val="000000"/>
          <w:lang w:eastAsia="zh-CN"/>
        </w:rPr>
        <w:t>投标人</w:t>
      </w:r>
      <w:r>
        <w:rPr>
          <w:color w:val="000000"/>
        </w:rPr>
        <w:t>所供外购件的招标过程</w:t>
      </w:r>
      <w:r>
        <w:rPr>
          <w:rFonts w:hint="eastAsia"/>
          <w:color w:val="000000"/>
          <w:lang w:eastAsia="zh-CN"/>
        </w:rPr>
        <w:t>招标人</w:t>
      </w:r>
      <w:r>
        <w:rPr>
          <w:color w:val="000000"/>
        </w:rPr>
        <w:t>将派人全程参与，并提供技术指导，</w:t>
      </w:r>
      <w:r>
        <w:rPr>
          <w:rFonts w:hint="eastAsia"/>
          <w:color w:val="000000"/>
          <w:lang w:eastAsia="zh-CN"/>
        </w:rPr>
        <w:t>投标人</w:t>
      </w:r>
      <w:r>
        <w:rPr>
          <w:color w:val="000000"/>
        </w:rPr>
        <w:t>应采纳</w:t>
      </w:r>
      <w:r>
        <w:rPr>
          <w:rFonts w:hint="eastAsia"/>
          <w:color w:val="000000"/>
          <w:lang w:eastAsia="zh-CN"/>
        </w:rPr>
        <w:t>招标人</w:t>
      </w:r>
      <w:r>
        <w:rPr>
          <w:color w:val="000000"/>
        </w:rPr>
        <w:t>合理要求。</w:t>
      </w:r>
    </w:p>
    <w:p w14:paraId="40F2792D">
      <w:pPr>
        <w:pStyle w:val="17"/>
        <w:keepNext w:val="0"/>
        <w:keepLines w:val="0"/>
        <w:pageBreakBefore w:val="0"/>
        <w:widowControl w:val="0"/>
        <w:numPr>
          <w:ilvl w:val="0"/>
          <w:numId w:val="30"/>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sz w:val="24"/>
          <w:szCs w:val="24"/>
        </w:rPr>
      </w:pPr>
      <w:r>
        <w:rPr>
          <w:rFonts w:hint="eastAsia"/>
          <w:color w:val="000000"/>
          <w:sz w:val="24"/>
          <w:szCs w:val="24"/>
          <w:lang w:eastAsia="zh-CN"/>
        </w:rPr>
        <w:t>投标人</w:t>
      </w:r>
      <w:r>
        <w:rPr>
          <w:color w:val="000000"/>
          <w:sz w:val="24"/>
          <w:szCs w:val="24"/>
        </w:rPr>
        <w:t>应保证所购材料、设备与元器件的质量，</w:t>
      </w:r>
      <w:r>
        <w:rPr>
          <w:rFonts w:hint="eastAsia"/>
          <w:color w:val="000000"/>
          <w:sz w:val="24"/>
          <w:szCs w:val="24"/>
          <w:lang w:eastAsia="zh-CN"/>
        </w:rPr>
        <w:t>招标人</w:t>
      </w:r>
      <w:r>
        <w:rPr>
          <w:color w:val="000000"/>
          <w:sz w:val="24"/>
          <w:szCs w:val="24"/>
        </w:rPr>
        <w:t>有权对</w:t>
      </w:r>
      <w:r>
        <w:rPr>
          <w:rFonts w:hint="eastAsia"/>
          <w:color w:val="000000"/>
          <w:sz w:val="24"/>
          <w:szCs w:val="24"/>
          <w:lang w:eastAsia="zh-CN"/>
        </w:rPr>
        <w:t>投标人</w:t>
      </w:r>
      <w:r>
        <w:rPr>
          <w:color w:val="000000"/>
          <w:sz w:val="24"/>
          <w:szCs w:val="24"/>
        </w:rPr>
        <w:t>所购材料、设备及元器件的质量进行检查，发现质量问题，</w:t>
      </w:r>
      <w:r>
        <w:rPr>
          <w:rFonts w:hint="eastAsia"/>
          <w:color w:val="000000"/>
          <w:sz w:val="24"/>
          <w:szCs w:val="24"/>
          <w:lang w:eastAsia="zh-CN"/>
        </w:rPr>
        <w:t>招标人</w:t>
      </w:r>
      <w:r>
        <w:rPr>
          <w:color w:val="000000"/>
          <w:sz w:val="24"/>
          <w:szCs w:val="24"/>
        </w:rPr>
        <w:t>拒绝使用，由此造成的损失由</w:t>
      </w:r>
      <w:r>
        <w:rPr>
          <w:rFonts w:hint="eastAsia"/>
          <w:color w:val="000000"/>
          <w:sz w:val="24"/>
          <w:szCs w:val="24"/>
          <w:lang w:eastAsia="zh-CN"/>
        </w:rPr>
        <w:t>投标人</w:t>
      </w:r>
      <w:r>
        <w:rPr>
          <w:color w:val="000000"/>
          <w:sz w:val="24"/>
          <w:szCs w:val="24"/>
        </w:rPr>
        <w:t>负责。</w:t>
      </w:r>
    </w:p>
    <w:p w14:paraId="71232AFC">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sz w:val="24"/>
          <w:szCs w:val="24"/>
        </w:rPr>
      </w:pPr>
      <w:r>
        <w:rPr>
          <w:color w:val="000000"/>
          <w:sz w:val="24"/>
          <w:szCs w:val="24"/>
        </w:rPr>
        <w:t>所有</w:t>
      </w:r>
      <w:r>
        <w:rPr>
          <w:rFonts w:hint="eastAsia"/>
          <w:color w:val="000000"/>
          <w:sz w:val="24"/>
          <w:szCs w:val="24"/>
          <w:lang w:eastAsia="zh-CN"/>
        </w:rPr>
        <w:t>投标人</w:t>
      </w:r>
      <w:r>
        <w:rPr>
          <w:color w:val="000000"/>
          <w:sz w:val="24"/>
          <w:szCs w:val="24"/>
        </w:rPr>
        <w:t>外购件中必须有内容齐全的设备铭牌，设备使用维护说明书，产品质量合格证等技术资料及相关清单（若产品为国外生产，尽量提供中英文对照），对于电缆材料，要求提供生产厂家的资质证书和本批次电缆的合格证。</w:t>
      </w:r>
    </w:p>
    <w:p w14:paraId="1EA67474">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按照图纸及本技术文件的质量、技术、进度要求进行设备的加工、制作、安装、调试及生产试运行。保证设计图纸及本技术文件所规定的技术及质量条款得到实施，</w:t>
      </w:r>
      <w:r>
        <w:rPr>
          <w:rFonts w:hint="eastAsia" w:ascii="宋体" w:hAnsi="宋体" w:cs="宋体"/>
          <w:lang w:eastAsia="zh-CN"/>
        </w:rPr>
        <w:t>投标人</w:t>
      </w:r>
      <w:r>
        <w:rPr>
          <w:rFonts w:hint="eastAsia" w:ascii="宋体" w:hAnsi="宋体" w:eastAsia="宋体" w:cs="宋体"/>
        </w:rPr>
        <w:t>供货设备能够正常安全地良好运行。精心组织现场安装，确保工程质量，随时都应接受</w:t>
      </w:r>
      <w:r>
        <w:rPr>
          <w:rFonts w:hint="eastAsia" w:ascii="宋体" w:hAnsi="宋体" w:cs="宋体"/>
          <w:lang w:eastAsia="zh-CN"/>
        </w:rPr>
        <w:t>招标人</w:t>
      </w:r>
      <w:r>
        <w:rPr>
          <w:rFonts w:hint="eastAsia" w:ascii="宋体" w:hAnsi="宋体" w:eastAsia="宋体" w:cs="宋体"/>
        </w:rPr>
        <w:t>的质量监督，并接受</w:t>
      </w:r>
      <w:r>
        <w:rPr>
          <w:rFonts w:hint="eastAsia" w:ascii="宋体" w:hAnsi="宋体" w:cs="宋体"/>
          <w:lang w:eastAsia="zh-CN"/>
        </w:rPr>
        <w:t>招标人</w:t>
      </w:r>
      <w:r>
        <w:rPr>
          <w:rFonts w:hint="eastAsia" w:ascii="宋体" w:hAnsi="宋体" w:eastAsia="宋体" w:cs="宋体"/>
        </w:rPr>
        <w:t>检查指导。</w:t>
      </w:r>
    </w:p>
    <w:p w14:paraId="4FF3CD3A">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原材料、外购设备、配套件等选用符合国家标准的正规产品，应具有质量合格证及必备的文件资料，并对质量采取切实可行的把关管理措施。一旦发现质量不符合要求或伪劣产品，</w:t>
      </w:r>
      <w:r>
        <w:rPr>
          <w:rFonts w:hint="eastAsia" w:ascii="宋体" w:hAnsi="宋体" w:cs="宋体"/>
          <w:lang w:eastAsia="zh-CN"/>
        </w:rPr>
        <w:t>投标人</w:t>
      </w:r>
      <w:r>
        <w:rPr>
          <w:rFonts w:hint="eastAsia" w:ascii="宋体" w:hAnsi="宋体" w:eastAsia="宋体" w:cs="宋体"/>
        </w:rPr>
        <w:t>必须立即更换，并承担全部责任和费用。</w:t>
      </w:r>
    </w:p>
    <w:p w14:paraId="2A7F8B47">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提供本标段系统设备施工及验收技术规程，分解出各质量控制点和控制指标，随时都应接受</w:t>
      </w:r>
      <w:r>
        <w:rPr>
          <w:rFonts w:hint="eastAsia" w:ascii="宋体" w:hAnsi="宋体" w:cs="宋体"/>
          <w:lang w:eastAsia="zh-CN"/>
        </w:rPr>
        <w:t>招标人</w:t>
      </w:r>
      <w:r>
        <w:rPr>
          <w:rFonts w:hint="eastAsia" w:ascii="宋体" w:hAnsi="宋体" w:eastAsia="宋体" w:cs="宋体"/>
        </w:rPr>
        <w:t>的质量监督和检查。</w:t>
      </w:r>
    </w:p>
    <w:p w14:paraId="43D9EA3D">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在设备安装、调试期间，如果设备存在任何缺陷，</w:t>
      </w:r>
      <w:r>
        <w:rPr>
          <w:rFonts w:hint="eastAsia" w:ascii="宋体" w:hAnsi="宋体" w:cs="宋体"/>
          <w:lang w:eastAsia="zh-CN"/>
        </w:rPr>
        <w:t>投标人</w:t>
      </w:r>
      <w:r>
        <w:rPr>
          <w:rFonts w:hint="eastAsia" w:ascii="宋体" w:hAnsi="宋体" w:eastAsia="宋体" w:cs="宋体"/>
        </w:rPr>
        <w:t>应及时修理、更换、补齐或修改。</w:t>
      </w:r>
    </w:p>
    <w:p w14:paraId="5A75F4EC">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保证按本技术要求规定的时间按时完工，并在规定的时间内安装调试，并达到工艺要求。</w:t>
      </w:r>
    </w:p>
    <w:p w14:paraId="62309953">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本合同设备的质保期为合同设备调试验收合格之日起12个月，</w:t>
      </w:r>
      <w:r>
        <w:rPr>
          <w:rFonts w:hint="eastAsia" w:ascii="宋体" w:hAnsi="宋体" w:cs="宋体"/>
          <w:lang w:eastAsia="zh-CN"/>
        </w:rPr>
        <w:t>投标人</w:t>
      </w:r>
      <w:r>
        <w:rPr>
          <w:rFonts w:hint="eastAsia" w:ascii="宋体" w:hAnsi="宋体" w:eastAsia="宋体" w:cs="宋体"/>
        </w:rPr>
        <w:t>应保证设备在正常使用的情况下保持正常良好的运行状态。如果在质量保证期内设备出现质量问题，</w:t>
      </w:r>
      <w:r>
        <w:rPr>
          <w:rFonts w:hint="eastAsia" w:ascii="宋体" w:hAnsi="宋体" w:cs="宋体"/>
          <w:lang w:eastAsia="zh-CN"/>
        </w:rPr>
        <w:t>投标人</w:t>
      </w:r>
      <w:r>
        <w:rPr>
          <w:rFonts w:hint="eastAsia" w:ascii="宋体" w:hAnsi="宋体" w:eastAsia="宋体" w:cs="宋体"/>
        </w:rPr>
        <w:t>应免费进行更换、修改直至设备运行良好，并承担相应责任。如因</w:t>
      </w:r>
      <w:r>
        <w:rPr>
          <w:rFonts w:hint="eastAsia" w:ascii="宋体" w:hAnsi="宋体" w:cs="宋体"/>
          <w:lang w:eastAsia="zh-CN"/>
        </w:rPr>
        <w:t>招标人</w:t>
      </w:r>
      <w:r>
        <w:rPr>
          <w:rFonts w:hint="eastAsia" w:ascii="宋体" w:hAnsi="宋体" w:eastAsia="宋体" w:cs="宋体"/>
        </w:rPr>
        <w:t>违规操作原因造成的损坏，</w:t>
      </w:r>
      <w:r>
        <w:rPr>
          <w:rFonts w:hint="eastAsia" w:ascii="宋体" w:hAnsi="宋体" w:cs="宋体"/>
          <w:lang w:eastAsia="zh-CN"/>
        </w:rPr>
        <w:t>投标人</w:t>
      </w:r>
      <w:r>
        <w:rPr>
          <w:rFonts w:hint="eastAsia" w:ascii="宋体" w:hAnsi="宋体" w:eastAsia="宋体" w:cs="宋体"/>
        </w:rPr>
        <w:t>应负责维修，但合理收取最低维修费用（差旅费、工料费等）。</w:t>
      </w:r>
    </w:p>
    <w:p w14:paraId="5CF87ED6">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采购的材料设备在使用前，应按</w:t>
      </w:r>
      <w:r>
        <w:rPr>
          <w:rFonts w:hint="eastAsia" w:ascii="宋体" w:hAnsi="宋体" w:cs="宋体"/>
          <w:lang w:eastAsia="zh-CN"/>
        </w:rPr>
        <w:t>招标人</w:t>
      </w:r>
      <w:r>
        <w:rPr>
          <w:rFonts w:hint="eastAsia" w:ascii="宋体" w:hAnsi="宋体" w:eastAsia="宋体" w:cs="宋体"/>
        </w:rPr>
        <w:t>的要求进行检验或试验，不合格的不得使用，检验或试验费用由</w:t>
      </w:r>
      <w:r>
        <w:rPr>
          <w:rFonts w:hint="eastAsia" w:ascii="宋体" w:hAnsi="宋体" w:cs="宋体"/>
          <w:lang w:eastAsia="zh-CN"/>
        </w:rPr>
        <w:t>投标人</w:t>
      </w:r>
      <w:r>
        <w:rPr>
          <w:rFonts w:hint="eastAsia" w:ascii="宋体" w:hAnsi="宋体" w:eastAsia="宋体" w:cs="宋体"/>
        </w:rPr>
        <w:t>承担。</w:t>
      </w:r>
    </w:p>
    <w:p w14:paraId="55589BDE">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隐蔽工程：设备在工厂制造过程中，隐蔽工程完成前，</w:t>
      </w:r>
      <w:r>
        <w:rPr>
          <w:rFonts w:hint="eastAsia" w:ascii="宋体" w:hAnsi="宋体" w:cs="宋体"/>
          <w:lang w:eastAsia="zh-CN"/>
        </w:rPr>
        <w:t>投标人</w:t>
      </w:r>
      <w:r>
        <w:rPr>
          <w:rFonts w:hint="eastAsia" w:ascii="宋体" w:hAnsi="宋体" w:eastAsia="宋体" w:cs="宋体"/>
        </w:rPr>
        <w:t>应提前一周通知</w:t>
      </w:r>
      <w:r>
        <w:rPr>
          <w:rFonts w:hint="eastAsia" w:ascii="宋体" w:hAnsi="宋体" w:cs="宋体"/>
          <w:lang w:eastAsia="zh-CN"/>
        </w:rPr>
        <w:t>招标人</w:t>
      </w:r>
      <w:r>
        <w:rPr>
          <w:rFonts w:hint="eastAsia" w:ascii="宋体" w:hAnsi="宋体" w:eastAsia="宋体" w:cs="宋体"/>
        </w:rPr>
        <w:t>，由</w:t>
      </w:r>
      <w:r>
        <w:rPr>
          <w:rFonts w:hint="eastAsia" w:ascii="宋体" w:hAnsi="宋体" w:cs="宋体"/>
          <w:lang w:eastAsia="zh-CN"/>
        </w:rPr>
        <w:t>招标人</w:t>
      </w:r>
      <w:r>
        <w:rPr>
          <w:rFonts w:hint="eastAsia" w:ascii="宋体" w:hAnsi="宋体" w:eastAsia="宋体" w:cs="宋体"/>
        </w:rPr>
        <w:t>派员对</w:t>
      </w:r>
      <w:r>
        <w:rPr>
          <w:rFonts w:hint="eastAsia" w:ascii="宋体" w:hAnsi="宋体" w:cs="宋体"/>
          <w:lang w:eastAsia="zh-CN"/>
        </w:rPr>
        <w:t>投标人</w:t>
      </w:r>
      <w:r>
        <w:rPr>
          <w:rFonts w:hint="eastAsia" w:ascii="宋体" w:hAnsi="宋体" w:eastAsia="宋体" w:cs="宋体"/>
        </w:rPr>
        <w:t>隐蔽工程进行中间阶段验收，如检查发现存在未满足技术和会签图纸的有关要求的情况，</w:t>
      </w:r>
      <w:r>
        <w:rPr>
          <w:rFonts w:hint="eastAsia" w:ascii="宋体" w:hAnsi="宋体" w:cs="宋体"/>
          <w:lang w:eastAsia="zh-CN"/>
        </w:rPr>
        <w:t>招标人</w:t>
      </w:r>
      <w:r>
        <w:rPr>
          <w:rFonts w:hint="eastAsia" w:ascii="宋体" w:hAnsi="宋体" w:eastAsia="宋体" w:cs="宋体"/>
        </w:rPr>
        <w:t>有权解除合同</w:t>
      </w:r>
    </w:p>
    <w:p w14:paraId="63A9AF42">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标准件：标准件提供的供应商，在5年内不得出现公司倒闭、停产情况。</w:t>
      </w:r>
    </w:p>
    <w:p w14:paraId="172F158A">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质量要求和精度必须符合下列标准，若</w:t>
      </w:r>
      <w:r>
        <w:rPr>
          <w:rFonts w:hint="eastAsia" w:ascii="宋体" w:hAnsi="宋体" w:cs="宋体"/>
          <w:lang w:eastAsia="zh-CN"/>
        </w:rPr>
        <w:t>投标人</w:t>
      </w:r>
      <w:r>
        <w:rPr>
          <w:rFonts w:hint="eastAsia" w:ascii="宋体" w:hAnsi="宋体" w:eastAsia="宋体" w:cs="宋体"/>
        </w:rPr>
        <w:t>所采用标准与下述不同时，</w:t>
      </w:r>
      <w:r>
        <w:rPr>
          <w:rFonts w:hint="eastAsia" w:ascii="宋体" w:hAnsi="宋体" w:cs="宋体"/>
          <w:lang w:eastAsia="zh-CN"/>
        </w:rPr>
        <w:t>投标人</w:t>
      </w:r>
      <w:r>
        <w:rPr>
          <w:rFonts w:hint="eastAsia" w:ascii="宋体" w:hAnsi="宋体" w:eastAsia="宋体" w:cs="宋体"/>
        </w:rPr>
        <w:t>在投标书中列出，</w:t>
      </w:r>
      <w:r>
        <w:rPr>
          <w:rFonts w:hint="eastAsia" w:ascii="宋体" w:hAnsi="宋体" w:cs="宋体"/>
          <w:lang w:eastAsia="zh-CN"/>
        </w:rPr>
        <w:t>招标人</w:t>
      </w:r>
      <w:r>
        <w:rPr>
          <w:rFonts w:hint="eastAsia" w:ascii="宋体" w:hAnsi="宋体" w:eastAsia="宋体" w:cs="宋体"/>
        </w:rPr>
        <w:t>予以确认。</w:t>
      </w:r>
    </w:p>
    <w:p w14:paraId="40110DDE">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《钢结构工程施工质量验收标准》                                 </w:t>
      </w:r>
      <w:r>
        <w:rPr>
          <w:rFonts w:hint="eastAsia" w:ascii="宋体" w:hAnsi="宋体" w:cs="宋体"/>
          <w:lang w:val="en-US" w:eastAsia="zh-CN"/>
        </w:rPr>
        <w:t xml:space="preserve">  </w:t>
      </w:r>
      <w:r>
        <w:rPr>
          <w:rFonts w:hint="eastAsia" w:ascii="宋体" w:hAnsi="宋体" w:eastAsia="宋体" w:cs="宋体"/>
        </w:rPr>
        <w:t>GB50205-2020</w:t>
      </w:r>
    </w:p>
    <w:p w14:paraId="065E7F83">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《电气装置安装工程母线装置施工及验收规范》                     </w:t>
      </w:r>
      <w:r>
        <w:rPr>
          <w:rFonts w:hint="eastAsia" w:ascii="宋体" w:hAnsi="宋体" w:cs="宋体"/>
          <w:lang w:val="en-US" w:eastAsia="zh-CN"/>
        </w:rPr>
        <w:t xml:space="preserve">  </w:t>
      </w:r>
      <w:r>
        <w:rPr>
          <w:rFonts w:hint="eastAsia" w:ascii="宋体" w:hAnsi="宋体" w:eastAsia="宋体" w:cs="宋体"/>
        </w:rPr>
        <w:t>GB50149-2010</w:t>
      </w:r>
    </w:p>
    <w:p w14:paraId="512883CB">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《电气装置安装工程爆炸和火灾危险环境电气装置施工及验收规范》   </w:t>
      </w:r>
      <w:r>
        <w:rPr>
          <w:rFonts w:hint="eastAsia" w:ascii="宋体" w:hAnsi="宋体" w:cs="宋体"/>
          <w:lang w:val="en-US" w:eastAsia="zh-CN"/>
        </w:rPr>
        <w:t xml:space="preserve">  </w:t>
      </w:r>
      <w:r>
        <w:rPr>
          <w:rFonts w:hint="eastAsia" w:ascii="宋体" w:hAnsi="宋体" w:eastAsia="宋体" w:cs="宋体"/>
        </w:rPr>
        <w:t>GB50257-2014</w:t>
      </w:r>
    </w:p>
    <w:p w14:paraId="3193638E">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《机械电气安全 机械电气设备 第1部分：通用技术条件》         GB/T 5226.1-2019</w:t>
      </w:r>
    </w:p>
    <w:p w14:paraId="6F0D6419">
      <w:pPr>
        <w:pStyle w:val="394"/>
        <w:pageBreakBefore w:val="0"/>
        <w:tabs>
          <w:tab w:val="left" w:pos="0"/>
        </w:tabs>
        <w:kinsoku/>
        <w:wordWrap/>
        <w:topLinePunct w:val="0"/>
        <w:bidi w:val="0"/>
        <w:adjustRightInd w:val="0"/>
        <w:snapToGrid w:val="0"/>
        <w:spacing w:afterAutospacing="0" w:line="360" w:lineRule="auto"/>
        <w:ind w:left="0" w:leftChars="0" w:firstLine="0" w:firstLineChars="0"/>
        <w:jc w:val="both"/>
        <w:textAlignment w:val="baseline"/>
        <w:rPr>
          <w:rFonts w:hint="eastAsia" w:ascii="宋体" w:hAnsi="宋体" w:eastAsia="宋体" w:cs="宋体"/>
          <w:kern w:val="2"/>
        </w:rPr>
      </w:pPr>
      <w:r>
        <w:rPr>
          <w:rFonts w:hint="eastAsia" w:ascii="宋体" w:hAnsi="宋体" w:eastAsia="宋体" w:cs="宋体"/>
        </w:rPr>
        <w:t xml:space="preserve">《低压配电设计规范》                                            </w:t>
      </w:r>
      <w:r>
        <w:rPr>
          <w:rFonts w:hint="eastAsia" w:hAnsi="宋体" w:cs="宋体"/>
          <w:lang w:val="en-US" w:eastAsia="zh-CN"/>
        </w:rPr>
        <w:t xml:space="preserve"> </w:t>
      </w:r>
      <w:r>
        <w:rPr>
          <w:rFonts w:hint="eastAsia" w:ascii="宋体" w:hAnsi="宋体" w:eastAsia="宋体" w:cs="宋体"/>
          <w:kern w:val="2"/>
        </w:rPr>
        <w:t>GB50054-2011</w:t>
      </w:r>
    </w:p>
    <w:p w14:paraId="0395E240">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 旋转电机施工及验收标准》                     </w:t>
      </w:r>
      <w:r>
        <w:rPr>
          <w:rFonts w:hint="eastAsia" w:ascii="宋体" w:hAnsi="宋体" w:cs="宋体"/>
          <w:lang w:val="en-US" w:eastAsia="zh-CN"/>
        </w:rPr>
        <w:t xml:space="preserve"> </w:t>
      </w:r>
      <w:r>
        <w:rPr>
          <w:rFonts w:hint="eastAsia" w:ascii="宋体" w:hAnsi="宋体" w:eastAsia="宋体" w:cs="宋体"/>
        </w:rPr>
        <w:t>GB50170-2018</w:t>
      </w:r>
    </w:p>
    <w:p w14:paraId="25368A96">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《电气装置安装工程低压电器施工及验收规范》                      </w:t>
      </w:r>
      <w:r>
        <w:rPr>
          <w:rFonts w:hint="eastAsia" w:ascii="宋体" w:hAnsi="宋体" w:cs="宋体"/>
          <w:lang w:val="en-US" w:eastAsia="zh-CN"/>
        </w:rPr>
        <w:t xml:space="preserve"> </w:t>
      </w:r>
      <w:r>
        <w:rPr>
          <w:rFonts w:hint="eastAsia" w:ascii="宋体" w:hAnsi="宋体" w:eastAsia="宋体" w:cs="宋体"/>
        </w:rPr>
        <w:t xml:space="preserve">GB50254-2014 </w:t>
      </w:r>
    </w:p>
    <w:p w14:paraId="63515DC3">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《钢制电缆桥架工程设计规范》                                      </w:t>
      </w:r>
      <w:r>
        <w:rPr>
          <w:rFonts w:hint="eastAsia" w:ascii="宋体" w:hAnsi="宋体" w:cs="宋体"/>
          <w:lang w:val="en-US" w:eastAsia="zh-CN"/>
        </w:rPr>
        <w:t xml:space="preserve"> </w:t>
      </w:r>
      <w:r>
        <w:rPr>
          <w:rFonts w:hint="eastAsia" w:ascii="宋体" w:hAnsi="宋体" w:eastAsia="宋体" w:cs="宋体"/>
        </w:rPr>
        <w:t>CECCS31-91</w:t>
      </w:r>
    </w:p>
    <w:p w14:paraId="4256C77A">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《电气装置安装工程电气设备交接试验标准》                          </w:t>
      </w:r>
      <w:r>
        <w:rPr>
          <w:rFonts w:hint="eastAsia" w:ascii="宋体" w:hAnsi="宋体" w:cs="宋体"/>
          <w:lang w:val="en-US" w:eastAsia="zh-CN"/>
        </w:rPr>
        <w:t xml:space="preserve"> </w:t>
      </w:r>
      <w:r>
        <w:rPr>
          <w:rFonts w:hint="eastAsia" w:ascii="宋体" w:hAnsi="宋体" w:eastAsia="宋体" w:cs="宋体"/>
        </w:rPr>
        <w:t>GB50150-91</w:t>
      </w:r>
    </w:p>
    <w:p w14:paraId="41B5422D">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《电气装置安装工程接地装置施工验收规范》                          </w:t>
      </w:r>
      <w:r>
        <w:rPr>
          <w:rFonts w:hint="eastAsia" w:ascii="宋体" w:hAnsi="宋体" w:cs="宋体"/>
          <w:lang w:val="en-US" w:eastAsia="zh-CN"/>
        </w:rPr>
        <w:t xml:space="preserve"> </w:t>
      </w:r>
      <w:r>
        <w:rPr>
          <w:rFonts w:hint="eastAsia" w:ascii="宋体" w:hAnsi="宋体" w:eastAsia="宋体" w:cs="宋体"/>
        </w:rPr>
        <w:t>GB50169-92</w:t>
      </w:r>
    </w:p>
    <w:p w14:paraId="4AC12A9D">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《施工现场临进用电安全技术规范》                                    </w:t>
      </w:r>
      <w:r>
        <w:rPr>
          <w:rFonts w:hint="eastAsia" w:ascii="宋体" w:hAnsi="宋体" w:cs="宋体"/>
          <w:lang w:val="en-US" w:eastAsia="zh-CN"/>
        </w:rPr>
        <w:t xml:space="preserve"> </w:t>
      </w:r>
      <w:r>
        <w:rPr>
          <w:rFonts w:hint="eastAsia" w:ascii="宋体" w:hAnsi="宋体" w:eastAsia="宋体" w:cs="宋体"/>
        </w:rPr>
        <w:t xml:space="preserve"> JG46-88</w:t>
      </w:r>
    </w:p>
    <w:p w14:paraId="612FC91E">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《低压成套开关设备和控制设备》                                    </w:t>
      </w:r>
      <w:r>
        <w:rPr>
          <w:rFonts w:hint="eastAsia" w:ascii="宋体" w:hAnsi="宋体" w:cs="宋体"/>
          <w:lang w:val="en-US" w:eastAsia="zh-CN"/>
        </w:rPr>
        <w:t xml:space="preserve">  </w:t>
      </w:r>
      <w:r>
        <w:rPr>
          <w:rFonts w:hint="eastAsia" w:ascii="宋体" w:hAnsi="宋体" w:eastAsia="宋体" w:cs="宋体"/>
        </w:rPr>
        <w:t>GB7251-97</w:t>
      </w:r>
    </w:p>
    <w:p w14:paraId="149C7047">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《电气装置安装工程电缆线路施工及验收规范》                     </w:t>
      </w:r>
      <w:r>
        <w:rPr>
          <w:rFonts w:hint="eastAsia" w:ascii="宋体" w:hAnsi="宋体" w:cs="宋体"/>
          <w:lang w:val="en-US" w:eastAsia="zh-CN"/>
        </w:rPr>
        <w:t xml:space="preserve"> </w:t>
      </w:r>
      <w:r>
        <w:rPr>
          <w:rFonts w:hint="eastAsia" w:ascii="宋体" w:hAnsi="宋体" w:eastAsia="宋体" w:cs="宋体"/>
        </w:rPr>
        <w:t>GB 50168-2016</w:t>
      </w:r>
    </w:p>
    <w:p w14:paraId="540448B9">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《电气装置安装工程盘、柜及二次回路接线施工及验收规范》        </w:t>
      </w:r>
      <w:r>
        <w:rPr>
          <w:rFonts w:hint="eastAsia" w:ascii="宋体" w:hAnsi="宋体" w:cs="宋体"/>
          <w:lang w:val="en-US" w:eastAsia="zh-CN"/>
        </w:rPr>
        <w:t xml:space="preserve">   </w:t>
      </w:r>
      <w:r>
        <w:rPr>
          <w:rFonts w:hint="eastAsia" w:ascii="宋体" w:hAnsi="宋体" w:eastAsia="宋体" w:cs="宋体"/>
        </w:rPr>
        <w:t xml:space="preserve"> GB 50171-2012 </w:t>
      </w:r>
    </w:p>
    <w:p w14:paraId="4258C2A3">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《工业自动化控制系统工程施工规范》                            GB/T 34021-2017 </w:t>
      </w:r>
    </w:p>
    <w:p w14:paraId="4086748F">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《喷漆室安全技术规定》                                        GB/T 14444-2006 </w:t>
      </w:r>
    </w:p>
    <w:p w14:paraId="3D056F41">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《涂层烘干室安全技术规定》                                     </w:t>
      </w:r>
      <w:r>
        <w:rPr>
          <w:rFonts w:hint="eastAsia" w:ascii="宋体" w:hAnsi="宋体" w:cs="宋体"/>
          <w:lang w:val="en-US" w:eastAsia="zh-CN"/>
        </w:rPr>
        <w:t xml:space="preserve"> </w:t>
      </w:r>
      <w:r>
        <w:rPr>
          <w:rFonts w:hint="eastAsia" w:ascii="宋体" w:hAnsi="宋体" w:eastAsia="宋体" w:cs="宋体"/>
        </w:rPr>
        <w:t>GB 14443-2007</w:t>
      </w:r>
    </w:p>
    <w:p w14:paraId="7534968E">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《涂装机械通用技术条件》                                       JB/T 10452-2004 </w:t>
      </w:r>
    </w:p>
    <w:p w14:paraId="6B904DEF">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《连续输送设备安装工程施工及验收规范》                          GB 50270-2010 </w:t>
      </w:r>
    </w:p>
    <w:p w14:paraId="37530EBE">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《压缩机、风机、泵安装工程施工及验收规范》                      GB 50275-2010 </w:t>
      </w:r>
    </w:p>
    <w:p w14:paraId="5FA8D84A">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《机械安全</w:t>
      </w:r>
      <w:r>
        <w:rPr>
          <w:rFonts w:hint="eastAsia" w:ascii="宋体" w:hAnsi="宋体" w:cs="宋体"/>
          <w:lang w:eastAsia="zh-CN"/>
        </w:rPr>
        <w:t>、</w:t>
      </w:r>
      <w:r>
        <w:rPr>
          <w:rFonts w:hint="eastAsia" w:ascii="宋体" w:hAnsi="宋体" w:eastAsia="宋体" w:cs="宋体"/>
        </w:rPr>
        <w:t xml:space="preserve">机械电气设备第1部分：通用技术条件》              </w:t>
      </w:r>
      <w:r>
        <w:rPr>
          <w:rFonts w:hint="eastAsia" w:ascii="宋体" w:hAnsi="宋体" w:cs="宋体"/>
          <w:lang w:val="en-US" w:eastAsia="zh-CN"/>
        </w:rPr>
        <w:t xml:space="preserve">  </w:t>
      </w:r>
      <w:r>
        <w:rPr>
          <w:rFonts w:hint="eastAsia" w:ascii="宋体" w:hAnsi="宋体" w:eastAsia="宋体" w:cs="宋体"/>
        </w:rPr>
        <w:t>GB 52261-2019</w:t>
      </w:r>
    </w:p>
    <w:p w14:paraId="06526F27">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《电气装置安装工程低压电器施工及验收规范》                     </w:t>
      </w:r>
      <w:r>
        <w:rPr>
          <w:rFonts w:hint="eastAsia" w:ascii="宋体" w:hAnsi="宋体" w:cs="宋体"/>
          <w:lang w:val="en-US" w:eastAsia="zh-CN"/>
        </w:rPr>
        <w:t xml:space="preserve"> </w:t>
      </w:r>
      <w:r>
        <w:rPr>
          <w:rFonts w:hint="eastAsia" w:ascii="宋体" w:hAnsi="宋体" w:eastAsia="宋体" w:cs="宋体"/>
        </w:rPr>
        <w:t>GB 50254-2014</w:t>
      </w:r>
    </w:p>
    <w:p w14:paraId="00159970">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《电气装置安装工程电力变流设备施工及验收规范》                </w:t>
      </w:r>
      <w:r>
        <w:rPr>
          <w:rFonts w:hint="eastAsia" w:ascii="宋体" w:hAnsi="宋体" w:cs="宋体"/>
          <w:lang w:val="en-US" w:eastAsia="zh-CN"/>
        </w:rPr>
        <w:t xml:space="preserve"> </w:t>
      </w:r>
      <w:r>
        <w:rPr>
          <w:rFonts w:hint="eastAsia" w:ascii="宋体" w:hAnsi="宋体" w:eastAsia="宋体" w:cs="宋体"/>
        </w:rPr>
        <w:t xml:space="preserve"> GB 50255-2014</w:t>
      </w:r>
    </w:p>
    <w:p w14:paraId="59D3F0B4">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《建筑电气工程施工质量验收规范》                                GB 50303-2015</w:t>
      </w:r>
    </w:p>
    <w:p w14:paraId="4BD21138">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《自动化仪表工程施工及验收规范》                              GB/T 50093-2013</w:t>
      </w:r>
    </w:p>
    <w:p w14:paraId="03A6F28F">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《低压配电设计规范》                                            GB 50054-2011</w:t>
      </w:r>
    </w:p>
    <w:p w14:paraId="1E654AEB">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《电气装置安装工程盘、柜及二次回路接线施工及验收规范》         GB 50171-2012</w:t>
      </w:r>
    </w:p>
    <w:p w14:paraId="78C5E032">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《综合布线工程验收规范》                                        GB 50312-2016</w:t>
      </w:r>
    </w:p>
    <w:p w14:paraId="768621BC">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《电子信息系统机房设计规范》                                   </w:t>
      </w:r>
      <w:r>
        <w:rPr>
          <w:rFonts w:hint="eastAsia" w:ascii="宋体" w:hAnsi="宋体" w:cs="宋体"/>
          <w:lang w:val="en-US" w:eastAsia="zh-CN"/>
        </w:rPr>
        <w:t xml:space="preserve"> </w:t>
      </w:r>
      <w:r>
        <w:rPr>
          <w:rFonts w:hint="eastAsia" w:ascii="宋体" w:hAnsi="宋体" w:eastAsia="宋体" w:cs="宋体"/>
        </w:rPr>
        <w:t xml:space="preserve"> GB 50174-2017</w:t>
      </w:r>
    </w:p>
    <w:p w14:paraId="60F4A3E0">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《机械工厂电力设计规范》                                       </w:t>
      </w:r>
      <w:r>
        <w:rPr>
          <w:rFonts w:hint="eastAsia" w:ascii="宋体" w:hAnsi="宋体" w:eastAsia="宋体" w:cs="宋体"/>
          <w:lang w:val="en-US" w:eastAsia="zh-CN"/>
        </w:rPr>
        <w:t xml:space="preserve">   </w:t>
      </w:r>
      <w:r>
        <w:rPr>
          <w:rFonts w:hint="eastAsia" w:ascii="宋体" w:hAnsi="宋体" w:eastAsia="宋体" w:cs="宋体"/>
        </w:rPr>
        <w:t xml:space="preserve"> </w:t>
      </w:r>
      <w:r>
        <w:rPr>
          <w:rFonts w:hint="eastAsia" w:ascii="宋体" w:hAnsi="宋体" w:cs="宋体"/>
          <w:lang w:val="en-US" w:eastAsia="zh-CN"/>
        </w:rPr>
        <w:t xml:space="preserve"> </w:t>
      </w:r>
      <w:r>
        <w:rPr>
          <w:rFonts w:hint="eastAsia" w:ascii="宋体" w:hAnsi="宋体" w:eastAsia="宋体" w:cs="宋体"/>
        </w:rPr>
        <w:t>JBJ 6-2011</w:t>
      </w:r>
    </w:p>
    <w:p w14:paraId="6EBAE308">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default" w:ascii="宋体" w:hAnsi="宋体" w:eastAsia="宋体" w:cs="宋体"/>
          <w:lang w:val="en-US" w:eastAsia="zh-CN"/>
        </w:rPr>
      </w:pPr>
      <w:r>
        <w:rPr>
          <w:rFonts w:hint="eastAsia" w:ascii="宋体" w:hAnsi="宋体" w:eastAsia="宋体" w:cs="宋体"/>
        </w:rPr>
        <w:t>《摩擦驱动悬挂输送机标准》</w:t>
      </w:r>
      <w:r>
        <w:rPr>
          <w:rFonts w:hint="eastAsia" w:ascii="宋体" w:hAnsi="宋体" w:eastAsia="宋体" w:cs="宋体"/>
          <w:lang w:val="en-US" w:eastAsia="zh-CN"/>
        </w:rPr>
        <w:t xml:space="preserve">                                      </w:t>
      </w:r>
      <w:r>
        <w:rPr>
          <w:rFonts w:hint="eastAsia" w:ascii="宋体" w:hAnsi="宋体" w:eastAsia="宋体" w:cs="宋体"/>
        </w:rPr>
        <w:t>JBT 11231-2011</w:t>
      </w:r>
    </w:p>
    <w:p w14:paraId="654305EF">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default" w:ascii="宋体" w:hAnsi="宋体" w:eastAsia="宋体" w:cs="宋体"/>
          <w:lang w:val="en-US" w:eastAsia="zh-CN"/>
        </w:rPr>
      </w:pPr>
      <w:r>
        <w:rPr>
          <w:rFonts w:hint="eastAsia" w:ascii="宋体" w:hAnsi="宋体" w:eastAsia="宋体" w:cs="宋体"/>
        </w:rPr>
        <w:t>《起重机设计规范》</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lang w:val="en-US" w:eastAsia="zh-CN"/>
        </w:rPr>
        <w:t xml:space="preserve"> </w:t>
      </w:r>
      <w:r>
        <w:rPr>
          <w:rFonts w:hint="eastAsia" w:ascii="宋体" w:hAnsi="宋体" w:eastAsia="宋体" w:cs="宋体"/>
        </w:rPr>
        <w:t>GB3811-83</w:t>
      </w:r>
    </w:p>
    <w:p w14:paraId="2F8D127F">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default" w:ascii="宋体" w:hAnsi="宋体" w:eastAsia="宋体" w:cs="宋体"/>
          <w:lang w:val="en-US" w:eastAsia="zh-CN"/>
        </w:rPr>
      </w:pPr>
      <w:r>
        <w:rPr>
          <w:rFonts w:hint="eastAsia" w:ascii="宋体" w:hAnsi="宋体" w:eastAsia="宋体" w:cs="宋体"/>
        </w:rPr>
        <w:t>中Ⅲ类标准〈工业企业厂界噪声标准〉（厂界噪声）</w:t>
      </w:r>
      <w:r>
        <w:rPr>
          <w:rFonts w:hint="eastAsia" w:ascii="宋体" w:hAnsi="宋体" w:eastAsia="宋体" w:cs="宋体"/>
          <w:lang w:val="en-US" w:eastAsia="zh-CN"/>
        </w:rPr>
        <w:t xml:space="preserve">                   </w:t>
      </w:r>
      <w:r>
        <w:rPr>
          <w:rFonts w:hint="eastAsia" w:ascii="宋体" w:hAnsi="宋体" w:cs="宋体"/>
          <w:lang w:val="en-US" w:eastAsia="zh-CN"/>
        </w:rPr>
        <w:t xml:space="preserve"> </w:t>
      </w:r>
      <w:r>
        <w:rPr>
          <w:rFonts w:hint="eastAsia" w:ascii="宋体" w:hAnsi="宋体" w:eastAsia="宋体" w:cs="宋体"/>
        </w:rPr>
        <w:t>GB12348-2008</w:t>
      </w:r>
    </w:p>
    <w:p w14:paraId="13DE7A48">
      <w:pPr>
        <w:pStyle w:val="17"/>
        <w:pageBreakBefore w:val="0"/>
        <w:tabs>
          <w:tab w:val="left" w:pos="0"/>
        </w:tabs>
        <w:kinsoku/>
        <w:wordWrap/>
        <w:topLinePunct w:val="0"/>
        <w:bidi w:val="0"/>
        <w:adjustRightInd w:val="0"/>
        <w:snapToGrid w:val="0"/>
        <w:spacing w:before="0" w:after="0" w:afterAutospacing="0" w:line="360" w:lineRule="auto"/>
        <w:ind w:left="0" w:leftChars="0" w:firstLine="0" w:firstLineChars="0"/>
        <w:rPr>
          <w:rFonts w:hint="default" w:ascii="宋体" w:hAnsi="宋体" w:eastAsia="宋体" w:cs="宋体"/>
          <w:lang w:val="en-US" w:eastAsia="zh-CN"/>
        </w:rPr>
      </w:pPr>
      <w:r>
        <w:rPr>
          <w:rFonts w:hint="eastAsia" w:ascii="宋体" w:hAnsi="宋体" w:eastAsia="宋体" w:cs="宋体"/>
        </w:rPr>
        <w:t>工业企业噪声控制设计规范（厂房内）</w:t>
      </w:r>
      <w:r>
        <w:rPr>
          <w:rFonts w:hint="eastAsia" w:ascii="宋体" w:hAnsi="宋体" w:eastAsia="宋体" w:cs="宋体"/>
          <w:lang w:val="en-US" w:eastAsia="zh-CN"/>
        </w:rPr>
        <w:t xml:space="preserve">                             </w:t>
      </w:r>
      <w:r>
        <w:rPr>
          <w:rFonts w:hint="eastAsia" w:ascii="宋体" w:hAnsi="宋体" w:eastAsia="宋体" w:cs="宋体"/>
        </w:rPr>
        <w:t>GB/T 50087-2013</w:t>
      </w:r>
    </w:p>
    <w:p w14:paraId="0DB38E4A">
      <w:pPr>
        <w:pageBreakBefore w:val="0"/>
        <w:kinsoku/>
        <w:topLinePunct w:val="0"/>
        <w:bidi w:val="0"/>
        <w:adjustRightInd w:val="0"/>
        <w:snapToGrid w:val="0"/>
        <w:spacing w:afterAutospacing="0" w:line="360" w:lineRule="auto"/>
        <w:rPr>
          <w:rFonts w:hint="eastAsia"/>
        </w:rPr>
      </w:pPr>
      <w:r>
        <w:rPr>
          <w:color w:val="000000"/>
          <w:sz w:val="24"/>
        </w:rPr>
        <w:t>未提及的项目应符合设备设计制造规范和国家、行业相关标准。</w:t>
      </w:r>
    </w:p>
    <w:p w14:paraId="3F6FD355">
      <w:pPr>
        <w:pStyle w:val="17"/>
        <w:pageBreakBefore w:val="0"/>
        <w:numPr>
          <w:ilvl w:val="0"/>
          <w:numId w:val="3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设备质量要求：</w:t>
      </w:r>
    </w:p>
    <w:p w14:paraId="734ABDFB">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在调试后试运行两周内，因设备故障造成停线，</w:t>
      </w:r>
      <w:r>
        <w:rPr>
          <w:rFonts w:hint="eastAsia" w:ascii="宋体" w:hAnsi="宋体" w:cs="宋体"/>
          <w:lang w:eastAsia="zh-CN"/>
        </w:rPr>
        <w:t>投标人</w:t>
      </w:r>
      <w:r>
        <w:rPr>
          <w:rFonts w:hint="eastAsia" w:ascii="宋体" w:hAnsi="宋体" w:eastAsia="宋体" w:cs="宋体"/>
        </w:rPr>
        <w:t>10分钟内未解决设备故障，作为一次小故障记录；因设备故障造成停线，</w:t>
      </w:r>
      <w:r>
        <w:rPr>
          <w:rFonts w:hint="eastAsia" w:ascii="宋体" w:hAnsi="宋体" w:cs="宋体"/>
          <w:lang w:eastAsia="zh-CN"/>
        </w:rPr>
        <w:t>投标人</w:t>
      </w:r>
      <w:r>
        <w:rPr>
          <w:rFonts w:hint="eastAsia" w:ascii="宋体" w:hAnsi="宋体" w:eastAsia="宋体" w:cs="宋体"/>
        </w:rPr>
        <w:t>20分钟内未解决设备故障，作为一次中等故障记录；因设备故障造成停线，</w:t>
      </w:r>
      <w:r>
        <w:rPr>
          <w:rFonts w:hint="eastAsia" w:ascii="宋体" w:hAnsi="宋体" w:cs="宋体"/>
          <w:lang w:eastAsia="zh-CN"/>
        </w:rPr>
        <w:t>投标人</w:t>
      </w:r>
      <w:r>
        <w:rPr>
          <w:rFonts w:hint="eastAsia" w:ascii="宋体" w:hAnsi="宋体" w:eastAsia="宋体" w:cs="宋体"/>
        </w:rPr>
        <w:t>30分钟内未解决设备故障，作为一次大故障记录。</w:t>
      </w:r>
    </w:p>
    <w:p w14:paraId="45867E31">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在调试后试运行两周内（按</w:t>
      </w:r>
      <w:r>
        <w:rPr>
          <w:rFonts w:hint="eastAsia" w:ascii="宋体" w:hAnsi="宋体" w:cs="宋体"/>
          <w:lang w:eastAsia="zh-CN"/>
        </w:rPr>
        <w:t>招标人</w:t>
      </w:r>
      <w:r>
        <w:rPr>
          <w:rFonts w:hint="eastAsia" w:ascii="宋体" w:hAnsi="宋体" w:eastAsia="宋体" w:cs="宋体"/>
        </w:rPr>
        <w:t>排班时间或者调试计划时间连续运行，以下统称排班时间），在正常使用条件下整条生产线连续运行时间至少一个班次达10小时以上；在正常使用条件下，试运行0～4天内所有工作日按排班时间连续运行，只能出现两次小故障或一次中等故障；试运行5～9天内所有工作日按排班时间连续运行，只能出现一次小故障；试运行10～14天内所有工作日按排班时间连续运行无故障，且设备无任何缺陷（车身转接不能达到100%准确、机械机构非正常磨损、设备安装运行达不到技术要求精度、电气系统带病运行等），达不到以上要求推迟验收15天；试运行两周内所有工作日按排班时间连续运行，出现一次以上大故障，将视情况确定验收时间。</w:t>
      </w:r>
    </w:p>
    <w:p w14:paraId="3CF74D27">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b w:val="0"/>
          <w:color w:val="000000"/>
        </w:rPr>
      </w:pPr>
      <w:r>
        <w:rPr>
          <w:rFonts w:hint="eastAsia" w:ascii="宋体" w:hAnsi="宋体" w:eastAsia="宋体" w:cs="宋体"/>
        </w:rPr>
        <w:t>安装调试验收完成后运行三个月内，在正常使用条件下整条生产线单次连续运行需能</w:t>
      </w:r>
      <w:r>
        <w:rPr>
          <w:color w:val="000000"/>
        </w:rPr>
        <w:t>满足24小时连续运行；在正常使用条件下， 0～30天内所有工作日按排班时间连续运行，只能出现三次小故障，31～60天内所有工作日按排班时间连续运行，只能出现两次小故障， 61</w:t>
      </w:r>
      <w:r>
        <w:rPr>
          <w:rFonts w:hint="eastAsia"/>
          <w:color w:val="000000"/>
          <w:lang w:eastAsia="zh-CN"/>
        </w:rPr>
        <w:t>—</w:t>
      </w:r>
      <w:r>
        <w:rPr>
          <w:color w:val="000000"/>
        </w:rPr>
        <w:t>90天内所有工作日按排班时间连续运行，不允许出现任何故障，达不到以上要求将视情况推迟</w:t>
      </w:r>
      <w:r>
        <w:rPr>
          <w:rFonts w:hint="eastAsia"/>
          <w:color w:val="000000"/>
          <w:lang w:eastAsia="zh-CN"/>
        </w:rPr>
        <w:t>调试验收</w:t>
      </w:r>
      <w:r>
        <w:rPr>
          <w:color w:val="000000"/>
        </w:rPr>
        <w:t>时间。</w:t>
      </w:r>
    </w:p>
    <w:p w14:paraId="4AF5756B">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b w:val="0"/>
          <w:color w:val="000000"/>
        </w:rPr>
      </w:pPr>
      <w:r>
        <w:rPr>
          <w:color w:val="000000"/>
        </w:rPr>
        <w:t>安装调试验收后运行90天内所有工作日按排班时间连续运行，出现一次以上中等故障，将视情况推迟</w:t>
      </w:r>
      <w:r>
        <w:rPr>
          <w:rFonts w:hint="eastAsia"/>
          <w:color w:val="000000"/>
          <w:lang w:eastAsia="zh-CN"/>
        </w:rPr>
        <w:t>调试验收</w:t>
      </w:r>
      <w:r>
        <w:rPr>
          <w:color w:val="000000"/>
        </w:rPr>
        <w:t>时间。</w:t>
      </w:r>
    </w:p>
    <w:p w14:paraId="3CA4FB08">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b w:val="0"/>
          <w:color w:val="000000"/>
        </w:rPr>
      </w:pPr>
      <w:r>
        <w:rPr>
          <w:color w:val="000000"/>
        </w:rPr>
        <w:t>设备</w:t>
      </w:r>
      <w:r>
        <w:rPr>
          <w:rFonts w:hint="eastAsia"/>
          <w:color w:val="000000"/>
          <w:lang w:eastAsia="zh-CN"/>
        </w:rPr>
        <w:t>调试验收</w:t>
      </w:r>
      <w:r>
        <w:rPr>
          <w:color w:val="000000"/>
        </w:rPr>
        <w:t>前单台非标设备停台时间月累计超过30分钟的停线，将推迟一个月的</w:t>
      </w:r>
      <w:r>
        <w:rPr>
          <w:rFonts w:hint="eastAsia"/>
          <w:color w:val="000000"/>
          <w:lang w:eastAsia="zh-CN"/>
        </w:rPr>
        <w:t>调试验收</w:t>
      </w:r>
      <w:r>
        <w:rPr>
          <w:color w:val="000000"/>
        </w:rPr>
        <w:t>。设备</w:t>
      </w:r>
      <w:r>
        <w:rPr>
          <w:rFonts w:hint="eastAsia"/>
          <w:color w:val="000000"/>
          <w:lang w:eastAsia="zh-CN"/>
        </w:rPr>
        <w:t>调试验收</w:t>
      </w:r>
      <w:r>
        <w:rPr>
          <w:color w:val="000000"/>
        </w:rPr>
        <w:t>后，整个机械化输送所有设备月累计停线率≤0.1%，否则将根据情况推迟质保验收时间。</w:t>
      </w:r>
    </w:p>
    <w:p w14:paraId="4B5B90DD">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color w:val="000000"/>
        </w:rPr>
        <w:t>所有故障停线需甲乙双方确认，最终停线时间以电气控制系统显示故障报警时间</w:t>
      </w:r>
      <w:r>
        <w:rPr>
          <w:rFonts w:hint="eastAsia"/>
          <w:color w:val="000000"/>
          <w:lang w:eastAsia="zh-CN"/>
        </w:rPr>
        <w:t>为准</w:t>
      </w:r>
      <w:r>
        <w:rPr>
          <w:color w:val="000000"/>
        </w:rPr>
        <w:t>。</w:t>
      </w:r>
    </w:p>
    <w:p w14:paraId="144C140E">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在安装调试期间，所有涉及本项目内的技术资料，均须无条件提供给</w:t>
      </w:r>
      <w:r>
        <w:rPr>
          <w:rFonts w:hint="eastAsia" w:ascii="宋体" w:hAnsi="宋体" w:cs="宋体"/>
          <w:lang w:eastAsia="zh-CN"/>
        </w:rPr>
        <w:t>招标人</w:t>
      </w:r>
      <w:r>
        <w:rPr>
          <w:rFonts w:hint="eastAsia" w:ascii="宋体" w:hAnsi="宋体" w:eastAsia="宋体" w:cs="宋体"/>
        </w:rPr>
        <w:t>。不得出现加密、保密、私设密码的情况，否则</w:t>
      </w:r>
      <w:r>
        <w:rPr>
          <w:rFonts w:hint="eastAsia" w:ascii="宋体" w:hAnsi="宋体" w:cs="宋体"/>
          <w:lang w:eastAsia="zh-CN"/>
        </w:rPr>
        <w:t>招标人</w:t>
      </w:r>
      <w:r>
        <w:rPr>
          <w:rFonts w:hint="eastAsia" w:ascii="宋体" w:hAnsi="宋体" w:eastAsia="宋体" w:cs="宋体"/>
        </w:rPr>
        <w:t>将视情况推迟验收。</w:t>
      </w:r>
    </w:p>
    <w:p w14:paraId="1AE322A6">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设备安装调试完成后出厂时要求</w:t>
      </w:r>
      <w:r>
        <w:rPr>
          <w:rFonts w:hint="eastAsia" w:ascii="宋体" w:hAnsi="宋体" w:cs="宋体"/>
          <w:lang w:eastAsia="zh-CN"/>
        </w:rPr>
        <w:t>招标人</w:t>
      </w:r>
      <w:r>
        <w:rPr>
          <w:rFonts w:hint="eastAsia" w:ascii="宋体" w:hAnsi="宋体" w:eastAsia="宋体" w:cs="宋体"/>
        </w:rPr>
        <w:t>进行验收前，须满足生产厂家有关的出厂标准，且</w:t>
      </w:r>
      <w:r>
        <w:rPr>
          <w:rFonts w:hint="eastAsia" w:ascii="宋体" w:hAnsi="宋体" w:cs="宋体"/>
          <w:lang w:eastAsia="zh-CN"/>
        </w:rPr>
        <w:t>投标人</w:t>
      </w:r>
      <w:r>
        <w:rPr>
          <w:rFonts w:hint="eastAsia" w:ascii="宋体" w:hAnsi="宋体" w:eastAsia="宋体" w:cs="宋体"/>
        </w:rPr>
        <w:t>要提前向</w:t>
      </w:r>
      <w:r>
        <w:rPr>
          <w:rFonts w:hint="eastAsia" w:ascii="宋体" w:hAnsi="宋体" w:cs="宋体"/>
          <w:lang w:eastAsia="zh-CN"/>
        </w:rPr>
        <w:t>招标人</w:t>
      </w:r>
      <w:r>
        <w:rPr>
          <w:rFonts w:hint="eastAsia" w:ascii="宋体" w:hAnsi="宋体" w:eastAsia="宋体" w:cs="宋体"/>
        </w:rPr>
        <w:t>提供该标准进行审定，并提供</w:t>
      </w:r>
      <w:r>
        <w:rPr>
          <w:rFonts w:hint="eastAsia" w:ascii="宋体" w:hAnsi="宋体" w:cs="宋体"/>
          <w:lang w:eastAsia="zh-CN"/>
        </w:rPr>
        <w:t>投标人</w:t>
      </w:r>
      <w:r>
        <w:rPr>
          <w:rFonts w:hint="eastAsia" w:ascii="宋体" w:hAnsi="宋体" w:eastAsia="宋体" w:cs="宋体"/>
        </w:rPr>
        <w:t>自行质检详细报告，</w:t>
      </w:r>
      <w:r>
        <w:rPr>
          <w:rFonts w:hint="eastAsia" w:ascii="宋体" w:hAnsi="宋体" w:cs="宋体"/>
          <w:lang w:eastAsia="zh-CN"/>
        </w:rPr>
        <w:t>招标人</w:t>
      </w:r>
      <w:r>
        <w:rPr>
          <w:rFonts w:hint="eastAsia" w:ascii="宋体" w:hAnsi="宋体" w:eastAsia="宋体" w:cs="宋体"/>
        </w:rPr>
        <w:t>将按国标相关规范进行逐项审核，</w:t>
      </w:r>
      <w:r>
        <w:rPr>
          <w:rFonts w:hint="eastAsia" w:ascii="宋体" w:hAnsi="宋体" w:cs="宋体"/>
          <w:lang w:eastAsia="zh-CN"/>
        </w:rPr>
        <w:t>投标人</w:t>
      </w:r>
      <w:r>
        <w:rPr>
          <w:rFonts w:hint="eastAsia" w:ascii="宋体" w:hAnsi="宋体" w:eastAsia="宋体" w:cs="宋体"/>
        </w:rPr>
        <w:t>承担相应的质检责任。</w:t>
      </w:r>
    </w:p>
    <w:p w14:paraId="26B47E2B">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所有设备在安装调试后必须符合</w:t>
      </w:r>
      <w:r>
        <w:rPr>
          <w:rFonts w:hint="eastAsia" w:ascii="宋体" w:hAnsi="宋体" w:cs="宋体"/>
          <w:lang w:eastAsia="zh-CN"/>
        </w:rPr>
        <w:t>招标人</w:t>
      </w:r>
      <w:r>
        <w:rPr>
          <w:rFonts w:hint="eastAsia" w:ascii="宋体" w:hAnsi="宋体" w:eastAsia="宋体" w:cs="宋体"/>
        </w:rPr>
        <w:t xml:space="preserve">提出的质量、规格和性能要求。   </w:t>
      </w:r>
    </w:p>
    <w:p w14:paraId="4FEFBC21">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参与投标的设备制造商，必须仔细阅读以上设备故障及质量要求，</w:t>
      </w:r>
      <w:r>
        <w:rPr>
          <w:rFonts w:hint="eastAsia" w:ascii="宋体" w:hAnsi="宋体" w:cs="宋体"/>
          <w:lang w:eastAsia="zh-CN"/>
        </w:rPr>
        <w:t>投标人</w:t>
      </w:r>
      <w:r>
        <w:rPr>
          <w:rFonts w:hint="eastAsia" w:ascii="宋体" w:hAnsi="宋体" w:eastAsia="宋体" w:cs="宋体"/>
        </w:rPr>
        <w:t>达不到以上要求，</w:t>
      </w:r>
      <w:r>
        <w:rPr>
          <w:rFonts w:hint="eastAsia" w:ascii="宋体" w:hAnsi="宋体" w:cs="宋体"/>
          <w:lang w:eastAsia="zh-CN"/>
        </w:rPr>
        <w:t>招标人</w:t>
      </w:r>
      <w:r>
        <w:rPr>
          <w:rFonts w:hint="eastAsia" w:ascii="宋体" w:hAnsi="宋体" w:eastAsia="宋体" w:cs="宋体"/>
        </w:rPr>
        <w:t>可根据停线情况等扣除部分款项（含人工费、动能费用、计划交付影响费用）。</w:t>
      </w:r>
    </w:p>
    <w:p w14:paraId="68B0CB87">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在质量保证期外，</w:t>
      </w:r>
      <w:r>
        <w:rPr>
          <w:rFonts w:hint="eastAsia" w:ascii="宋体" w:hAnsi="宋体" w:cs="宋体"/>
          <w:lang w:eastAsia="zh-CN"/>
        </w:rPr>
        <w:t>投标人</w:t>
      </w:r>
      <w:r>
        <w:rPr>
          <w:rFonts w:hint="eastAsia" w:ascii="宋体" w:hAnsi="宋体" w:eastAsia="宋体" w:cs="宋体"/>
        </w:rPr>
        <w:t>负责标的设备的终身维修，</w:t>
      </w:r>
      <w:r>
        <w:rPr>
          <w:rFonts w:hint="eastAsia" w:ascii="宋体" w:hAnsi="宋体" w:cs="宋体"/>
          <w:lang w:eastAsia="zh-CN"/>
        </w:rPr>
        <w:t>招标人</w:t>
      </w:r>
      <w:r>
        <w:rPr>
          <w:rFonts w:hint="eastAsia" w:ascii="宋体" w:hAnsi="宋体" w:eastAsia="宋体" w:cs="宋体"/>
        </w:rPr>
        <w:t>只负责根据维修情况支付更换零件的费用。</w:t>
      </w:r>
    </w:p>
    <w:p w14:paraId="799C5A5E">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应按照</w:t>
      </w:r>
      <w:r>
        <w:rPr>
          <w:rFonts w:hint="eastAsia" w:ascii="宋体" w:hAnsi="宋体" w:cs="宋体"/>
          <w:lang w:eastAsia="zh-CN"/>
        </w:rPr>
        <w:t>招标人</w:t>
      </w:r>
      <w:r>
        <w:rPr>
          <w:rFonts w:hint="eastAsia" w:ascii="宋体" w:hAnsi="宋体" w:eastAsia="宋体" w:cs="宋体"/>
        </w:rPr>
        <w:t>指定标准或品牌采购相关零部件及材料。</w:t>
      </w:r>
    </w:p>
    <w:p w14:paraId="67CD3502">
      <w:pPr>
        <w:pStyle w:val="17"/>
        <w:pageBreakBefore w:val="0"/>
        <w:numPr>
          <w:ilvl w:val="0"/>
          <w:numId w:val="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所提供备件应符合12个月的保质期。</w:t>
      </w:r>
    </w:p>
    <w:p w14:paraId="5A8282E3">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67" w:name="_Toc17516"/>
      <w:bookmarkStart w:id="68" w:name="_Toc19753"/>
      <w:bookmarkStart w:id="69" w:name="_Toc17245_WPSOffice_Level1"/>
      <w:bookmarkStart w:id="70" w:name="_Toc11662_WPSOffice_Level1"/>
      <w:r>
        <w:rPr>
          <w:rFonts w:hint="eastAsia" w:ascii="宋体" w:hAnsi="宋体" w:eastAsia="宋体" w:cs="宋体"/>
          <w:b/>
          <w:bCs/>
        </w:rPr>
        <w:t>交货期及交货方式</w:t>
      </w:r>
      <w:bookmarkEnd w:id="67"/>
      <w:bookmarkEnd w:id="68"/>
    </w:p>
    <w:p w14:paraId="5E815CF8">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交货期与交货方式</w:t>
      </w:r>
    </w:p>
    <w:p w14:paraId="66E03C93">
      <w:pPr>
        <w:pStyle w:val="17"/>
        <w:keepNext w:val="0"/>
        <w:keepLines w:val="0"/>
        <w:pageBreakBefore w:val="0"/>
        <w:widowControl w:val="0"/>
        <w:numPr>
          <w:ilvl w:val="0"/>
          <w:numId w:val="3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b w:val="0"/>
          <w:color w:val="000000"/>
          <w:sz w:val="24"/>
          <w:szCs w:val="24"/>
        </w:rPr>
      </w:pPr>
      <w:r>
        <w:rPr>
          <w:rFonts w:hint="eastAsia" w:ascii="宋体" w:hAnsi="宋体" w:eastAsia="宋体" w:cs="宋体"/>
          <w:color w:val="000000"/>
          <w:sz w:val="24"/>
          <w:szCs w:val="24"/>
        </w:rPr>
        <w:t>交货时间：以</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书面通知为准。</w:t>
      </w:r>
    </w:p>
    <w:p w14:paraId="031DB274">
      <w:pPr>
        <w:spacing w:line="360" w:lineRule="auto"/>
        <w:rPr>
          <w:rFonts w:hint="eastAsia" w:ascii="宋体" w:hAnsi="宋体" w:cs="宋体"/>
          <w:color w:val="000000"/>
          <w:sz w:val="24"/>
          <w:szCs w:val="24"/>
          <w:lang w:eastAsia="zh-CN"/>
        </w:rPr>
      </w:pPr>
      <w:r>
        <w:rPr>
          <w:rFonts w:hint="eastAsia" w:ascii="宋体" w:hAnsi="宋体" w:eastAsia="宋体" w:cs="宋体"/>
          <w:color w:val="000000"/>
          <w:sz w:val="24"/>
          <w:szCs w:val="24"/>
        </w:rPr>
        <w:t>安装调试</w:t>
      </w:r>
      <w:r>
        <w:rPr>
          <w:rFonts w:hint="eastAsia" w:ascii="宋体" w:hAnsi="宋体" w:cs="宋体"/>
          <w:color w:val="000000"/>
          <w:sz w:val="24"/>
          <w:szCs w:val="24"/>
          <w:lang w:val="en-US" w:eastAsia="zh-CN"/>
        </w:rPr>
        <w:t>周期</w:t>
      </w:r>
      <w:r>
        <w:rPr>
          <w:rFonts w:hint="eastAsia" w:ascii="宋体" w:hAnsi="宋体" w:eastAsia="宋体" w:cs="宋体"/>
          <w:color w:val="000000"/>
          <w:sz w:val="24"/>
          <w:szCs w:val="24"/>
        </w:rPr>
        <w:t>：设备到达</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后，由</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书面通知</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赴</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安装现场进行安装、调试</w:t>
      </w:r>
      <w:r>
        <w:rPr>
          <w:rFonts w:hint="eastAsia" w:ascii="宋体" w:hAnsi="宋体" w:cs="宋体"/>
          <w:color w:val="000000"/>
          <w:sz w:val="24"/>
          <w:szCs w:val="24"/>
          <w:lang w:eastAsia="zh-CN"/>
        </w:rPr>
        <w:t>。</w:t>
      </w:r>
    </w:p>
    <w:p w14:paraId="5714695B">
      <w:pPr>
        <w:spacing w:line="360" w:lineRule="auto"/>
        <w:rPr>
          <w:sz w:val="24"/>
        </w:rPr>
      </w:pPr>
      <w:r>
        <w:rPr>
          <w:sz w:val="24"/>
        </w:rPr>
        <w:t>项目</w:t>
      </w:r>
      <w:r>
        <w:rPr>
          <w:rFonts w:hint="eastAsia"/>
          <w:sz w:val="24"/>
        </w:rPr>
        <w:t>具体工期要求</w:t>
      </w:r>
      <w:r>
        <w:rPr>
          <w:sz w:val="24"/>
        </w:rPr>
        <w:t>：</w:t>
      </w:r>
    </w:p>
    <w:p w14:paraId="66B88990">
      <w:pPr>
        <w:numPr>
          <w:ilvl w:val="0"/>
          <w:numId w:val="34"/>
        </w:numPr>
        <w:spacing w:line="360" w:lineRule="auto"/>
        <w:ind w:left="425" w:hanging="425"/>
        <w:rPr>
          <w:rFonts w:hint="eastAsia" w:ascii="宋体" w:hAnsi="宋体" w:eastAsia="宋体" w:cs="宋体"/>
          <w:color w:val="000000"/>
          <w:sz w:val="24"/>
          <w:u w:val="none"/>
        </w:rPr>
      </w:pPr>
      <w:r>
        <w:rPr>
          <w:rFonts w:hint="eastAsia" w:ascii="宋体" w:hAnsi="宋体" w:eastAsia="宋体" w:cs="宋体"/>
          <w:color w:val="000000"/>
          <w:sz w:val="24"/>
          <w:u w:val="none"/>
        </w:rPr>
        <w:t>合同签订后2个月内设备开始安装。</w:t>
      </w:r>
    </w:p>
    <w:p w14:paraId="0F70C228">
      <w:pPr>
        <w:numPr>
          <w:ilvl w:val="0"/>
          <w:numId w:val="34"/>
        </w:numPr>
        <w:spacing w:line="360" w:lineRule="auto"/>
        <w:ind w:left="425" w:hanging="425"/>
        <w:rPr>
          <w:rFonts w:hint="eastAsia" w:ascii="宋体" w:hAnsi="宋体" w:eastAsia="宋体" w:cs="宋体"/>
          <w:color w:val="000000"/>
          <w:sz w:val="24"/>
          <w:u w:val="none"/>
        </w:rPr>
      </w:pPr>
      <w:r>
        <w:rPr>
          <w:rFonts w:hint="eastAsia" w:ascii="宋体" w:hAnsi="宋体" w:eastAsia="宋体" w:cs="宋体"/>
          <w:color w:val="000000"/>
          <w:sz w:val="24"/>
          <w:u w:val="none"/>
        </w:rPr>
        <w:t>合同签订后4个月内完成设备安装。</w:t>
      </w:r>
    </w:p>
    <w:p w14:paraId="32063B0C">
      <w:pPr>
        <w:numPr>
          <w:ilvl w:val="0"/>
          <w:numId w:val="34"/>
        </w:numPr>
        <w:spacing w:line="360" w:lineRule="auto"/>
        <w:ind w:left="425" w:hanging="425"/>
        <w:rPr>
          <w:rFonts w:hint="eastAsia" w:ascii="宋体" w:hAnsi="宋体" w:eastAsia="宋体" w:cs="宋体"/>
          <w:b w:val="0"/>
          <w:bCs w:val="0"/>
          <w:color w:val="000000"/>
          <w:sz w:val="24"/>
          <w:u w:val="none"/>
        </w:rPr>
      </w:pPr>
      <w:r>
        <w:rPr>
          <w:rFonts w:hint="eastAsia" w:ascii="宋体" w:hAnsi="宋体" w:eastAsia="宋体" w:cs="宋体"/>
          <w:color w:val="000000"/>
          <w:sz w:val="24"/>
          <w:u w:val="none"/>
        </w:rPr>
        <w:t>合同签订后5个月内完成设备调试，具备产品导入条件。</w:t>
      </w:r>
    </w:p>
    <w:p w14:paraId="0AC8D38E">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项目交货地点</w:t>
      </w:r>
    </w:p>
    <w:p w14:paraId="3A911B4A">
      <w:pPr>
        <w:keepNext w:val="0"/>
        <w:keepLines w:val="0"/>
        <w:pageBreakBefore w:val="0"/>
        <w:widowControl/>
        <w:suppressLineNumbers w:val="0"/>
        <w:kinsoku/>
        <w:wordWrap/>
        <w:overflowPunct/>
        <w:topLinePunct w:val="0"/>
        <w:autoSpaceDE/>
        <w:autoSpaceDN/>
        <w:bidi w:val="0"/>
        <w:adjustRightInd w:val="0"/>
        <w:snapToGrid w:val="0"/>
        <w:spacing w:afterAutospacing="0"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w:t>
      </w:r>
      <w:r>
        <w:rPr>
          <w:rFonts w:hint="eastAsia" w:ascii="宋体" w:hAnsi="宋体" w:eastAsia="宋体" w:cs="宋体"/>
          <w:kern w:val="0"/>
          <w:sz w:val="24"/>
          <w:szCs w:val="24"/>
          <w:lang w:val="en-US" w:eastAsia="zh-CN" w:bidi="ar"/>
        </w:rPr>
        <w:t>南宁市邕宁区腾鲤路9号</w:t>
      </w:r>
      <w:r>
        <w:rPr>
          <w:rFonts w:hint="eastAsia" w:ascii="宋体" w:hAnsi="宋体" w:eastAsia="宋体" w:cs="宋体"/>
          <w:color w:val="000000"/>
          <w:sz w:val="24"/>
          <w:szCs w:val="24"/>
        </w:rPr>
        <w:t>。</w:t>
      </w:r>
    </w:p>
    <w:p w14:paraId="62013E92">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b w:val="0"/>
          <w:bCs/>
          <w:color w:val="000000"/>
          <w:sz w:val="24"/>
          <w:szCs w:val="24"/>
        </w:rPr>
        <w:t>包装</w:t>
      </w:r>
      <w:r>
        <w:rPr>
          <w:rFonts w:hint="eastAsia" w:ascii="宋体" w:hAnsi="宋体" w:eastAsia="宋体" w:cs="宋体"/>
          <w:sz w:val="24"/>
          <w:szCs w:val="24"/>
        </w:rPr>
        <w:t>运输</w:t>
      </w:r>
    </w:p>
    <w:p w14:paraId="5ADEB3D8">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所有设备一律在制造厂家制作完成，做好标识和包装后，运输到</w:t>
      </w:r>
      <w:r>
        <w:rPr>
          <w:rFonts w:hint="eastAsia" w:ascii="宋体" w:hAnsi="宋体" w:cs="宋体"/>
          <w:color w:val="000000"/>
          <w:lang w:eastAsia="zh-CN"/>
        </w:rPr>
        <w:t>招标人</w:t>
      </w:r>
      <w:r>
        <w:rPr>
          <w:rFonts w:hint="eastAsia" w:ascii="宋体" w:hAnsi="宋体" w:eastAsia="宋体" w:cs="宋体"/>
          <w:color w:val="000000"/>
        </w:rPr>
        <w:t>指定地点并落地。</w:t>
      </w:r>
    </w:p>
    <w:p w14:paraId="5FC17F31">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对设备的包装要符合国标GB/T13384《机电产品包装通用技术条件》和铁路、公路运输的有关要求，由</w:t>
      </w:r>
      <w:r>
        <w:rPr>
          <w:rFonts w:hint="eastAsia" w:ascii="宋体" w:hAnsi="宋体" w:cs="宋体"/>
          <w:color w:val="000000"/>
          <w:lang w:eastAsia="zh-CN"/>
        </w:rPr>
        <w:t>投标人</w:t>
      </w:r>
      <w:r>
        <w:rPr>
          <w:rFonts w:hint="eastAsia" w:ascii="宋体" w:hAnsi="宋体" w:eastAsia="宋体" w:cs="宋体"/>
          <w:color w:val="000000"/>
        </w:rPr>
        <w:t>组织专门的运输队伍进行运输、卸货。</w:t>
      </w:r>
    </w:p>
    <w:p w14:paraId="64DC9CBD">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所有的壁板要求在生产、运输、设备安装过程采用贴膜保护，不允许有划痕；所有的加工件制作完成后均做贴膜处理等操作以保护板材不受划伤。</w:t>
      </w:r>
    </w:p>
    <w:p w14:paraId="7DADCE02">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有责任在规定期限内将设备运送至</w:t>
      </w:r>
      <w:r>
        <w:rPr>
          <w:rFonts w:hint="eastAsia" w:ascii="宋体" w:hAnsi="宋体" w:cs="宋体"/>
          <w:color w:val="000000"/>
          <w:lang w:eastAsia="zh-CN"/>
        </w:rPr>
        <w:t>招标人</w:t>
      </w:r>
      <w:r>
        <w:rPr>
          <w:rFonts w:hint="eastAsia" w:ascii="宋体" w:hAnsi="宋体" w:eastAsia="宋体" w:cs="宋体"/>
          <w:color w:val="000000"/>
        </w:rPr>
        <w:t>指定地点并承担相关保险、运输费用，并且保证设备性能及外观在落地后保持完好。</w:t>
      </w:r>
    </w:p>
    <w:p w14:paraId="16B7F199">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在运输过程中不得出现包装破损、变形、变质和因设备包装问题导致设备本身发生变化（如生锈等）影响设备正常使用的缺陷。</w:t>
      </w:r>
    </w:p>
    <w:p w14:paraId="1874979B">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运送到现场的设备包装如捆、卷、束、堆等一般应符合5吨叉车装卸的要求，包装袋要有足够的强度，所有的包装形式一定要满足现场方便装卸的原则；</w:t>
      </w:r>
    </w:p>
    <w:p w14:paraId="4991B4A7">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防锈、防水措施：</w:t>
      </w:r>
      <w:r>
        <w:rPr>
          <w:rFonts w:hint="eastAsia" w:ascii="宋体" w:hAnsi="宋体" w:cs="宋体"/>
          <w:color w:val="000000"/>
          <w:lang w:eastAsia="zh-CN"/>
        </w:rPr>
        <w:t>招标人</w:t>
      </w:r>
      <w:r>
        <w:rPr>
          <w:rFonts w:hint="eastAsia" w:ascii="宋体" w:hAnsi="宋体" w:eastAsia="宋体" w:cs="宋体"/>
          <w:color w:val="000000"/>
        </w:rPr>
        <w:t>要求</w:t>
      </w:r>
      <w:r>
        <w:rPr>
          <w:rFonts w:hint="eastAsia" w:ascii="宋体" w:hAnsi="宋体" w:cs="宋体"/>
          <w:color w:val="000000"/>
          <w:lang w:eastAsia="zh-CN"/>
        </w:rPr>
        <w:t>投标人</w:t>
      </w:r>
      <w:r>
        <w:rPr>
          <w:rFonts w:hint="eastAsia" w:ascii="宋体" w:hAnsi="宋体" w:eastAsia="宋体" w:cs="宋体"/>
          <w:color w:val="000000"/>
        </w:rPr>
        <w:t>的设备零件等在运输过程中不产生锈蚀等质量问题，防锈能力不低于12个月，由于防锈的质量问题造成设备表面锈蚀或设备局部锈蚀时，</w:t>
      </w:r>
      <w:r>
        <w:rPr>
          <w:rFonts w:hint="eastAsia" w:ascii="宋体" w:hAnsi="宋体" w:cs="宋体"/>
          <w:color w:val="000000"/>
          <w:lang w:eastAsia="zh-CN"/>
        </w:rPr>
        <w:t>投标人</w:t>
      </w:r>
      <w:r>
        <w:rPr>
          <w:rFonts w:hint="eastAsia" w:ascii="宋体" w:hAnsi="宋体" w:eastAsia="宋体" w:cs="宋体"/>
          <w:color w:val="000000"/>
        </w:rPr>
        <w:t>要承担赔偿所有的损失。</w:t>
      </w:r>
    </w:p>
    <w:p w14:paraId="49A0FE4F">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因包装箱材质、木箱设计及制造装箱过程等所造成设备的损坏，</w:t>
      </w:r>
      <w:r>
        <w:rPr>
          <w:rFonts w:hint="eastAsia" w:ascii="宋体" w:hAnsi="宋体" w:cs="宋体"/>
          <w:color w:val="000000"/>
          <w:lang w:eastAsia="zh-CN"/>
        </w:rPr>
        <w:t>投标人</w:t>
      </w:r>
      <w:r>
        <w:rPr>
          <w:rFonts w:hint="eastAsia" w:ascii="宋体" w:hAnsi="宋体" w:eastAsia="宋体" w:cs="宋体"/>
          <w:color w:val="000000"/>
        </w:rPr>
        <w:t>对其损坏设备承担损失。</w:t>
      </w:r>
    </w:p>
    <w:p w14:paraId="6278E951">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需提供设备包装清单一份，含名称，型号，出厂编号，外形尺寸，净重、毛重。（此清单在设备进入现场前提供）。</w:t>
      </w:r>
    </w:p>
    <w:p w14:paraId="68CC8056">
      <w:pPr>
        <w:pStyle w:val="17"/>
        <w:keepNext w:val="0"/>
        <w:keepLines w:val="0"/>
        <w:pageBreakBefore w:val="0"/>
        <w:widowControl/>
        <w:numPr>
          <w:ilvl w:val="0"/>
          <w:numId w:val="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设备运输到达</w:t>
      </w:r>
      <w:r>
        <w:rPr>
          <w:rFonts w:hint="eastAsia" w:ascii="宋体" w:hAnsi="宋体" w:cs="宋体"/>
          <w:color w:val="000000"/>
          <w:lang w:eastAsia="zh-CN"/>
        </w:rPr>
        <w:t>招标人</w:t>
      </w:r>
      <w:r>
        <w:rPr>
          <w:rFonts w:hint="eastAsia" w:ascii="宋体" w:hAnsi="宋体" w:eastAsia="宋体" w:cs="宋体"/>
          <w:color w:val="000000"/>
        </w:rPr>
        <w:t>车间现场后，</w:t>
      </w:r>
      <w:r>
        <w:rPr>
          <w:rFonts w:hint="eastAsia" w:ascii="宋体" w:hAnsi="宋体" w:cs="宋体"/>
          <w:color w:val="000000"/>
          <w:lang w:eastAsia="zh-CN"/>
        </w:rPr>
        <w:t>投标人</w:t>
      </w:r>
      <w:r>
        <w:rPr>
          <w:rFonts w:hint="eastAsia" w:ascii="宋体" w:hAnsi="宋体" w:eastAsia="宋体" w:cs="宋体"/>
          <w:color w:val="000000"/>
        </w:rPr>
        <w:t>自行负责所有设备的储存及看管，丢失、损坏、安装时的损坏、意外情况发生（如丢失、淋雨、淹没等）导致设备不能正常使用，由</w:t>
      </w:r>
      <w:r>
        <w:rPr>
          <w:rFonts w:hint="eastAsia" w:ascii="宋体" w:hAnsi="宋体" w:cs="宋体"/>
          <w:color w:val="000000"/>
          <w:lang w:eastAsia="zh-CN"/>
        </w:rPr>
        <w:t>投标人</w:t>
      </w:r>
      <w:r>
        <w:rPr>
          <w:rFonts w:hint="eastAsia" w:ascii="宋体" w:hAnsi="宋体" w:eastAsia="宋体" w:cs="宋体"/>
          <w:color w:val="000000"/>
        </w:rPr>
        <w:t>免费重新配备，直至SOP。</w:t>
      </w:r>
    </w:p>
    <w:p w14:paraId="5EEAB53C">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项目人员应按照</w:t>
      </w:r>
      <w:r>
        <w:rPr>
          <w:rFonts w:hint="eastAsia" w:ascii="宋体" w:hAnsi="宋体" w:cs="宋体"/>
          <w:color w:val="000000"/>
          <w:lang w:eastAsia="zh-CN"/>
        </w:rPr>
        <w:t>招标人</w:t>
      </w:r>
      <w:r>
        <w:rPr>
          <w:rFonts w:hint="eastAsia" w:ascii="宋体" w:hAnsi="宋体" w:eastAsia="宋体" w:cs="宋体"/>
          <w:color w:val="000000"/>
        </w:rPr>
        <w:t>项目经理部总的工程进度计划要求，编制详细的项目进度计划，编制详细的施工组织方案，并在施工期间，每周按时向</w:t>
      </w:r>
      <w:r>
        <w:rPr>
          <w:rFonts w:hint="eastAsia" w:ascii="宋体" w:hAnsi="宋体" w:cs="宋体"/>
          <w:color w:val="000000"/>
          <w:lang w:eastAsia="zh-CN"/>
        </w:rPr>
        <w:t>招标人</w:t>
      </w:r>
      <w:r>
        <w:rPr>
          <w:rFonts w:hint="eastAsia" w:ascii="宋体" w:hAnsi="宋体" w:eastAsia="宋体" w:cs="宋体"/>
          <w:color w:val="000000"/>
        </w:rPr>
        <w:t>项目经理部提供书面的周报表及周计划。</w:t>
      </w:r>
    </w:p>
    <w:p w14:paraId="163A5A06">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eastAsia="zh-CN"/>
        </w:rPr>
        <w:t>投标</w:t>
      </w:r>
      <w:r>
        <w:rPr>
          <w:rFonts w:hint="eastAsia" w:ascii="宋体" w:hAnsi="宋体" w:cs="宋体"/>
          <w:color w:val="000000"/>
          <w:lang w:eastAsia="zh-CN"/>
        </w:rPr>
        <w:t>人</w:t>
      </w:r>
      <w:r>
        <w:rPr>
          <w:rFonts w:hint="eastAsia" w:ascii="宋体" w:hAnsi="宋体" w:eastAsia="宋体" w:cs="宋体"/>
          <w:color w:val="000000"/>
        </w:rPr>
        <w:t>在现场安装调试时应接受</w:t>
      </w:r>
      <w:r>
        <w:rPr>
          <w:rFonts w:hint="eastAsia" w:ascii="宋体" w:hAnsi="宋体" w:cs="宋体"/>
          <w:color w:val="000000"/>
          <w:lang w:eastAsia="zh-CN"/>
        </w:rPr>
        <w:t>招标人</w:t>
      </w:r>
      <w:r>
        <w:rPr>
          <w:rFonts w:hint="eastAsia" w:ascii="宋体" w:hAnsi="宋体" w:eastAsia="宋体" w:cs="宋体"/>
          <w:color w:val="000000"/>
        </w:rPr>
        <w:t>项目组（包括车间管理人员）的管理，及时整改安全隐患，保证做到安全施工和文明施工。</w:t>
      </w:r>
    </w:p>
    <w:p w14:paraId="19C1FDE4">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投标人在进现场施工前，应与招标人签订《安全生产环境管理协议》，设备现场安装期间应无条件接受招标人项目组的管理，保证做到安全施工和文明施工。投标人应配置并指定现场安全员，负责每天施工前的检查和施工过程的巡检，对发现的安全隐患进行及时整改。</w:t>
      </w:r>
    </w:p>
    <w:p w14:paraId="28D37736">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发生重大人员施工事故，投标人应立即做出有效处理，并按规定及时上报本单位主管部门和招标人，同时还应按政府有关部门要求处理好相关事宜。</w:t>
      </w:r>
    </w:p>
    <w:p w14:paraId="4ADC7F5A">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投标人应遵守招标人工厂的相关制度、法规、安全保卫及现场施工等相关规定。</w:t>
      </w:r>
    </w:p>
    <w:p w14:paraId="3464F47F">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投标人在施工现场不得破坏周围的公用管线和其它非本系统的设备。设备交工验收之前，投标人对其已完成的工程负有保护责任。</w:t>
      </w:r>
    </w:p>
    <w:p w14:paraId="3BF2C536">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投标人应妥善保护车间地面及设备，并承担由投标人原因造成车间地面及设备损坏或污染等修复所发生的责任和费用。</w:t>
      </w:r>
    </w:p>
    <w:p w14:paraId="7BFB5477">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投标人项目技术人员在投标人提供设备到达现场时，即进驻招标人施工现场开始工作。</w:t>
      </w:r>
    </w:p>
    <w:p w14:paraId="608DCF51">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设备制造完后，须经招标人确认后方可出厂，并由投标人负责包装、运输，运到招标人指定的地点，投标人负责所有设备的现场卸车、吊装、就位、保管等事项。</w:t>
      </w:r>
    </w:p>
    <w:p w14:paraId="27FEFB3D">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eastAsia="zh-CN"/>
        </w:rPr>
      </w:pPr>
      <w:r>
        <w:rPr>
          <w:rFonts w:hint="eastAsia" w:ascii="宋体" w:hAnsi="宋体" w:eastAsia="宋体" w:cs="宋体"/>
          <w:color w:val="000000"/>
          <w:lang w:eastAsia="zh-CN"/>
        </w:rPr>
        <w:t>设备安装过程中投标人要绝对服从招标人技术人员指挥，与相关施工单位做好配合协调，不得扯皮，如发生与招标人技术人员发生冲突等事件，招标人将以邮件形式抄送投标人总部领导。</w:t>
      </w:r>
    </w:p>
    <w:p w14:paraId="2192A43E">
      <w:pPr>
        <w:pStyle w:val="17"/>
        <w:keepNext w:val="0"/>
        <w:keepLines w:val="0"/>
        <w:pageBreakBefore w:val="0"/>
        <w:numPr>
          <w:ilvl w:val="0"/>
          <w:numId w:val="3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eastAsia="zh-CN"/>
        </w:rPr>
        <w:t>投标</w:t>
      </w:r>
      <w:r>
        <w:rPr>
          <w:rFonts w:hint="eastAsia" w:ascii="宋体" w:hAnsi="宋体" w:cs="宋体"/>
          <w:color w:val="000000"/>
          <w:lang w:eastAsia="zh-CN"/>
        </w:rPr>
        <w:t>人</w:t>
      </w:r>
      <w:r>
        <w:rPr>
          <w:rFonts w:hint="eastAsia" w:ascii="宋体" w:hAnsi="宋体" w:eastAsia="宋体" w:cs="宋体"/>
          <w:color w:val="000000"/>
        </w:rPr>
        <w:t>在</w:t>
      </w:r>
      <w:r>
        <w:rPr>
          <w:rFonts w:hint="eastAsia" w:ascii="宋体" w:hAnsi="宋体" w:cs="宋体"/>
          <w:color w:val="000000"/>
          <w:lang w:eastAsia="zh-CN"/>
        </w:rPr>
        <w:t>招标人</w:t>
      </w:r>
      <w:r>
        <w:rPr>
          <w:rFonts w:hint="eastAsia" w:ascii="宋体" w:hAnsi="宋体" w:eastAsia="宋体" w:cs="宋体"/>
          <w:color w:val="000000"/>
        </w:rPr>
        <w:t>现场安装施工时，必须严格遵守</w:t>
      </w:r>
      <w:r>
        <w:rPr>
          <w:rFonts w:hint="eastAsia" w:ascii="宋体" w:hAnsi="宋体" w:cs="宋体"/>
          <w:color w:val="000000"/>
          <w:lang w:eastAsia="zh-CN"/>
        </w:rPr>
        <w:t>招标人</w:t>
      </w:r>
      <w:r>
        <w:rPr>
          <w:rFonts w:hint="eastAsia" w:ascii="宋体" w:hAnsi="宋体" w:eastAsia="宋体" w:cs="宋体"/>
          <w:color w:val="000000"/>
        </w:rPr>
        <w:t>制定的安全、防火规定和其它规章制度，做好一切安全防护措施，遵守国家各项安全制度，文明施工。并且所有施工需符合国家相关的法律及规范的规定。</w:t>
      </w:r>
    </w:p>
    <w:p w14:paraId="71F5F55B">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71" w:name="_Toc30185"/>
      <w:bookmarkStart w:id="72" w:name="_Toc13733"/>
      <w:r>
        <w:rPr>
          <w:rFonts w:hint="eastAsia" w:ascii="宋体" w:hAnsi="宋体" w:eastAsia="宋体" w:cs="宋体"/>
          <w:b/>
          <w:bCs/>
        </w:rPr>
        <w:t>设备安装</w:t>
      </w:r>
      <w:bookmarkEnd w:id="71"/>
      <w:bookmarkEnd w:id="72"/>
    </w:p>
    <w:p w14:paraId="7B148A6F">
      <w:pPr>
        <w:pStyle w:val="17"/>
        <w:pageBreakBefore w:val="0"/>
        <w:widowControl/>
        <w:numPr>
          <w:ilvl w:val="0"/>
          <w:numId w:val="36"/>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厂家制作与调试：</w:t>
      </w:r>
    </w:p>
    <w:p w14:paraId="669E854B">
      <w:pPr>
        <w:pStyle w:val="17"/>
        <w:keepNext w:val="0"/>
        <w:keepLines w:val="0"/>
        <w:pageBreakBefore w:val="0"/>
        <w:widowControl w:val="0"/>
        <w:numPr>
          <w:ilvl w:val="0"/>
          <w:numId w:val="3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rPr>
      </w:pPr>
      <w:r>
        <w:rPr>
          <w:rFonts w:hint="eastAsia"/>
          <w:color w:val="000000"/>
          <w:lang w:eastAsia="zh-CN"/>
        </w:rPr>
        <w:t>投标人</w:t>
      </w:r>
      <w:r>
        <w:rPr>
          <w:color w:val="000000"/>
        </w:rPr>
        <w:t>项目人员应按照</w:t>
      </w:r>
      <w:r>
        <w:rPr>
          <w:rFonts w:hint="eastAsia"/>
          <w:color w:val="000000"/>
          <w:lang w:eastAsia="zh-CN"/>
        </w:rPr>
        <w:t>招标人</w:t>
      </w:r>
      <w:r>
        <w:rPr>
          <w:color w:val="000000"/>
        </w:rPr>
        <w:t>要求上报工程进度计划要求，编制详细的项目进度计划，编制详细的施工组织方案，并在施工期间，每周按时向</w:t>
      </w:r>
      <w:r>
        <w:rPr>
          <w:rFonts w:hint="eastAsia"/>
          <w:color w:val="000000"/>
          <w:lang w:eastAsia="zh-CN"/>
        </w:rPr>
        <w:t>招标人</w:t>
      </w:r>
      <w:r>
        <w:rPr>
          <w:color w:val="000000"/>
        </w:rPr>
        <w:t>项目经理部提供书面的周报表及周计划。</w:t>
      </w:r>
    </w:p>
    <w:p w14:paraId="481AA1C7">
      <w:pPr>
        <w:pStyle w:val="17"/>
        <w:keepNext w:val="0"/>
        <w:keepLines w:val="0"/>
        <w:pageBreakBefore w:val="0"/>
        <w:widowControl w:val="0"/>
        <w:numPr>
          <w:ilvl w:val="0"/>
          <w:numId w:val="3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所有设备一律在制造厂家预制完成，做好标识和包装后，运输到</w:t>
      </w:r>
      <w:r>
        <w:rPr>
          <w:rFonts w:hint="eastAsia" w:ascii="宋体" w:hAnsi="宋体" w:cs="宋体"/>
          <w:color w:val="000000"/>
          <w:lang w:eastAsia="zh-CN"/>
        </w:rPr>
        <w:t>招标人</w:t>
      </w:r>
      <w:r>
        <w:rPr>
          <w:rFonts w:hint="eastAsia" w:ascii="宋体" w:hAnsi="宋体" w:eastAsia="宋体" w:cs="宋体"/>
          <w:color w:val="000000"/>
        </w:rPr>
        <w:t>指定地点并落地，由</w:t>
      </w:r>
      <w:r>
        <w:rPr>
          <w:rFonts w:hint="eastAsia" w:ascii="宋体" w:hAnsi="宋体" w:cs="宋体"/>
          <w:color w:val="000000"/>
          <w:lang w:eastAsia="zh-CN"/>
        </w:rPr>
        <w:t>投标人</w:t>
      </w:r>
      <w:r>
        <w:rPr>
          <w:rFonts w:hint="eastAsia" w:ascii="宋体" w:hAnsi="宋体" w:eastAsia="宋体" w:cs="宋体"/>
          <w:color w:val="000000"/>
        </w:rPr>
        <w:t>负责运输至现场设备的管理。现场原则上不允许大范围的进行焊接等操作。</w:t>
      </w:r>
    </w:p>
    <w:p w14:paraId="131F6E49">
      <w:pPr>
        <w:pStyle w:val="17"/>
        <w:keepNext w:val="0"/>
        <w:keepLines w:val="0"/>
        <w:pageBreakBefore w:val="0"/>
        <w:widowControl w:val="0"/>
        <w:numPr>
          <w:ilvl w:val="0"/>
          <w:numId w:val="3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设备按预制的顺序编好号，标识在明显位置，做好保护，防止潮湿，保证不易擦掉及破损。</w:t>
      </w:r>
    </w:p>
    <w:p w14:paraId="6908F8D0">
      <w:pPr>
        <w:pStyle w:val="17"/>
        <w:pageBreakBefore w:val="0"/>
        <w:widowControl/>
        <w:numPr>
          <w:ilvl w:val="0"/>
          <w:numId w:val="36"/>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现场安装与调试</w:t>
      </w:r>
    </w:p>
    <w:p w14:paraId="51F4EDFA">
      <w:pPr>
        <w:pStyle w:val="17"/>
        <w:pageBreakBefore w:val="0"/>
        <w:widowControl/>
        <w:numPr>
          <w:ilvl w:val="0"/>
          <w:numId w:val="38"/>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应在定标后两周内制定现场详细安装调试进度表（包含原有设备的拆除方案、周期），严格按照计划施工；</w:t>
      </w:r>
      <w:r>
        <w:rPr>
          <w:rFonts w:hint="eastAsia" w:ascii="宋体" w:hAnsi="宋体" w:cs="宋体"/>
          <w:color w:val="000000"/>
          <w:lang w:eastAsia="zh-CN"/>
        </w:rPr>
        <w:t>投标人</w:t>
      </w:r>
      <w:r>
        <w:rPr>
          <w:rFonts w:hint="eastAsia" w:ascii="宋体" w:hAnsi="宋体" w:eastAsia="宋体" w:cs="宋体"/>
          <w:color w:val="000000"/>
        </w:rPr>
        <w:t>明确现场人员组织机构图，明确人员职责，</w:t>
      </w:r>
      <w:r>
        <w:rPr>
          <w:rFonts w:hint="eastAsia" w:ascii="宋体" w:hAnsi="宋体" w:cs="宋体"/>
          <w:color w:val="000000"/>
          <w:lang w:eastAsia="zh-CN"/>
        </w:rPr>
        <w:t>投标人</w:t>
      </w:r>
      <w:r>
        <w:rPr>
          <w:rFonts w:hint="eastAsia" w:ascii="宋体" w:hAnsi="宋体" w:eastAsia="宋体" w:cs="宋体"/>
          <w:color w:val="000000"/>
        </w:rPr>
        <w:t>项目经理必须经</w:t>
      </w:r>
      <w:r>
        <w:rPr>
          <w:rFonts w:hint="eastAsia" w:ascii="宋体" w:hAnsi="宋体" w:cs="宋体"/>
          <w:color w:val="000000"/>
          <w:lang w:eastAsia="zh-CN"/>
        </w:rPr>
        <w:t>招标人</w:t>
      </w:r>
      <w:r>
        <w:rPr>
          <w:rFonts w:hint="eastAsia" w:ascii="宋体" w:hAnsi="宋体" w:eastAsia="宋体" w:cs="宋体"/>
          <w:color w:val="000000"/>
        </w:rPr>
        <w:t>确认，以方便安装调试期间沟通及人员管理。</w:t>
      </w:r>
    </w:p>
    <w:p w14:paraId="34106514">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eastAsia="宋体" w:cs="宋体"/>
          <w:color w:val="000000"/>
          <w:sz w:val="24"/>
          <w:szCs w:val="24"/>
        </w:rPr>
      </w:pPr>
      <w:r>
        <w:rPr>
          <w:rFonts w:hint="eastAsia" w:ascii="宋体" w:hAnsi="宋体" w:cs="宋体"/>
          <w:color w:val="000000"/>
          <w:sz w:val="24"/>
          <w:szCs w:val="24"/>
          <w:lang w:eastAsia="zh-CN"/>
        </w:rPr>
        <w:t>投标人</w:t>
      </w:r>
      <w:r>
        <w:rPr>
          <w:rFonts w:hint="eastAsia" w:ascii="宋体" w:hAnsi="宋体" w:eastAsia="宋体" w:cs="宋体"/>
          <w:color w:val="000000"/>
          <w:sz w:val="24"/>
          <w:szCs w:val="24"/>
        </w:rPr>
        <w:t>负责现场安装调试、培训工作，调试验收后</w:t>
      </w:r>
      <w:r>
        <w:rPr>
          <w:rFonts w:hint="eastAsia" w:ascii="宋体" w:hAnsi="宋体" w:cs="宋体"/>
          <w:color w:val="000000"/>
          <w:sz w:val="24"/>
          <w:szCs w:val="24"/>
          <w:lang w:eastAsia="zh-CN"/>
        </w:rPr>
        <w:t>投标人</w:t>
      </w:r>
      <w:r>
        <w:rPr>
          <w:rFonts w:hint="eastAsia" w:ascii="宋体" w:hAnsi="宋体" w:eastAsia="宋体" w:cs="宋体"/>
          <w:color w:val="000000"/>
          <w:sz w:val="24"/>
          <w:szCs w:val="24"/>
        </w:rPr>
        <w:t>需提供机械工程师、电气工程师、高级焊工、电工各2名以及项目必需的其他人员及外购件厂家配合人员，现场服务期为6个月，同时需要提供相应的资质证书。同时，对于技术能力不足的服务人员，</w:t>
      </w:r>
      <w:r>
        <w:rPr>
          <w:rFonts w:hint="eastAsia" w:ascii="宋体" w:hAnsi="宋体" w:cs="宋体"/>
          <w:color w:val="000000"/>
          <w:sz w:val="24"/>
          <w:szCs w:val="24"/>
          <w:lang w:eastAsia="zh-CN"/>
        </w:rPr>
        <w:t>招标人</w:t>
      </w:r>
      <w:r>
        <w:rPr>
          <w:rFonts w:hint="eastAsia" w:ascii="宋体" w:hAnsi="宋体" w:eastAsia="宋体" w:cs="宋体"/>
          <w:color w:val="000000"/>
          <w:sz w:val="24"/>
          <w:szCs w:val="24"/>
        </w:rPr>
        <w:t>有权利提出更换要求，投标必须满足。</w:t>
      </w:r>
    </w:p>
    <w:p w14:paraId="1EA3D38C">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在进现场施工前，应与招标人签订《安全生产环境管理协议》，设备现场安装期间应无条件接受招标人项目组的管理，保证做到安全施工和文明施工。投标人应配置并指定现场安全员，负责每天施工前的检查和施工过程的巡检，对发现的安全隐患进行及时整改。</w:t>
      </w:r>
    </w:p>
    <w:p w14:paraId="44865CEA">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进入现场施工人员必须严格按照安全制度进行施工，服从土建总包单位、监理单位的安全管理。统一穿着施工服装，现场必须有安全防护措施（如安全帽、安全带等），如未能达到安全要求，一律不准进现场，招标人所有损失由投标人负责。</w:t>
      </w:r>
    </w:p>
    <w:p w14:paraId="004D6DD0">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进入现场所有的特种工必须持有操作资格证（如电工、焊工、登高等）。</w:t>
      </w:r>
    </w:p>
    <w:p w14:paraId="4A90BE91">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电气设备接地要求，投标人负责所有设备的接地，负责提供设备接地所需的双色线、接地排等。</w:t>
      </w:r>
    </w:p>
    <w:p w14:paraId="5BAFB338">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投标人负责电气设备所有物品的运输、落地，起吊到各安装平台上，搬运、就位和安装；在此期间如出现任何损坏由投标人负责赔偿。</w:t>
      </w:r>
    </w:p>
    <w:p w14:paraId="1E04932D">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发生重大人员伤亡事故，投标人应立即做出有效处理，并按规定及时上报本单位主管部门和招标人，同时还应按政府有关部门要求处理好相关事宜。</w:t>
      </w:r>
    </w:p>
    <w:p w14:paraId="1CC1BB95">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投标人应遵守招标人工厂的相关制度、法规、安全保卫及现场施工管理等相关规定。</w:t>
      </w:r>
    </w:p>
    <w:p w14:paraId="48B36348">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投标人在施工现场不得破坏周围的公用管线和其它非本系统的设备。设备交工验收之前，投标人对其已完成的工程负有保护责任。</w:t>
      </w:r>
    </w:p>
    <w:p w14:paraId="42C338F7">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投标人应妥善保护车间地面及设备，并承担由投标人原因造成车间地面及设备损坏或污染等修复所发生的责任和费用。</w:t>
      </w:r>
    </w:p>
    <w:p w14:paraId="03AA27E9">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投标人项目技术人员在投标人提供设备到达现场时，即进驻招标人施工现场开始工作。</w:t>
      </w:r>
    </w:p>
    <w:p w14:paraId="6E6EC47F">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设备制造完成后，须经招标人预验收后方可出厂，并由投标人负责包装、运输，运到招标人指定的地点，投标人负责所有设备的现场卸车、吊装、就位、保管等事项。</w:t>
      </w:r>
    </w:p>
    <w:p w14:paraId="1601DF7C">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设备安装过程中投标人要绝对服从招标人技术人员指挥，与相关施工单位做好配合协调，不得扯皮。</w:t>
      </w:r>
    </w:p>
    <w:p w14:paraId="1B7CDAA4">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rPr>
          <w:rFonts w:hint="eastAsia" w:ascii="宋体" w:hAnsi="宋体" w:cs="宋体"/>
          <w:color w:val="000000"/>
          <w:sz w:val="24"/>
          <w:szCs w:val="24"/>
          <w:lang w:eastAsia="zh-CN"/>
        </w:rPr>
      </w:pPr>
      <w:r>
        <w:rPr>
          <w:rFonts w:hint="eastAsia" w:ascii="宋体" w:hAnsi="宋体" w:cs="宋体"/>
          <w:color w:val="000000"/>
          <w:sz w:val="24"/>
          <w:szCs w:val="24"/>
          <w:lang w:eastAsia="zh-CN"/>
        </w:rPr>
        <w:t>投标人在招标人现场安装施工时，必须严格遵守招标人制定的安全、防火规定和其它规章制度，做好厂房墙、柱梁、地面等成品保护及一切安全防护措施，遵守国家各项安全制度，文明施工。并且所有施工需符合国家相关的法律及规范的规定。</w:t>
      </w:r>
    </w:p>
    <w:p w14:paraId="42B67D1D">
      <w:pPr>
        <w:pStyle w:val="17"/>
        <w:keepNext w:val="0"/>
        <w:keepLines w:val="0"/>
        <w:pageBreakBefore w:val="0"/>
        <w:widowControl/>
        <w:numPr>
          <w:ilvl w:val="0"/>
          <w:numId w:val="38"/>
        </w:numPr>
        <w:kinsoku/>
        <w:wordWrap/>
        <w:overflowPunct/>
        <w:topLinePunct w:val="0"/>
        <w:autoSpaceDE/>
        <w:autoSpaceDN/>
        <w:bidi w:val="0"/>
        <w:adjustRightInd w:val="0"/>
        <w:snapToGrid w:val="0"/>
        <w:spacing w:before="0" w:after="0" w:afterAutospacing="0" w:line="360" w:lineRule="auto"/>
        <w:ind w:left="0" w:leftChars="0" w:firstLine="0" w:firstLineChars="0"/>
        <w:jc w:val="left"/>
        <w:textAlignment w:val="auto"/>
      </w:pPr>
      <w:r>
        <w:rPr>
          <w:rFonts w:hint="eastAsia" w:ascii="宋体" w:hAnsi="宋体" w:cs="宋体"/>
          <w:color w:val="000000"/>
          <w:sz w:val="24"/>
          <w:szCs w:val="24"/>
          <w:lang w:eastAsia="zh-CN"/>
        </w:rPr>
        <w:t>设备在调试和试生产期间（设备安装验收前）由投标人原因出现的所有元器件损坏均由投标人负责免费提供更换；在设备安装、调试和试生产期间，因设备原因造成招标人经济损失的（包括产品报废损失、停线损失、动能损失、人工成本损失等），由投标人负责赔偿招标人。由招标人原因造成的，投标人免费提供解决方案，费用由招标人承担。</w:t>
      </w:r>
    </w:p>
    <w:p w14:paraId="73911C4A">
      <w:pPr>
        <w:pStyle w:val="17"/>
        <w:pageBreakBefore w:val="0"/>
        <w:widowControl/>
        <w:numPr>
          <w:ilvl w:val="0"/>
          <w:numId w:val="36"/>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总要求</w:t>
      </w:r>
    </w:p>
    <w:p w14:paraId="3DBF3DCD">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设备的制造及安装，原则上按照</w:t>
      </w:r>
      <w:r>
        <w:rPr>
          <w:rFonts w:hint="eastAsia" w:ascii="宋体" w:hAnsi="宋体" w:cs="宋体"/>
          <w:color w:val="000000"/>
          <w:lang w:eastAsia="zh-CN"/>
        </w:rPr>
        <w:t>招标人</w:t>
      </w:r>
      <w:r>
        <w:rPr>
          <w:rFonts w:hint="eastAsia" w:ascii="宋体" w:hAnsi="宋体" w:eastAsia="宋体" w:cs="宋体"/>
          <w:color w:val="000000"/>
        </w:rPr>
        <w:t>会签过的图纸要求进行，但不限于图纸要求；某些设备及部件经双方协商可现场配作安装，但不允许影响设备功能。</w:t>
      </w:r>
    </w:p>
    <w:p w14:paraId="2697D8BD">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设备图纸中技术问题，</w:t>
      </w:r>
      <w:r>
        <w:rPr>
          <w:rFonts w:hint="eastAsia" w:ascii="宋体" w:hAnsi="宋体" w:cs="宋体"/>
          <w:color w:val="000000"/>
          <w:lang w:eastAsia="zh-CN"/>
        </w:rPr>
        <w:t>投标人</w:t>
      </w:r>
      <w:r>
        <w:rPr>
          <w:rFonts w:hint="eastAsia" w:ascii="宋体" w:hAnsi="宋体" w:eastAsia="宋体" w:cs="宋体"/>
          <w:color w:val="000000"/>
        </w:rPr>
        <w:t>应与</w:t>
      </w:r>
      <w:r>
        <w:rPr>
          <w:rFonts w:hint="eastAsia" w:ascii="宋体" w:hAnsi="宋体" w:cs="宋体"/>
          <w:color w:val="000000"/>
          <w:lang w:eastAsia="zh-CN"/>
        </w:rPr>
        <w:t>招标人</w:t>
      </w:r>
      <w:r>
        <w:rPr>
          <w:rFonts w:hint="eastAsia" w:ascii="宋体" w:hAnsi="宋体" w:eastAsia="宋体" w:cs="宋体"/>
          <w:color w:val="000000"/>
        </w:rPr>
        <w:t>协商并积极配合解决。</w:t>
      </w:r>
    </w:p>
    <w:p w14:paraId="6C8391BE">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招标人</w:t>
      </w:r>
      <w:r>
        <w:rPr>
          <w:rFonts w:hint="eastAsia" w:ascii="宋体" w:hAnsi="宋体" w:eastAsia="宋体" w:cs="宋体"/>
          <w:color w:val="000000"/>
        </w:rPr>
        <w:t>对设备制造进行全过程监制，</w:t>
      </w:r>
      <w:r>
        <w:rPr>
          <w:rFonts w:hint="eastAsia" w:ascii="宋体" w:hAnsi="宋体" w:cs="宋体"/>
          <w:color w:val="000000"/>
          <w:lang w:eastAsia="zh-CN"/>
        </w:rPr>
        <w:t>投标人</w:t>
      </w:r>
      <w:r>
        <w:rPr>
          <w:rFonts w:hint="eastAsia" w:ascii="宋体" w:hAnsi="宋体" w:eastAsia="宋体" w:cs="宋体"/>
          <w:color w:val="000000"/>
        </w:rPr>
        <w:t>提供必要的协助，</w:t>
      </w:r>
      <w:r>
        <w:rPr>
          <w:rFonts w:hint="eastAsia" w:ascii="宋体" w:hAnsi="宋体" w:cs="宋体"/>
          <w:color w:val="000000"/>
          <w:lang w:eastAsia="zh-CN"/>
        </w:rPr>
        <w:t>投标人</w:t>
      </w:r>
      <w:r>
        <w:rPr>
          <w:rFonts w:hint="eastAsia" w:ascii="宋体" w:hAnsi="宋体" w:eastAsia="宋体" w:cs="宋体"/>
          <w:color w:val="000000"/>
        </w:rPr>
        <w:t>应在开工后确定项目联系人，为</w:t>
      </w:r>
      <w:r>
        <w:rPr>
          <w:rFonts w:hint="eastAsia" w:ascii="宋体" w:hAnsi="宋体" w:cs="宋体"/>
          <w:color w:val="000000"/>
          <w:lang w:eastAsia="zh-CN"/>
        </w:rPr>
        <w:t>招标人</w:t>
      </w:r>
      <w:r>
        <w:rPr>
          <w:rFonts w:hint="eastAsia" w:ascii="宋体" w:hAnsi="宋体" w:eastAsia="宋体" w:cs="宋体"/>
          <w:color w:val="000000"/>
        </w:rPr>
        <w:t>提供方便的交流渠道。在建设阶段发生的工程更改，必须得到</w:t>
      </w:r>
      <w:r>
        <w:rPr>
          <w:rFonts w:hint="eastAsia" w:ascii="宋体" w:hAnsi="宋体" w:cs="宋体"/>
          <w:color w:val="000000"/>
          <w:lang w:eastAsia="zh-CN"/>
        </w:rPr>
        <w:t>招标人</w:t>
      </w:r>
      <w:r>
        <w:rPr>
          <w:rFonts w:hint="eastAsia" w:ascii="宋体" w:hAnsi="宋体" w:eastAsia="宋体" w:cs="宋体"/>
          <w:color w:val="000000"/>
        </w:rPr>
        <w:t>的审批，并分析产生变更的原因，在不提高工程建设费用的前提下，严格按照</w:t>
      </w:r>
      <w:r>
        <w:rPr>
          <w:rFonts w:hint="eastAsia" w:ascii="宋体" w:hAnsi="宋体" w:cs="宋体"/>
          <w:color w:val="000000"/>
          <w:lang w:eastAsia="zh-CN"/>
        </w:rPr>
        <w:t>招标人</w:t>
      </w:r>
      <w:r>
        <w:rPr>
          <w:rFonts w:hint="eastAsia" w:ascii="宋体" w:hAnsi="宋体" w:eastAsia="宋体" w:cs="宋体"/>
          <w:color w:val="000000"/>
        </w:rPr>
        <w:t>制定的工程变更程序进行。如果在制造及安装过程中</w:t>
      </w:r>
      <w:r>
        <w:rPr>
          <w:rFonts w:hint="eastAsia" w:ascii="宋体" w:hAnsi="宋体" w:cs="宋体"/>
          <w:color w:val="000000"/>
          <w:lang w:eastAsia="zh-CN"/>
        </w:rPr>
        <w:t>招标人</w:t>
      </w:r>
      <w:r>
        <w:rPr>
          <w:rFonts w:hint="eastAsia" w:ascii="宋体" w:hAnsi="宋体" w:eastAsia="宋体" w:cs="宋体"/>
          <w:color w:val="000000"/>
        </w:rPr>
        <w:t>对方案提出更改，</w:t>
      </w:r>
      <w:r>
        <w:rPr>
          <w:rFonts w:hint="eastAsia" w:ascii="宋体" w:hAnsi="宋体" w:cs="宋体"/>
          <w:color w:val="000000"/>
          <w:lang w:eastAsia="zh-CN"/>
        </w:rPr>
        <w:t>投标人</w:t>
      </w:r>
      <w:r>
        <w:rPr>
          <w:rFonts w:hint="eastAsia" w:ascii="宋体" w:hAnsi="宋体" w:eastAsia="宋体" w:cs="宋体"/>
          <w:color w:val="000000"/>
        </w:rPr>
        <w:t>应无条件按</w:t>
      </w:r>
      <w:r>
        <w:rPr>
          <w:rFonts w:hint="eastAsia" w:ascii="宋体" w:hAnsi="宋体" w:cs="宋体"/>
          <w:color w:val="000000"/>
          <w:lang w:eastAsia="zh-CN"/>
        </w:rPr>
        <w:t>招标人</w:t>
      </w:r>
      <w:r>
        <w:rPr>
          <w:rFonts w:hint="eastAsia" w:ascii="宋体" w:hAnsi="宋体" w:eastAsia="宋体" w:cs="宋体"/>
          <w:color w:val="000000"/>
        </w:rPr>
        <w:t>要求执行。</w:t>
      </w:r>
    </w:p>
    <w:p w14:paraId="3A1D9A73">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应保证所购材料、设备与元器件的质量，</w:t>
      </w:r>
      <w:r>
        <w:rPr>
          <w:rFonts w:hint="eastAsia" w:ascii="宋体" w:hAnsi="宋体" w:cs="宋体"/>
          <w:color w:val="000000"/>
          <w:lang w:eastAsia="zh-CN"/>
        </w:rPr>
        <w:t>招标人</w:t>
      </w:r>
      <w:r>
        <w:rPr>
          <w:rFonts w:hint="eastAsia" w:ascii="宋体" w:hAnsi="宋体" w:eastAsia="宋体" w:cs="宋体"/>
          <w:color w:val="000000"/>
        </w:rPr>
        <w:t>有权对</w:t>
      </w:r>
      <w:r>
        <w:rPr>
          <w:rFonts w:hint="eastAsia" w:ascii="宋体" w:hAnsi="宋体" w:cs="宋体"/>
          <w:color w:val="000000"/>
          <w:lang w:eastAsia="zh-CN"/>
        </w:rPr>
        <w:t>投标人</w:t>
      </w:r>
      <w:r>
        <w:rPr>
          <w:rFonts w:hint="eastAsia" w:ascii="宋体" w:hAnsi="宋体" w:eastAsia="宋体" w:cs="宋体"/>
          <w:color w:val="000000"/>
        </w:rPr>
        <w:t>所购材料、设备及元器件的质量进行检查，发现质量问题，</w:t>
      </w:r>
      <w:r>
        <w:rPr>
          <w:rFonts w:hint="eastAsia" w:ascii="宋体" w:hAnsi="宋体" w:cs="宋体"/>
          <w:color w:val="000000"/>
          <w:lang w:eastAsia="zh-CN"/>
        </w:rPr>
        <w:t>招标人</w:t>
      </w:r>
      <w:r>
        <w:rPr>
          <w:rFonts w:hint="eastAsia" w:ascii="宋体" w:hAnsi="宋体" w:eastAsia="宋体" w:cs="宋体"/>
          <w:color w:val="000000"/>
        </w:rPr>
        <w:t>拒绝使用，由此造成的损失由</w:t>
      </w:r>
      <w:r>
        <w:rPr>
          <w:rFonts w:hint="eastAsia" w:ascii="宋体" w:hAnsi="宋体" w:cs="宋体"/>
          <w:color w:val="000000"/>
          <w:lang w:eastAsia="zh-CN"/>
        </w:rPr>
        <w:t>投标人</w:t>
      </w:r>
      <w:r>
        <w:rPr>
          <w:rFonts w:hint="eastAsia" w:ascii="宋体" w:hAnsi="宋体" w:eastAsia="宋体" w:cs="宋体"/>
          <w:color w:val="000000"/>
        </w:rPr>
        <w:t>负责。</w:t>
      </w:r>
    </w:p>
    <w:p w14:paraId="0463859E">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购买的材料、设备及元器件，</w:t>
      </w:r>
      <w:r>
        <w:rPr>
          <w:rFonts w:hint="eastAsia" w:ascii="宋体" w:hAnsi="宋体" w:cs="宋体"/>
          <w:color w:val="000000"/>
          <w:lang w:eastAsia="zh-CN"/>
        </w:rPr>
        <w:t>投标人</w:t>
      </w:r>
      <w:r>
        <w:rPr>
          <w:rFonts w:hint="eastAsia" w:ascii="宋体" w:hAnsi="宋体" w:eastAsia="宋体" w:cs="宋体"/>
          <w:color w:val="000000"/>
        </w:rPr>
        <w:t>应征得</w:t>
      </w:r>
      <w:r>
        <w:rPr>
          <w:rFonts w:hint="eastAsia" w:ascii="宋体" w:hAnsi="宋体" w:cs="宋体"/>
          <w:color w:val="000000"/>
          <w:lang w:eastAsia="zh-CN"/>
        </w:rPr>
        <w:t>招标人</w:t>
      </w:r>
      <w:r>
        <w:rPr>
          <w:rFonts w:hint="eastAsia" w:ascii="宋体" w:hAnsi="宋体" w:eastAsia="宋体" w:cs="宋体"/>
          <w:color w:val="000000"/>
        </w:rPr>
        <w:t>同意（包括厂家及型号选择）。</w:t>
      </w:r>
    </w:p>
    <w:p w14:paraId="00FE817C">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所有图纸及有关技术资料属</w:t>
      </w:r>
      <w:r>
        <w:rPr>
          <w:rFonts w:hint="eastAsia" w:ascii="宋体" w:hAnsi="宋体" w:cs="宋体"/>
          <w:color w:val="000000"/>
          <w:lang w:eastAsia="zh-CN"/>
        </w:rPr>
        <w:t>招标人</w:t>
      </w:r>
      <w:r>
        <w:rPr>
          <w:rFonts w:hint="eastAsia" w:ascii="宋体" w:hAnsi="宋体" w:eastAsia="宋体" w:cs="宋体"/>
          <w:color w:val="000000"/>
        </w:rPr>
        <w:t>所有。</w:t>
      </w:r>
    </w:p>
    <w:p w14:paraId="7FB42B73">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合同签订后</w:t>
      </w:r>
      <w:r>
        <w:rPr>
          <w:rFonts w:hint="eastAsia" w:ascii="宋体" w:hAnsi="宋体" w:cs="宋体"/>
          <w:color w:val="000000"/>
          <w:lang w:eastAsia="zh-CN"/>
        </w:rPr>
        <w:t>投标人</w:t>
      </w:r>
      <w:r>
        <w:rPr>
          <w:rFonts w:hint="eastAsia" w:ascii="宋体" w:hAnsi="宋体" w:eastAsia="宋体" w:cs="宋体"/>
          <w:color w:val="000000"/>
        </w:rPr>
        <w:t>应对制造安装内容作出详细的可行的制造安装网络计划。</w:t>
      </w:r>
    </w:p>
    <w:p w14:paraId="3233686E">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除非注明，</w:t>
      </w:r>
      <w:r>
        <w:rPr>
          <w:rFonts w:hint="eastAsia" w:ascii="宋体" w:hAnsi="宋体" w:cs="宋体"/>
          <w:color w:val="000000"/>
          <w:lang w:eastAsia="zh-CN"/>
        </w:rPr>
        <w:t>投标人</w:t>
      </w:r>
      <w:r>
        <w:rPr>
          <w:rFonts w:hint="eastAsia" w:ascii="宋体" w:hAnsi="宋体" w:eastAsia="宋体" w:cs="宋体"/>
          <w:color w:val="000000"/>
        </w:rPr>
        <w:t>购买外购件中所有不锈钢设备或部件材质为管材为1Cr18Ni9Ti，板材为SUS304不锈钢，</w:t>
      </w:r>
      <w:r>
        <w:rPr>
          <w:rFonts w:hint="eastAsia" w:ascii="宋体" w:hAnsi="宋体" w:cs="宋体"/>
          <w:color w:val="000000"/>
          <w:lang w:eastAsia="zh-CN"/>
        </w:rPr>
        <w:t>投标人</w:t>
      </w:r>
      <w:r>
        <w:rPr>
          <w:rFonts w:hint="eastAsia" w:ascii="宋体" w:hAnsi="宋体" w:eastAsia="宋体" w:cs="宋体"/>
          <w:color w:val="000000"/>
        </w:rPr>
        <w:t>对自己所购外购件中的材质和制造质量负责。</w:t>
      </w:r>
    </w:p>
    <w:p w14:paraId="328B891E">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在需进行材料代用时必须经</w:t>
      </w:r>
      <w:r>
        <w:rPr>
          <w:rFonts w:hint="eastAsia" w:ascii="宋体" w:hAnsi="宋体" w:cs="宋体"/>
          <w:color w:val="000000"/>
          <w:lang w:eastAsia="zh-CN"/>
        </w:rPr>
        <w:t>招标人</w:t>
      </w:r>
      <w:r>
        <w:rPr>
          <w:rFonts w:hint="eastAsia" w:ascii="宋体" w:hAnsi="宋体" w:eastAsia="宋体" w:cs="宋体"/>
          <w:color w:val="000000"/>
        </w:rPr>
        <w:t>同意。</w:t>
      </w:r>
    </w:p>
    <w:p w14:paraId="090E1201">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所有外购件中必须有内容齐全的设备铭牌，设备使用维护说明书，产品质量合格证等，这些技术资料在设备验收时完整交于</w:t>
      </w:r>
      <w:r>
        <w:rPr>
          <w:rFonts w:hint="eastAsia" w:ascii="宋体" w:hAnsi="宋体" w:cs="宋体"/>
          <w:color w:val="000000"/>
          <w:lang w:eastAsia="zh-CN"/>
        </w:rPr>
        <w:t>招标人</w:t>
      </w:r>
      <w:r>
        <w:rPr>
          <w:rFonts w:hint="eastAsia" w:ascii="宋体" w:hAnsi="宋体" w:eastAsia="宋体" w:cs="宋体"/>
          <w:color w:val="000000"/>
        </w:rPr>
        <w:t>并出竣工图。</w:t>
      </w:r>
    </w:p>
    <w:p w14:paraId="4F31720C">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应按设备设计图纸施工，如设计图纸中存在的技术问题，</w:t>
      </w:r>
      <w:r>
        <w:rPr>
          <w:rFonts w:hint="eastAsia" w:ascii="宋体" w:hAnsi="宋体" w:cs="宋体"/>
          <w:color w:val="000000"/>
          <w:lang w:eastAsia="zh-CN"/>
        </w:rPr>
        <w:t>投标人</w:t>
      </w:r>
      <w:r>
        <w:rPr>
          <w:rFonts w:hint="eastAsia" w:ascii="宋体" w:hAnsi="宋体" w:eastAsia="宋体" w:cs="宋体"/>
          <w:color w:val="000000"/>
        </w:rPr>
        <w:t>应及时与</w:t>
      </w:r>
      <w:r>
        <w:rPr>
          <w:rFonts w:hint="eastAsia" w:ascii="宋体" w:hAnsi="宋体" w:cs="宋体"/>
          <w:color w:val="000000"/>
          <w:lang w:eastAsia="zh-CN"/>
        </w:rPr>
        <w:t>招标人</w:t>
      </w:r>
      <w:r>
        <w:rPr>
          <w:rFonts w:hint="eastAsia" w:ascii="宋体" w:hAnsi="宋体" w:eastAsia="宋体" w:cs="宋体"/>
          <w:color w:val="000000"/>
        </w:rPr>
        <w:t>协商，</w:t>
      </w:r>
      <w:r>
        <w:rPr>
          <w:rFonts w:hint="eastAsia" w:ascii="宋体" w:hAnsi="宋体" w:cs="宋体"/>
          <w:color w:val="000000"/>
          <w:lang w:eastAsia="zh-CN"/>
        </w:rPr>
        <w:t>招标人</w:t>
      </w:r>
      <w:r>
        <w:rPr>
          <w:rFonts w:hint="eastAsia" w:ascii="宋体" w:hAnsi="宋体" w:eastAsia="宋体" w:cs="宋体"/>
          <w:color w:val="000000"/>
        </w:rPr>
        <w:t>应尽快予以答复。</w:t>
      </w:r>
      <w:r>
        <w:rPr>
          <w:rFonts w:hint="eastAsia" w:ascii="宋体" w:hAnsi="宋体" w:cs="宋体"/>
          <w:color w:val="000000"/>
          <w:lang w:eastAsia="zh-CN"/>
        </w:rPr>
        <w:t>投标人</w:t>
      </w:r>
      <w:r>
        <w:rPr>
          <w:rFonts w:hint="eastAsia" w:ascii="宋体" w:hAnsi="宋体" w:eastAsia="宋体" w:cs="宋体"/>
          <w:color w:val="000000"/>
        </w:rPr>
        <w:t>未经</w:t>
      </w:r>
      <w:r>
        <w:rPr>
          <w:rFonts w:hint="eastAsia" w:ascii="宋体" w:hAnsi="宋体" w:cs="宋体"/>
          <w:color w:val="000000"/>
          <w:lang w:eastAsia="zh-CN"/>
        </w:rPr>
        <w:t>招标人</w:t>
      </w:r>
      <w:r>
        <w:rPr>
          <w:rFonts w:hint="eastAsia" w:ascii="宋体" w:hAnsi="宋体" w:eastAsia="宋体" w:cs="宋体"/>
          <w:color w:val="000000"/>
        </w:rPr>
        <w:t>同意，不得修改图纸。</w:t>
      </w:r>
    </w:p>
    <w:p w14:paraId="372A6FA4">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设备安装调试过程中，</w:t>
      </w:r>
      <w:r>
        <w:rPr>
          <w:rFonts w:hint="eastAsia" w:ascii="宋体" w:hAnsi="宋体" w:cs="宋体"/>
          <w:color w:val="000000"/>
          <w:lang w:eastAsia="zh-CN"/>
        </w:rPr>
        <w:t>投标人</w:t>
      </w:r>
      <w:r>
        <w:rPr>
          <w:rFonts w:hint="eastAsia" w:ascii="宋体" w:hAnsi="宋体" w:eastAsia="宋体" w:cs="宋体"/>
          <w:color w:val="000000"/>
        </w:rPr>
        <w:t>应绝对听从</w:t>
      </w:r>
      <w:r>
        <w:rPr>
          <w:rFonts w:hint="eastAsia" w:ascii="宋体" w:hAnsi="宋体" w:cs="宋体"/>
          <w:color w:val="000000"/>
          <w:lang w:eastAsia="zh-CN"/>
        </w:rPr>
        <w:t>招标人</w:t>
      </w:r>
      <w:r>
        <w:rPr>
          <w:rFonts w:hint="eastAsia" w:ascii="宋体" w:hAnsi="宋体" w:eastAsia="宋体" w:cs="宋体"/>
          <w:color w:val="000000"/>
        </w:rPr>
        <w:t>指挥，与相关施工单位配合协调，不得扯皮。</w:t>
      </w:r>
    </w:p>
    <w:p w14:paraId="7E9A924C">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应绝对保证</w:t>
      </w:r>
      <w:r>
        <w:rPr>
          <w:rFonts w:hint="eastAsia" w:ascii="宋体" w:hAnsi="宋体" w:cs="宋体"/>
          <w:color w:val="000000"/>
          <w:lang w:eastAsia="zh-CN"/>
        </w:rPr>
        <w:t>招标人</w:t>
      </w:r>
      <w:r>
        <w:rPr>
          <w:rFonts w:hint="eastAsia" w:ascii="宋体" w:hAnsi="宋体" w:eastAsia="宋体" w:cs="宋体"/>
          <w:color w:val="000000"/>
        </w:rPr>
        <w:t>设备安装现场的环境卫生，不得在施工现场进行大面积打磨、除锈工作；生产、生活垃圾必须及时清理干净；材料设备堆放整齐，保证整个现场和安装过程中的洁净。</w:t>
      </w:r>
    </w:p>
    <w:p w14:paraId="58670603">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在</w:t>
      </w:r>
      <w:r>
        <w:rPr>
          <w:rFonts w:hint="eastAsia" w:ascii="宋体" w:hAnsi="宋体" w:cs="宋体"/>
          <w:color w:val="000000"/>
          <w:lang w:eastAsia="zh-CN"/>
        </w:rPr>
        <w:t>招标人</w:t>
      </w:r>
      <w:r>
        <w:rPr>
          <w:rFonts w:hint="eastAsia" w:ascii="宋体" w:hAnsi="宋体" w:eastAsia="宋体" w:cs="宋体"/>
          <w:color w:val="000000"/>
        </w:rPr>
        <w:t>安装现场施工时，必须严格遵守</w:t>
      </w:r>
      <w:r>
        <w:rPr>
          <w:rFonts w:hint="eastAsia" w:ascii="宋体" w:hAnsi="宋体" w:cs="宋体"/>
          <w:color w:val="000000"/>
          <w:lang w:eastAsia="zh-CN"/>
        </w:rPr>
        <w:t>招标人</w:t>
      </w:r>
      <w:r>
        <w:rPr>
          <w:rFonts w:hint="eastAsia" w:ascii="宋体" w:hAnsi="宋体" w:eastAsia="宋体" w:cs="宋体"/>
          <w:color w:val="000000"/>
        </w:rPr>
        <w:t>制定的安全、防火规定和其它规章制度，如因</w:t>
      </w:r>
      <w:r>
        <w:rPr>
          <w:rFonts w:hint="eastAsia" w:ascii="宋体" w:hAnsi="宋体" w:cs="宋体"/>
          <w:color w:val="000000"/>
          <w:lang w:eastAsia="zh-CN"/>
        </w:rPr>
        <w:t>投标人</w:t>
      </w:r>
      <w:r>
        <w:rPr>
          <w:rFonts w:hint="eastAsia" w:ascii="宋体" w:hAnsi="宋体" w:eastAsia="宋体" w:cs="宋体"/>
          <w:color w:val="000000"/>
        </w:rPr>
        <w:t>不遵守规章制度造成的各种损失由</w:t>
      </w:r>
      <w:r>
        <w:rPr>
          <w:rFonts w:hint="eastAsia" w:ascii="宋体" w:hAnsi="宋体" w:cs="宋体"/>
          <w:color w:val="000000"/>
          <w:lang w:eastAsia="zh-CN"/>
        </w:rPr>
        <w:t>投标人</w:t>
      </w:r>
      <w:r>
        <w:rPr>
          <w:rFonts w:hint="eastAsia" w:ascii="宋体" w:hAnsi="宋体" w:eastAsia="宋体" w:cs="宋体"/>
          <w:color w:val="000000"/>
        </w:rPr>
        <w:t>负责。</w:t>
      </w:r>
    </w:p>
    <w:p w14:paraId="2CF92434">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施工现场需要配备专门的清洁工每天进行现场清扫，清理。</w:t>
      </w:r>
    </w:p>
    <w:p w14:paraId="6279AB11">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进入现场施工人员必须严格按照安全制度进行施工，现场必须有安全防护措施（如安全帽、安全带等），如未能达到安全要求，一律不准进现场，</w:t>
      </w:r>
      <w:r>
        <w:rPr>
          <w:rFonts w:hint="eastAsia" w:ascii="宋体" w:hAnsi="宋体" w:cs="宋体"/>
          <w:color w:val="000000"/>
          <w:lang w:eastAsia="zh-CN"/>
        </w:rPr>
        <w:t>招标人</w:t>
      </w:r>
      <w:r>
        <w:rPr>
          <w:rFonts w:hint="eastAsia" w:ascii="宋体" w:hAnsi="宋体" w:eastAsia="宋体" w:cs="宋体"/>
          <w:color w:val="000000"/>
        </w:rPr>
        <w:t>所有损失由</w:t>
      </w:r>
      <w:r>
        <w:rPr>
          <w:rFonts w:hint="eastAsia" w:ascii="宋体" w:hAnsi="宋体" w:cs="宋体"/>
          <w:color w:val="000000"/>
          <w:lang w:eastAsia="zh-CN"/>
        </w:rPr>
        <w:t>投标人</w:t>
      </w:r>
      <w:r>
        <w:rPr>
          <w:rFonts w:hint="eastAsia" w:ascii="宋体" w:hAnsi="宋体" w:eastAsia="宋体" w:cs="宋体"/>
          <w:color w:val="000000"/>
        </w:rPr>
        <w:t>负责。</w:t>
      </w:r>
    </w:p>
    <w:p w14:paraId="40DB57E9">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使用的密封胶、密封垫、润滑剂等非金属材料必须先报</w:t>
      </w:r>
      <w:r>
        <w:rPr>
          <w:rFonts w:hint="eastAsia" w:ascii="宋体" w:hAnsi="宋体" w:cs="宋体"/>
          <w:color w:val="000000"/>
          <w:lang w:eastAsia="zh-CN"/>
        </w:rPr>
        <w:t>招标人</w:t>
      </w:r>
      <w:r>
        <w:rPr>
          <w:rFonts w:hint="eastAsia" w:ascii="宋体" w:hAnsi="宋体" w:eastAsia="宋体" w:cs="宋体"/>
          <w:color w:val="000000"/>
        </w:rPr>
        <w:t>进行不含硅酮实验或其它匹配性相关实验后，方能投入使用。否则，由此产生的一切后果由</w:t>
      </w:r>
      <w:r>
        <w:rPr>
          <w:rFonts w:hint="eastAsia" w:ascii="宋体" w:hAnsi="宋体" w:cs="宋体"/>
          <w:color w:val="000000"/>
          <w:lang w:eastAsia="zh-CN"/>
        </w:rPr>
        <w:t>投标人</w:t>
      </w:r>
      <w:r>
        <w:rPr>
          <w:rFonts w:hint="eastAsia" w:ascii="宋体" w:hAnsi="宋体" w:eastAsia="宋体" w:cs="宋体"/>
          <w:color w:val="000000"/>
        </w:rPr>
        <w:t>负责。</w:t>
      </w:r>
    </w:p>
    <w:p w14:paraId="5CC4882A">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设备在制造过程中，</w:t>
      </w:r>
      <w:r>
        <w:rPr>
          <w:rFonts w:hint="eastAsia" w:ascii="宋体" w:hAnsi="宋体" w:cs="宋体"/>
          <w:color w:val="000000"/>
          <w:lang w:eastAsia="zh-CN"/>
        </w:rPr>
        <w:t>招标人</w:t>
      </w:r>
      <w:r>
        <w:rPr>
          <w:rFonts w:hint="eastAsia" w:ascii="宋体" w:hAnsi="宋体" w:eastAsia="宋体" w:cs="宋体"/>
          <w:color w:val="000000"/>
        </w:rPr>
        <w:t>人员有权进行质量检查。</w:t>
      </w:r>
    </w:p>
    <w:p w14:paraId="3A59808F">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招标人</w:t>
      </w:r>
      <w:r>
        <w:rPr>
          <w:rFonts w:hint="eastAsia" w:ascii="宋体" w:hAnsi="宋体" w:eastAsia="宋体" w:cs="宋体"/>
          <w:color w:val="000000"/>
        </w:rPr>
        <w:t>对</w:t>
      </w:r>
      <w:r>
        <w:rPr>
          <w:rFonts w:hint="eastAsia" w:ascii="宋体" w:hAnsi="宋体" w:cs="宋体"/>
          <w:color w:val="000000"/>
          <w:lang w:eastAsia="zh-CN"/>
        </w:rPr>
        <w:t>投标人</w:t>
      </w:r>
      <w:r>
        <w:rPr>
          <w:rFonts w:hint="eastAsia" w:ascii="宋体" w:hAnsi="宋体" w:eastAsia="宋体" w:cs="宋体"/>
          <w:color w:val="000000"/>
        </w:rPr>
        <w:t>的监制和验收不能免除</w:t>
      </w:r>
      <w:r>
        <w:rPr>
          <w:rFonts w:hint="eastAsia" w:ascii="宋体" w:hAnsi="宋体" w:cs="宋体"/>
          <w:color w:val="000000"/>
          <w:lang w:eastAsia="zh-CN"/>
        </w:rPr>
        <w:t>投标人</w:t>
      </w:r>
      <w:r>
        <w:rPr>
          <w:rFonts w:hint="eastAsia" w:ascii="宋体" w:hAnsi="宋体" w:eastAsia="宋体" w:cs="宋体"/>
          <w:color w:val="000000"/>
        </w:rPr>
        <w:t>的任何责任。</w:t>
      </w:r>
    </w:p>
    <w:p w14:paraId="4A8A11AB">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所有设备仪器仪表在安装前由</w:t>
      </w:r>
      <w:r>
        <w:rPr>
          <w:rFonts w:hint="eastAsia" w:ascii="宋体" w:hAnsi="宋体" w:cs="宋体"/>
          <w:color w:val="000000"/>
          <w:lang w:eastAsia="zh-CN"/>
        </w:rPr>
        <w:t>投标人</w:t>
      </w:r>
      <w:r>
        <w:rPr>
          <w:rFonts w:hint="eastAsia" w:ascii="宋体" w:hAnsi="宋体" w:eastAsia="宋体" w:cs="宋体"/>
          <w:color w:val="000000"/>
        </w:rPr>
        <w:t>负责检验，并有第三方专业检测机构合格标识，费用由</w:t>
      </w:r>
      <w:r>
        <w:rPr>
          <w:rFonts w:hint="eastAsia" w:ascii="宋体" w:hAnsi="宋体" w:cs="宋体"/>
          <w:color w:val="000000"/>
          <w:lang w:eastAsia="zh-CN"/>
        </w:rPr>
        <w:t>投标人</w:t>
      </w:r>
      <w:r>
        <w:rPr>
          <w:rFonts w:hint="eastAsia" w:ascii="宋体" w:hAnsi="宋体" w:eastAsia="宋体" w:cs="宋体"/>
          <w:color w:val="000000"/>
        </w:rPr>
        <w:t>负责。</w:t>
      </w:r>
    </w:p>
    <w:p w14:paraId="3B675EE2">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施工结束后所有生产线、工位、辅助区段和所有功能件按施工流程图上的名称、编号配备中、英文对照的标牌，要求标牌准确、固定牢靠、美观、易于辨认、不易污染。</w:t>
      </w:r>
    </w:p>
    <w:p w14:paraId="199D09AA">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施工结束后所有设备及工位室体等内外表面及区域无灰尘、施工废料、垃圾等，施工完成后</w:t>
      </w:r>
      <w:r>
        <w:rPr>
          <w:rFonts w:hint="eastAsia" w:ascii="宋体" w:hAnsi="宋体" w:cs="宋体"/>
          <w:color w:val="000000"/>
          <w:lang w:eastAsia="zh-CN"/>
        </w:rPr>
        <w:t>招标人</w:t>
      </w:r>
      <w:r>
        <w:rPr>
          <w:rFonts w:hint="eastAsia" w:ascii="宋体" w:hAnsi="宋体" w:eastAsia="宋体" w:cs="宋体"/>
          <w:color w:val="000000"/>
        </w:rPr>
        <w:t>将对</w:t>
      </w:r>
      <w:r>
        <w:rPr>
          <w:rFonts w:hint="eastAsia" w:ascii="宋体" w:hAnsi="宋体" w:cs="宋体"/>
          <w:color w:val="000000"/>
          <w:lang w:eastAsia="zh-CN"/>
        </w:rPr>
        <w:t>投标人</w:t>
      </w:r>
      <w:r>
        <w:rPr>
          <w:rFonts w:hint="eastAsia" w:ascii="宋体" w:hAnsi="宋体" w:eastAsia="宋体" w:cs="宋体"/>
          <w:color w:val="000000"/>
        </w:rPr>
        <w:t>施工现场所有部位及区域进行5S检查，提出问题，</w:t>
      </w:r>
      <w:r>
        <w:rPr>
          <w:rFonts w:hint="eastAsia" w:ascii="宋体" w:hAnsi="宋体" w:cs="宋体"/>
          <w:color w:val="000000"/>
          <w:lang w:eastAsia="zh-CN"/>
        </w:rPr>
        <w:t>投标人</w:t>
      </w:r>
      <w:r>
        <w:rPr>
          <w:rFonts w:hint="eastAsia" w:ascii="宋体" w:hAnsi="宋体" w:eastAsia="宋体" w:cs="宋体"/>
          <w:color w:val="000000"/>
        </w:rPr>
        <w:t>应积极进行整改，否则</w:t>
      </w:r>
      <w:r>
        <w:rPr>
          <w:rFonts w:hint="eastAsia" w:ascii="宋体" w:hAnsi="宋体" w:cs="宋体"/>
          <w:color w:val="000000"/>
          <w:lang w:eastAsia="zh-CN"/>
        </w:rPr>
        <w:t>招标人</w:t>
      </w:r>
      <w:r>
        <w:rPr>
          <w:rFonts w:hint="eastAsia" w:ascii="宋体" w:hAnsi="宋体" w:eastAsia="宋体" w:cs="宋体"/>
          <w:color w:val="000000"/>
        </w:rPr>
        <w:t>将根据双方签署的《安全生产及环境管理协议书》对</w:t>
      </w:r>
      <w:r>
        <w:rPr>
          <w:rFonts w:hint="eastAsia" w:ascii="宋体" w:hAnsi="宋体" w:cs="宋体"/>
          <w:color w:val="000000"/>
          <w:lang w:eastAsia="zh-CN"/>
        </w:rPr>
        <w:t>投标人</w:t>
      </w:r>
      <w:r>
        <w:rPr>
          <w:rFonts w:hint="eastAsia" w:ascii="宋体" w:hAnsi="宋体" w:eastAsia="宋体" w:cs="宋体"/>
          <w:color w:val="000000"/>
        </w:rPr>
        <w:t>进行相应处罚。</w:t>
      </w:r>
    </w:p>
    <w:p w14:paraId="3FB284B0">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安装调试时</w:t>
      </w:r>
      <w:r>
        <w:rPr>
          <w:rFonts w:hint="eastAsia" w:ascii="宋体" w:hAnsi="宋体" w:cs="宋体"/>
          <w:color w:val="000000"/>
          <w:lang w:eastAsia="zh-CN"/>
        </w:rPr>
        <w:t>投标人</w:t>
      </w:r>
      <w:r>
        <w:rPr>
          <w:rFonts w:hint="eastAsia" w:ascii="宋体" w:hAnsi="宋体" w:eastAsia="宋体" w:cs="宋体"/>
          <w:color w:val="000000"/>
        </w:rPr>
        <w:t>必须到现场服务。</w:t>
      </w:r>
    </w:p>
    <w:p w14:paraId="66254A6C">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安装与调试必须符合国家相关标准及企业标准。</w:t>
      </w:r>
    </w:p>
    <w:p w14:paraId="703BE7A9">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安装与调试期间</w:t>
      </w:r>
      <w:r>
        <w:rPr>
          <w:rFonts w:hint="eastAsia" w:ascii="宋体" w:hAnsi="宋体" w:cs="宋体"/>
          <w:color w:val="000000"/>
          <w:lang w:eastAsia="zh-CN"/>
        </w:rPr>
        <w:t>投标人</w:t>
      </w:r>
      <w:r>
        <w:rPr>
          <w:rFonts w:hint="eastAsia" w:ascii="宋体" w:hAnsi="宋体" w:eastAsia="宋体" w:cs="宋体"/>
          <w:color w:val="000000"/>
        </w:rPr>
        <w:t>必须遵守</w:t>
      </w:r>
      <w:r>
        <w:rPr>
          <w:rFonts w:hint="eastAsia" w:ascii="宋体" w:hAnsi="宋体" w:cs="宋体"/>
          <w:color w:val="000000"/>
          <w:lang w:eastAsia="zh-CN"/>
        </w:rPr>
        <w:t>招标人</w:t>
      </w:r>
      <w:r>
        <w:rPr>
          <w:rFonts w:hint="eastAsia" w:ascii="宋体" w:hAnsi="宋体" w:eastAsia="宋体" w:cs="宋体"/>
          <w:color w:val="000000"/>
        </w:rPr>
        <w:t>的安全与现场管理相关规定。</w:t>
      </w:r>
    </w:p>
    <w:p w14:paraId="0B95F5D6">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项目时间计划</w:t>
      </w:r>
    </w:p>
    <w:p w14:paraId="70A3AA8F">
      <w:pPr>
        <w:pStyle w:val="17"/>
        <w:pageBreakBefore w:val="0"/>
        <w:widowControl/>
        <w:numPr>
          <w:ilvl w:val="0"/>
          <w:numId w:val="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设备安装、调试完成：根据</w:t>
      </w:r>
      <w:r>
        <w:rPr>
          <w:rFonts w:hint="eastAsia" w:ascii="宋体" w:hAnsi="宋体" w:cs="宋体"/>
          <w:color w:val="000000"/>
          <w:lang w:eastAsia="zh-CN"/>
        </w:rPr>
        <w:t>招标人</w:t>
      </w:r>
      <w:r>
        <w:rPr>
          <w:rFonts w:hint="eastAsia" w:ascii="宋体" w:hAnsi="宋体" w:eastAsia="宋体" w:cs="宋体"/>
          <w:color w:val="000000"/>
        </w:rPr>
        <w:t>项目计划执行，</w:t>
      </w:r>
      <w:r>
        <w:rPr>
          <w:rFonts w:hint="eastAsia" w:ascii="宋体" w:hAnsi="宋体" w:cs="宋体"/>
          <w:color w:val="000000"/>
          <w:lang w:eastAsia="zh-CN"/>
        </w:rPr>
        <w:t>投标人</w:t>
      </w:r>
      <w:r>
        <w:rPr>
          <w:rFonts w:hint="eastAsia" w:ascii="宋体" w:hAnsi="宋体" w:eastAsia="宋体" w:cs="宋体"/>
          <w:color w:val="000000"/>
        </w:rPr>
        <w:t>将根据这一完成日期制定详细的进度表。</w:t>
      </w:r>
    </w:p>
    <w:p w14:paraId="5C772BDD">
      <w:pPr>
        <w:pStyle w:val="17"/>
        <w:pageBreakBefore w:val="0"/>
        <w:widowControl/>
        <w:numPr>
          <w:ilvl w:val="0"/>
          <w:numId w:val="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进场施工前应提供满足完工日期的详细时间进度表，并指明完成项目进度要求的最迟采购日期。</w:t>
      </w:r>
    </w:p>
    <w:p w14:paraId="02A9A033">
      <w:pPr>
        <w:pStyle w:val="17"/>
        <w:pageBreakBefore w:val="0"/>
        <w:widowControl/>
        <w:numPr>
          <w:ilvl w:val="0"/>
          <w:numId w:val="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在合同签订后必须提供，外购件采购计划，及到货时间计划。</w:t>
      </w:r>
    </w:p>
    <w:p w14:paraId="6614009A">
      <w:pPr>
        <w:pStyle w:val="17"/>
        <w:pageBreakBefore w:val="0"/>
        <w:widowControl/>
        <w:numPr>
          <w:ilvl w:val="0"/>
          <w:numId w:val="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现场时间计划管理</w:t>
      </w:r>
    </w:p>
    <w:p w14:paraId="0859D340">
      <w:pPr>
        <w:pStyle w:val="17"/>
        <w:pageBreakBefore w:val="0"/>
        <w:widowControl/>
        <w:numPr>
          <w:ilvl w:val="0"/>
          <w:numId w:val="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时间计划表必须提供给</w:t>
      </w:r>
      <w:r>
        <w:rPr>
          <w:rFonts w:hint="eastAsia" w:ascii="宋体" w:hAnsi="宋体" w:cs="宋体"/>
          <w:color w:val="000000"/>
          <w:lang w:eastAsia="zh-CN"/>
        </w:rPr>
        <w:t>招标人</w:t>
      </w:r>
      <w:r>
        <w:rPr>
          <w:rFonts w:hint="eastAsia" w:ascii="宋体" w:hAnsi="宋体" w:eastAsia="宋体" w:cs="宋体"/>
          <w:color w:val="000000"/>
        </w:rPr>
        <w:t>认可。计划表中必须显示设计、制造、安装和试运行的里程碑。每周召开进度会议讨论项目的进程。</w:t>
      </w:r>
    </w:p>
    <w:p w14:paraId="38D2622A">
      <w:pPr>
        <w:pStyle w:val="17"/>
        <w:pageBreakBefore w:val="0"/>
        <w:widowControl/>
        <w:numPr>
          <w:ilvl w:val="0"/>
          <w:numId w:val="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应提供伴随时间进度表的人力图表，用于评估项目进度。</w:t>
      </w:r>
    </w:p>
    <w:p w14:paraId="159FE224">
      <w:pPr>
        <w:pStyle w:val="17"/>
        <w:pageBreakBefore w:val="0"/>
        <w:widowControl/>
        <w:numPr>
          <w:ilvl w:val="0"/>
          <w:numId w:val="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在</w:t>
      </w:r>
      <w:r>
        <w:rPr>
          <w:rFonts w:hint="eastAsia" w:ascii="宋体" w:hAnsi="宋体" w:cs="宋体"/>
          <w:color w:val="000000"/>
          <w:lang w:eastAsia="zh-CN"/>
        </w:rPr>
        <w:t>招标人</w:t>
      </w:r>
      <w:r>
        <w:rPr>
          <w:rFonts w:hint="eastAsia" w:ascii="宋体" w:hAnsi="宋体" w:eastAsia="宋体" w:cs="宋体"/>
          <w:color w:val="000000"/>
        </w:rPr>
        <w:t>认为必要时，</w:t>
      </w:r>
      <w:r>
        <w:rPr>
          <w:rFonts w:hint="eastAsia" w:ascii="宋体" w:hAnsi="宋体" w:cs="宋体"/>
          <w:color w:val="000000"/>
          <w:lang w:eastAsia="zh-CN"/>
        </w:rPr>
        <w:t>投标人</w:t>
      </w:r>
      <w:r>
        <w:rPr>
          <w:rFonts w:hint="eastAsia" w:ascii="宋体" w:hAnsi="宋体" w:eastAsia="宋体" w:cs="宋体"/>
          <w:color w:val="000000"/>
        </w:rPr>
        <w:t>应调集资源以加速某一领域的进度，如使分包商工作适度紧张，所发生的成本</w:t>
      </w:r>
      <w:r>
        <w:rPr>
          <w:rFonts w:hint="eastAsia" w:ascii="宋体" w:hAnsi="宋体" w:cs="宋体"/>
          <w:color w:val="000000"/>
          <w:lang w:eastAsia="zh-CN"/>
        </w:rPr>
        <w:t>招标人</w:t>
      </w:r>
      <w:r>
        <w:rPr>
          <w:rFonts w:hint="eastAsia" w:ascii="宋体" w:hAnsi="宋体" w:eastAsia="宋体" w:cs="宋体"/>
          <w:color w:val="000000"/>
        </w:rPr>
        <w:t>不负责。</w:t>
      </w:r>
    </w:p>
    <w:p w14:paraId="6404D3AD">
      <w:pPr>
        <w:pStyle w:val="17"/>
        <w:pageBreakBefore w:val="0"/>
        <w:widowControl/>
        <w:numPr>
          <w:ilvl w:val="0"/>
          <w:numId w:val="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工程延期应立即通知</w:t>
      </w:r>
      <w:r>
        <w:rPr>
          <w:rFonts w:hint="eastAsia" w:ascii="宋体" w:hAnsi="宋体" w:cs="宋体"/>
          <w:color w:val="000000"/>
          <w:lang w:eastAsia="zh-CN"/>
        </w:rPr>
        <w:t>招标人</w:t>
      </w:r>
      <w:r>
        <w:rPr>
          <w:rFonts w:hint="eastAsia" w:ascii="宋体" w:hAnsi="宋体" w:eastAsia="宋体" w:cs="宋体"/>
          <w:color w:val="000000"/>
        </w:rPr>
        <w:t>进行重新评价。</w:t>
      </w:r>
      <w:r>
        <w:rPr>
          <w:rFonts w:hint="eastAsia" w:ascii="宋体" w:hAnsi="宋体" w:cs="宋体"/>
          <w:color w:val="000000"/>
          <w:lang w:eastAsia="zh-CN"/>
        </w:rPr>
        <w:t>招标人</w:t>
      </w:r>
      <w:r>
        <w:rPr>
          <w:rFonts w:hint="eastAsia" w:ascii="宋体" w:hAnsi="宋体" w:eastAsia="宋体" w:cs="宋体"/>
          <w:color w:val="000000"/>
        </w:rPr>
        <w:t>接受工程延期报告并不意味着同意延期也不意味为此支付费用。延期发生后48小时之后，</w:t>
      </w:r>
      <w:r>
        <w:rPr>
          <w:rFonts w:hint="eastAsia" w:ascii="宋体" w:hAnsi="宋体" w:cs="宋体"/>
          <w:color w:val="000000"/>
          <w:lang w:eastAsia="zh-CN"/>
        </w:rPr>
        <w:t>招标人</w:t>
      </w:r>
      <w:r>
        <w:rPr>
          <w:rFonts w:hint="eastAsia" w:ascii="宋体" w:hAnsi="宋体" w:eastAsia="宋体" w:cs="宋体"/>
          <w:color w:val="000000"/>
        </w:rPr>
        <w:t>不会接受延期报告。</w:t>
      </w:r>
    </w:p>
    <w:p w14:paraId="2116722B">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73" w:name="_Toc25207"/>
      <w:bookmarkStart w:id="74" w:name="_Toc24469"/>
      <w:r>
        <w:rPr>
          <w:rFonts w:hint="eastAsia" w:ascii="宋体" w:hAnsi="宋体" w:eastAsia="宋体" w:cs="宋体"/>
          <w:b/>
          <w:bCs/>
        </w:rPr>
        <w:t>图纸会签与验收</w:t>
      </w:r>
      <w:bookmarkEnd w:id="73"/>
      <w:bookmarkEnd w:id="74"/>
    </w:p>
    <w:p w14:paraId="36BAC030">
      <w:pPr>
        <w:pStyle w:val="3"/>
        <w:pageBreakBefore w:val="0"/>
        <w:numPr>
          <w:ilvl w:val="0"/>
          <w:numId w:val="4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图纸会签</w:t>
      </w:r>
    </w:p>
    <w:p w14:paraId="05D667A1">
      <w:pPr>
        <w:pStyle w:val="17"/>
        <w:pageBreakBefore w:val="0"/>
        <w:numPr>
          <w:ilvl w:val="0"/>
          <w:numId w:val="43"/>
        </w:numPr>
        <w:kinsoku/>
        <w:topLinePunct w:val="0"/>
        <w:bidi w:val="0"/>
        <w:adjustRightInd w:val="0"/>
        <w:snapToGrid w:val="0"/>
        <w:spacing w:before="0" w:after="0" w:afterAutospacing="0" w:line="360" w:lineRule="auto"/>
        <w:ind w:firstLineChars="0"/>
        <w:rPr>
          <w:rFonts w:hint="eastAsia" w:ascii="宋体" w:hAnsi="宋体" w:cs="宋体"/>
          <w:color w:val="000000"/>
        </w:rPr>
      </w:pPr>
      <w:r>
        <w:rPr>
          <w:rFonts w:hint="eastAsia" w:ascii="宋体" w:hAnsi="宋体" w:cs="宋体"/>
          <w:color w:val="000000"/>
          <w:lang w:eastAsia="zh-CN"/>
        </w:rPr>
        <w:t>投标人</w:t>
      </w:r>
      <w:r>
        <w:rPr>
          <w:rFonts w:hint="eastAsia" w:ascii="宋体" w:hAnsi="宋体" w:eastAsia="宋体" w:cs="宋体"/>
          <w:color w:val="000000"/>
        </w:rPr>
        <w:t>图纸设计完成后将图纸发送给</w:t>
      </w:r>
      <w:r>
        <w:rPr>
          <w:rFonts w:hint="eastAsia" w:ascii="宋体" w:hAnsi="宋体" w:cs="宋体"/>
          <w:color w:val="000000"/>
          <w:lang w:eastAsia="zh-CN"/>
        </w:rPr>
        <w:t>招标人</w:t>
      </w:r>
      <w:r>
        <w:rPr>
          <w:rFonts w:hint="eastAsia" w:ascii="宋体" w:hAnsi="宋体" w:eastAsia="宋体" w:cs="宋体"/>
          <w:color w:val="000000"/>
        </w:rPr>
        <w:t>，并以书面方式通知</w:t>
      </w:r>
      <w:r>
        <w:rPr>
          <w:rFonts w:hint="eastAsia" w:ascii="宋体" w:hAnsi="宋体" w:cs="宋体"/>
          <w:color w:val="000000"/>
          <w:lang w:eastAsia="zh-CN"/>
        </w:rPr>
        <w:t>招标人</w:t>
      </w:r>
      <w:r>
        <w:rPr>
          <w:rFonts w:hint="eastAsia" w:ascii="宋体" w:hAnsi="宋体" w:eastAsia="宋体" w:cs="宋体"/>
          <w:color w:val="000000"/>
        </w:rPr>
        <w:t>进行图纸会签，以便于</w:t>
      </w:r>
      <w:r>
        <w:rPr>
          <w:rFonts w:hint="eastAsia" w:ascii="宋体" w:hAnsi="宋体" w:cs="宋体"/>
          <w:color w:val="000000"/>
          <w:lang w:eastAsia="zh-CN"/>
        </w:rPr>
        <w:t>招标人</w:t>
      </w:r>
      <w:r>
        <w:rPr>
          <w:rFonts w:hint="eastAsia" w:ascii="宋体" w:hAnsi="宋体" w:eastAsia="宋体" w:cs="宋体"/>
          <w:color w:val="000000"/>
        </w:rPr>
        <w:t>进行会签前准备工作。</w:t>
      </w:r>
    </w:p>
    <w:p w14:paraId="0B94C019">
      <w:pPr>
        <w:pStyle w:val="17"/>
        <w:pageBreakBefore w:val="0"/>
        <w:numPr>
          <w:ilvl w:val="0"/>
          <w:numId w:val="43"/>
        </w:numPr>
        <w:kinsoku/>
        <w:topLinePunct w:val="0"/>
        <w:bidi w:val="0"/>
        <w:adjustRightInd w:val="0"/>
        <w:snapToGrid w:val="0"/>
        <w:spacing w:before="0" w:after="0" w:afterAutospacing="0" w:line="360" w:lineRule="auto"/>
        <w:ind w:leftChars="0" w:firstLine="0" w:firstLineChars="0"/>
        <w:rPr>
          <w:rFonts w:hint="eastAsia"/>
        </w:rPr>
      </w:pPr>
      <w:r>
        <w:rPr>
          <w:rFonts w:hint="eastAsia" w:ascii="宋体" w:hAnsi="宋体" w:eastAsia="宋体" w:cs="宋体"/>
          <w:color w:val="000000"/>
        </w:rPr>
        <w:t>会签地点：</w:t>
      </w:r>
      <w:r>
        <w:rPr>
          <w:rFonts w:hint="eastAsia" w:ascii="宋体" w:hAnsi="宋体" w:cs="宋体"/>
          <w:color w:val="000000"/>
          <w:lang w:eastAsia="zh-CN"/>
        </w:rPr>
        <w:t>招标人</w:t>
      </w:r>
      <w:r>
        <w:rPr>
          <w:rFonts w:hint="eastAsia" w:ascii="宋体" w:hAnsi="宋体" w:eastAsia="宋体" w:cs="宋体"/>
          <w:color w:val="000000"/>
        </w:rPr>
        <w:t>工厂。</w:t>
      </w:r>
    </w:p>
    <w:p w14:paraId="207AEA43">
      <w:pPr>
        <w:pStyle w:val="3"/>
        <w:keepNext w:val="0"/>
        <w:keepLines w:val="0"/>
        <w:pageBreakBefore w:val="0"/>
        <w:numPr>
          <w:ilvl w:val="0"/>
          <w:numId w:val="42"/>
        </w:numPr>
        <w:kinsoku/>
        <w:overflowPunct/>
        <w:topLinePunct w:val="0"/>
        <w:bidi w:val="0"/>
        <w:adjustRightInd w:val="0"/>
        <w:snapToGrid w:val="0"/>
        <w:spacing w:before="0" w:afterAutospacing="0" w:line="360" w:lineRule="auto"/>
        <w:ind w:left="0" w:leftChars="0" w:firstLine="0" w:firstLineChars="0"/>
        <w:rPr>
          <w:rFonts w:hint="eastAsia" w:ascii="宋体" w:hAnsi="宋体" w:eastAsia="宋体" w:cs="宋体"/>
          <w:b/>
          <w:sz w:val="24"/>
          <w:szCs w:val="24"/>
        </w:rPr>
      </w:pPr>
      <w:bookmarkStart w:id="75" w:name="_Toc9315"/>
      <w:r>
        <w:rPr>
          <w:rFonts w:hint="eastAsia" w:ascii="宋体" w:hAnsi="宋体" w:eastAsia="宋体" w:cs="宋体"/>
          <w:sz w:val="24"/>
          <w:szCs w:val="24"/>
        </w:rPr>
        <w:t>验收方式</w:t>
      </w:r>
    </w:p>
    <w:p w14:paraId="13424B24">
      <w:pPr>
        <w:pStyle w:val="17"/>
        <w:keepNext w:val="0"/>
        <w:keepLines w:val="0"/>
        <w:pageBreakBefore w:val="0"/>
        <w:widowControl w:val="0"/>
        <w:numPr>
          <w:ilvl w:val="0"/>
          <w:numId w:val="44"/>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color w:val="000000"/>
          <w:lang w:eastAsia="zh-CN"/>
        </w:rPr>
        <w:t>入场</w:t>
      </w:r>
      <w:r>
        <w:rPr>
          <w:color w:val="000000"/>
        </w:rPr>
        <w:t>验收、设备安装验收、设备</w:t>
      </w:r>
      <w:r>
        <w:rPr>
          <w:rFonts w:hint="eastAsia"/>
          <w:color w:val="000000"/>
          <w:lang w:eastAsia="zh-CN"/>
        </w:rPr>
        <w:t>调试验</w:t>
      </w:r>
      <w:r>
        <w:rPr>
          <w:color w:val="000000"/>
        </w:rPr>
        <w:t>收</w:t>
      </w:r>
      <w:r>
        <w:rPr>
          <w:rFonts w:hint="eastAsia"/>
          <w:color w:val="000000"/>
          <w:lang w:eastAsia="zh-CN"/>
        </w:rPr>
        <w:t>、质保验收</w:t>
      </w:r>
      <w:r>
        <w:rPr>
          <w:color w:val="000000"/>
        </w:rPr>
        <w:t>。验收标准由</w:t>
      </w:r>
      <w:r>
        <w:rPr>
          <w:rFonts w:hint="eastAsia"/>
          <w:color w:val="000000"/>
          <w:lang w:eastAsia="zh-CN"/>
        </w:rPr>
        <w:t>招标人</w:t>
      </w:r>
      <w:r>
        <w:rPr>
          <w:color w:val="000000"/>
        </w:rPr>
        <w:t>提出，</w:t>
      </w:r>
      <w:r>
        <w:rPr>
          <w:rFonts w:hint="eastAsia"/>
          <w:color w:val="000000"/>
          <w:lang w:eastAsia="zh-CN"/>
        </w:rPr>
        <w:t>投标人</w:t>
      </w:r>
      <w:r>
        <w:rPr>
          <w:color w:val="000000"/>
        </w:rPr>
        <w:t>必须提供</w:t>
      </w:r>
      <w:r>
        <w:rPr>
          <w:rFonts w:hint="eastAsia"/>
          <w:color w:val="000000"/>
          <w:lang w:eastAsia="zh-CN"/>
        </w:rPr>
        <w:t>招标人</w:t>
      </w:r>
      <w:r>
        <w:rPr>
          <w:color w:val="000000"/>
        </w:rPr>
        <w:t>验收标准内要求的资料，有异议时可协商处理。</w:t>
      </w:r>
    </w:p>
    <w:p w14:paraId="2B32806D">
      <w:pPr>
        <w:pStyle w:val="17"/>
        <w:keepNext w:val="0"/>
        <w:keepLines w:val="0"/>
        <w:pageBreakBefore w:val="0"/>
        <w:widowControl w:val="0"/>
        <w:numPr>
          <w:ilvl w:val="0"/>
          <w:numId w:val="44"/>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color w:val="000000"/>
          <w:lang w:eastAsia="zh-CN"/>
        </w:rPr>
        <w:t>投标人</w:t>
      </w:r>
      <w:r>
        <w:rPr>
          <w:color w:val="000000"/>
        </w:rPr>
        <w:t>在制造过程中，当进行到以下几种过程时</w:t>
      </w:r>
      <w:r>
        <w:rPr>
          <w:rFonts w:hint="eastAsia"/>
          <w:color w:val="000000"/>
          <w:lang w:eastAsia="zh-CN"/>
        </w:rPr>
        <w:t>（</w:t>
      </w:r>
      <w:r>
        <w:rPr>
          <w:color w:val="000000"/>
        </w:rPr>
        <w:t>大件焊接、外表抛丸等），</w:t>
      </w:r>
      <w:r>
        <w:rPr>
          <w:rFonts w:hint="eastAsia"/>
          <w:color w:val="000000"/>
          <w:lang w:eastAsia="zh-CN"/>
        </w:rPr>
        <w:t>投标人</w:t>
      </w:r>
      <w:r>
        <w:rPr>
          <w:color w:val="000000"/>
        </w:rPr>
        <w:t>应提前一周向</w:t>
      </w:r>
      <w:r>
        <w:rPr>
          <w:rFonts w:hint="eastAsia"/>
          <w:color w:val="000000"/>
          <w:lang w:eastAsia="zh-CN"/>
        </w:rPr>
        <w:t>招标人</w:t>
      </w:r>
      <w:r>
        <w:rPr>
          <w:color w:val="000000"/>
        </w:rPr>
        <w:t>出具书面通知，待</w:t>
      </w:r>
      <w:r>
        <w:rPr>
          <w:rFonts w:hint="eastAsia"/>
          <w:color w:val="000000"/>
          <w:lang w:eastAsia="zh-CN"/>
        </w:rPr>
        <w:t>招标人</w:t>
      </w:r>
      <w:r>
        <w:rPr>
          <w:color w:val="000000"/>
        </w:rPr>
        <w:t>到达现场，</w:t>
      </w:r>
      <w:r>
        <w:rPr>
          <w:rFonts w:hint="eastAsia"/>
          <w:color w:val="000000"/>
          <w:lang w:eastAsia="zh-CN"/>
        </w:rPr>
        <w:t>投标人</w:t>
      </w:r>
      <w:r>
        <w:rPr>
          <w:color w:val="000000"/>
        </w:rPr>
        <w:t>方可进行。</w:t>
      </w:r>
      <w:r>
        <w:rPr>
          <w:rFonts w:hint="eastAsia"/>
          <w:color w:val="000000"/>
          <w:lang w:eastAsia="zh-CN"/>
        </w:rPr>
        <w:t>招标人</w:t>
      </w:r>
      <w:r>
        <w:rPr>
          <w:color w:val="000000"/>
        </w:rPr>
        <w:t>在监制过程中，</w:t>
      </w:r>
      <w:r>
        <w:rPr>
          <w:rFonts w:hint="eastAsia"/>
          <w:color w:val="000000"/>
          <w:lang w:eastAsia="zh-CN"/>
        </w:rPr>
        <w:t>投标人</w:t>
      </w:r>
      <w:r>
        <w:rPr>
          <w:color w:val="000000"/>
        </w:rPr>
        <w:t>应提供条件。</w:t>
      </w:r>
    </w:p>
    <w:p w14:paraId="1D7C8FCC">
      <w:pPr>
        <w:pStyle w:val="17"/>
        <w:keepNext w:val="0"/>
        <w:keepLines w:val="0"/>
        <w:pageBreakBefore w:val="0"/>
        <w:widowControl w:val="0"/>
        <w:numPr>
          <w:ilvl w:val="0"/>
          <w:numId w:val="44"/>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color w:val="000000"/>
          <w:lang w:eastAsia="zh-CN"/>
        </w:rPr>
        <w:t>投标人</w:t>
      </w:r>
      <w:r>
        <w:rPr>
          <w:color w:val="000000"/>
        </w:rPr>
        <w:t>制造过程中，主要配套件要有齐全的合格证。</w:t>
      </w:r>
    </w:p>
    <w:p w14:paraId="608B0B35">
      <w:pPr>
        <w:pStyle w:val="17"/>
        <w:keepNext w:val="0"/>
        <w:keepLines w:val="0"/>
        <w:pageBreakBefore w:val="0"/>
        <w:widowControl w:val="0"/>
        <w:numPr>
          <w:ilvl w:val="0"/>
          <w:numId w:val="44"/>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color w:val="000000"/>
          <w:lang w:eastAsia="zh-CN"/>
        </w:rPr>
        <w:t>投标人在</w:t>
      </w:r>
      <w:r>
        <w:rPr>
          <w:color w:val="000000"/>
        </w:rPr>
        <w:t>制造过程中，如</w:t>
      </w:r>
      <w:r>
        <w:rPr>
          <w:rFonts w:hint="eastAsia"/>
          <w:color w:val="000000"/>
          <w:lang w:eastAsia="zh-CN"/>
        </w:rPr>
        <w:t>招标人</w:t>
      </w:r>
      <w:r>
        <w:rPr>
          <w:color w:val="000000"/>
        </w:rPr>
        <w:t>提出产品更改要求，在不影响交货期及交钥匙成本的前提下，</w:t>
      </w:r>
      <w:r>
        <w:rPr>
          <w:rFonts w:hint="eastAsia"/>
          <w:color w:val="000000"/>
          <w:lang w:eastAsia="zh-CN"/>
        </w:rPr>
        <w:t>投标人</w:t>
      </w:r>
      <w:r>
        <w:rPr>
          <w:color w:val="000000"/>
        </w:rPr>
        <w:t>无条件配合；明显影响交货期或交钥匙成本的，双方协商解决。</w:t>
      </w:r>
    </w:p>
    <w:p w14:paraId="30E3F999">
      <w:pPr>
        <w:pStyle w:val="17"/>
        <w:keepNext w:val="0"/>
        <w:keepLines w:val="0"/>
        <w:pageBreakBefore w:val="0"/>
        <w:widowControl w:val="0"/>
        <w:numPr>
          <w:ilvl w:val="0"/>
          <w:numId w:val="44"/>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设备到达</w:t>
      </w:r>
      <w:r>
        <w:rPr>
          <w:rFonts w:hint="eastAsia"/>
          <w:color w:val="000000"/>
          <w:lang w:eastAsia="zh-CN"/>
        </w:rPr>
        <w:t>招标人</w:t>
      </w:r>
      <w:r>
        <w:rPr>
          <w:color w:val="000000"/>
        </w:rPr>
        <w:t>指定地点进行</w:t>
      </w:r>
      <w:r>
        <w:rPr>
          <w:rFonts w:hint="eastAsia"/>
          <w:color w:val="000000"/>
          <w:lang w:eastAsia="zh-CN"/>
        </w:rPr>
        <w:t>入场</w:t>
      </w:r>
      <w:r>
        <w:rPr>
          <w:color w:val="000000"/>
        </w:rPr>
        <w:t>验收（对设备进行开箱验收），到货验收</w:t>
      </w:r>
      <w:r>
        <w:rPr>
          <w:rFonts w:hint="eastAsia"/>
          <w:color w:val="000000"/>
          <w:lang w:eastAsia="zh-CN"/>
        </w:rPr>
        <w:t>投标人</w:t>
      </w:r>
      <w:r>
        <w:rPr>
          <w:color w:val="000000"/>
        </w:rPr>
        <w:t>应提供详细的装箱清单、技术文件和检测报告，双方共同对设备外观、数量进行验收，如发现有外观缺陷，</w:t>
      </w:r>
      <w:r>
        <w:rPr>
          <w:rFonts w:hint="eastAsia"/>
          <w:color w:val="000000"/>
          <w:lang w:eastAsia="zh-CN"/>
        </w:rPr>
        <w:t>投标人</w:t>
      </w:r>
      <w:r>
        <w:rPr>
          <w:color w:val="000000"/>
        </w:rPr>
        <w:t>必须进行整改或调换，情况严重时</w:t>
      </w:r>
      <w:r>
        <w:rPr>
          <w:rFonts w:hint="eastAsia"/>
          <w:color w:val="000000"/>
          <w:lang w:eastAsia="zh-CN"/>
        </w:rPr>
        <w:t>招标人</w:t>
      </w:r>
      <w:r>
        <w:rPr>
          <w:color w:val="000000"/>
        </w:rPr>
        <w:t>可以拒收，由此造成的项目延期以及成本的增加都由</w:t>
      </w:r>
      <w:r>
        <w:rPr>
          <w:rFonts w:hint="eastAsia"/>
          <w:color w:val="000000"/>
          <w:lang w:eastAsia="zh-CN"/>
        </w:rPr>
        <w:t>投标人</w:t>
      </w:r>
      <w:r>
        <w:rPr>
          <w:color w:val="000000"/>
        </w:rPr>
        <w:t>负责。</w:t>
      </w:r>
    </w:p>
    <w:p w14:paraId="33829017">
      <w:pPr>
        <w:pStyle w:val="17"/>
        <w:keepNext w:val="0"/>
        <w:keepLines w:val="0"/>
        <w:pageBreakBefore w:val="0"/>
        <w:widowControl w:val="0"/>
        <w:numPr>
          <w:ilvl w:val="0"/>
          <w:numId w:val="44"/>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rPr>
        <w:t>设备安装验收需满足以下条件：</w:t>
      </w:r>
    </w:p>
    <w:p w14:paraId="47A104D4">
      <w:pPr>
        <w:pStyle w:val="17"/>
        <w:keepNext w:val="0"/>
        <w:keepLines w:val="0"/>
        <w:pageBreakBefore w:val="0"/>
        <w:widowControl w:val="0"/>
        <w:numPr>
          <w:ilvl w:val="0"/>
          <w:numId w:val="45"/>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rPr>
      </w:pPr>
      <w:r>
        <w:rPr>
          <w:rFonts w:hint="eastAsia"/>
        </w:rPr>
        <w:t>设备主体安装完成，无重大安装问题</w:t>
      </w:r>
      <w:r>
        <w:rPr>
          <w:rFonts w:hint="eastAsia"/>
          <w:lang w:eastAsia="zh-CN"/>
        </w:rPr>
        <w:t>。</w:t>
      </w:r>
    </w:p>
    <w:p w14:paraId="7573C4ED">
      <w:pPr>
        <w:pStyle w:val="17"/>
        <w:keepNext w:val="0"/>
        <w:keepLines w:val="0"/>
        <w:pageBreakBefore w:val="0"/>
        <w:widowControl w:val="0"/>
        <w:numPr>
          <w:ilvl w:val="0"/>
          <w:numId w:val="45"/>
        </w:numPr>
        <w:tabs>
          <w:tab w:val="left" w:pos="0"/>
        </w:tabs>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lang w:val="en-US" w:eastAsia="zh-CN"/>
        </w:rPr>
        <w:t>设备具备调试条件。</w:t>
      </w:r>
    </w:p>
    <w:p w14:paraId="3380436C">
      <w:pPr>
        <w:pStyle w:val="3"/>
        <w:keepNext w:val="0"/>
        <w:keepLines w:val="0"/>
        <w:pageBreakBefore w:val="0"/>
        <w:widowControl w:val="0"/>
        <w:numPr>
          <w:ilvl w:val="0"/>
          <w:numId w:val="42"/>
        </w:numPr>
        <w:kinsoku/>
        <w:wordWrap/>
        <w:overflowPunct/>
        <w:topLinePunct w:val="0"/>
        <w:autoSpaceDE/>
        <w:autoSpaceDN/>
        <w:bidi w:val="0"/>
        <w:adjustRightInd w:val="0"/>
        <w:snapToGrid w:val="0"/>
        <w:spacing w:before="0" w:afterAutospacing="0" w:line="360" w:lineRule="auto"/>
        <w:ind w:left="0" w:leftChars="0" w:firstLine="0" w:firstLineChars="0"/>
        <w:textAlignment w:val="auto"/>
        <w:rPr>
          <w:rFonts w:hint="eastAsia" w:ascii="宋体" w:hAnsi="宋体" w:eastAsia="宋体" w:cs="宋体"/>
          <w:b/>
          <w:sz w:val="24"/>
          <w:szCs w:val="24"/>
        </w:rPr>
      </w:pPr>
      <w:r>
        <w:rPr>
          <w:rFonts w:hint="eastAsia" w:ascii="宋体" w:hAnsi="宋体" w:eastAsia="宋体" w:cs="宋体"/>
          <w:sz w:val="24"/>
          <w:szCs w:val="24"/>
        </w:rPr>
        <w:t>设备</w:t>
      </w:r>
      <w:r>
        <w:rPr>
          <w:rFonts w:hint="eastAsia" w:ascii="宋体" w:hAnsi="宋体" w:eastAsia="宋体" w:cs="宋体"/>
          <w:sz w:val="24"/>
          <w:szCs w:val="24"/>
          <w:lang w:eastAsia="zh-CN"/>
        </w:rPr>
        <w:t>调试</w:t>
      </w:r>
      <w:r>
        <w:rPr>
          <w:rFonts w:hint="eastAsia" w:ascii="宋体" w:hAnsi="宋体" w:eastAsia="宋体" w:cs="宋体"/>
          <w:sz w:val="24"/>
          <w:szCs w:val="24"/>
        </w:rPr>
        <w:t>验收</w:t>
      </w:r>
    </w:p>
    <w:p w14:paraId="295F74A5">
      <w:pPr>
        <w:pStyle w:val="17"/>
        <w:keepNext w:val="0"/>
        <w:keepLines w:val="0"/>
        <w:pageBreakBefore w:val="0"/>
        <w:widowControl w:val="0"/>
        <w:numPr>
          <w:ilvl w:val="0"/>
          <w:numId w:val="4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设备</w:t>
      </w:r>
      <w:r>
        <w:rPr>
          <w:rFonts w:hint="eastAsia"/>
          <w:color w:val="000000"/>
          <w:lang w:eastAsia="zh-CN"/>
        </w:rPr>
        <w:t>调试</w:t>
      </w:r>
      <w:r>
        <w:rPr>
          <w:color w:val="000000"/>
        </w:rPr>
        <w:t>验收要求：</w:t>
      </w:r>
    </w:p>
    <w:p w14:paraId="769BBDB7">
      <w:pPr>
        <w:pStyle w:val="17"/>
        <w:keepNext w:val="0"/>
        <w:keepLines w:val="0"/>
        <w:pageBreakBefore w:val="0"/>
        <w:widowControl w:val="0"/>
        <w:numPr>
          <w:ilvl w:val="0"/>
          <w:numId w:val="4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设备调试好，</w:t>
      </w:r>
      <w:r>
        <w:rPr>
          <w:rFonts w:hint="eastAsia"/>
          <w:color w:val="000000"/>
          <w:lang w:eastAsia="zh-CN"/>
        </w:rPr>
        <w:t>投标人</w:t>
      </w:r>
      <w:r>
        <w:rPr>
          <w:color w:val="000000"/>
        </w:rPr>
        <w:t>提供设备调试合格报告；</w:t>
      </w:r>
      <w:r>
        <w:rPr>
          <w:rFonts w:hint="eastAsia"/>
          <w:color w:val="000000"/>
          <w:lang w:eastAsia="zh-CN"/>
        </w:rPr>
        <w:t>招标人</w:t>
      </w:r>
      <w:r>
        <w:rPr>
          <w:color w:val="000000"/>
        </w:rPr>
        <w:t>以中标后签订的技术文件为安装调试验收的标准，交付车间使用后，满足</w:t>
      </w:r>
      <w:r>
        <w:rPr>
          <w:rFonts w:hint="eastAsia"/>
          <w:color w:val="000000"/>
          <w:lang w:eastAsia="zh-CN"/>
        </w:rPr>
        <w:t>招标人</w:t>
      </w:r>
      <w:r>
        <w:rPr>
          <w:color w:val="000000"/>
        </w:rPr>
        <w:t>生产工艺要求，正常使用后无质量问题，</w:t>
      </w:r>
      <w:r>
        <w:rPr>
          <w:rFonts w:hint="eastAsia"/>
          <w:color w:val="000000"/>
          <w:lang w:eastAsia="zh-CN"/>
        </w:rPr>
        <w:t>招标人</w:t>
      </w:r>
      <w:r>
        <w:rPr>
          <w:color w:val="000000"/>
        </w:rPr>
        <w:t>出具安装调试验收报告；有质量问题的延迟安装调试验收（参考第三部分：质量要求），待问题解决后，正常使用无质量问题再对设备进行安装调试验收。</w:t>
      </w:r>
    </w:p>
    <w:p w14:paraId="6398D5CF">
      <w:pPr>
        <w:pStyle w:val="17"/>
        <w:keepNext w:val="0"/>
        <w:keepLines w:val="0"/>
        <w:pageBreakBefore w:val="0"/>
        <w:widowControl w:val="0"/>
        <w:numPr>
          <w:ilvl w:val="0"/>
          <w:numId w:val="4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完成设备运行操作及设备维护的培训要求</w:t>
      </w:r>
      <w:r>
        <w:rPr>
          <w:rFonts w:hint="eastAsia"/>
          <w:color w:val="000000"/>
          <w:lang w:eastAsia="zh-CN"/>
        </w:rPr>
        <w:t>。</w:t>
      </w:r>
    </w:p>
    <w:p w14:paraId="1D5435F8">
      <w:pPr>
        <w:pStyle w:val="17"/>
        <w:keepNext w:val="0"/>
        <w:keepLines w:val="0"/>
        <w:pageBreakBefore w:val="0"/>
        <w:widowControl w:val="0"/>
        <w:numPr>
          <w:ilvl w:val="0"/>
          <w:numId w:val="4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完成所有资料文档（机械、电气图纸、设备使用维护说明等）的提供</w:t>
      </w:r>
      <w:r>
        <w:rPr>
          <w:rFonts w:hint="eastAsia"/>
          <w:color w:val="000000"/>
          <w:lang w:eastAsia="zh-CN"/>
        </w:rPr>
        <w:t>。</w:t>
      </w:r>
    </w:p>
    <w:p w14:paraId="2693D05D">
      <w:pPr>
        <w:pStyle w:val="17"/>
        <w:keepNext w:val="0"/>
        <w:keepLines w:val="0"/>
        <w:pageBreakBefore w:val="0"/>
        <w:widowControl w:val="0"/>
        <w:numPr>
          <w:ilvl w:val="0"/>
          <w:numId w:val="4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满足国家行业标准及其它相关标准（如设备防火、防爆、安全、环保标准等），现场设备安全标识根据</w:t>
      </w:r>
      <w:r>
        <w:rPr>
          <w:rFonts w:hint="eastAsia"/>
          <w:color w:val="000000"/>
          <w:lang w:eastAsia="zh-CN"/>
        </w:rPr>
        <w:t>招标人</w:t>
      </w:r>
      <w:r>
        <w:rPr>
          <w:color w:val="000000"/>
        </w:rPr>
        <w:t>提供的规格尺寸统一制作。</w:t>
      </w:r>
    </w:p>
    <w:p w14:paraId="7F67F0FC">
      <w:pPr>
        <w:pStyle w:val="17"/>
        <w:keepNext w:val="0"/>
        <w:keepLines w:val="0"/>
        <w:pageBreakBefore w:val="0"/>
        <w:widowControl w:val="0"/>
        <w:numPr>
          <w:ilvl w:val="0"/>
          <w:numId w:val="4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产品因设计、制造等原因达不到规定要求的，</w:t>
      </w:r>
      <w:r>
        <w:rPr>
          <w:rFonts w:hint="eastAsia"/>
          <w:color w:val="000000"/>
          <w:lang w:eastAsia="zh-CN"/>
        </w:rPr>
        <w:t>投标人</w:t>
      </w:r>
      <w:r>
        <w:rPr>
          <w:color w:val="000000"/>
        </w:rPr>
        <w:t>承担全部责任。</w:t>
      </w:r>
    </w:p>
    <w:p w14:paraId="3A701D66">
      <w:pPr>
        <w:pStyle w:val="17"/>
        <w:keepNext w:val="0"/>
        <w:keepLines w:val="0"/>
        <w:pageBreakBefore w:val="0"/>
        <w:widowControl w:val="0"/>
        <w:numPr>
          <w:ilvl w:val="0"/>
          <w:numId w:val="4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设备在</w:t>
      </w:r>
      <w:r>
        <w:rPr>
          <w:rFonts w:hint="eastAsia"/>
          <w:color w:val="000000"/>
          <w:lang w:val="en-US" w:eastAsia="zh-CN"/>
        </w:rPr>
        <w:t>调试验收</w:t>
      </w:r>
      <w:r>
        <w:rPr>
          <w:color w:val="000000"/>
        </w:rPr>
        <w:t>前由于非</w:t>
      </w:r>
      <w:r>
        <w:rPr>
          <w:rFonts w:hint="eastAsia"/>
          <w:color w:val="000000"/>
          <w:lang w:eastAsia="zh-CN"/>
        </w:rPr>
        <w:t>招标人</w:t>
      </w:r>
      <w:r>
        <w:rPr>
          <w:color w:val="000000"/>
        </w:rPr>
        <w:t>原因产生的质量问题由</w:t>
      </w:r>
      <w:r>
        <w:rPr>
          <w:rFonts w:hint="eastAsia"/>
          <w:color w:val="000000"/>
          <w:lang w:eastAsia="zh-CN"/>
        </w:rPr>
        <w:t>投标人</w:t>
      </w:r>
      <w:r>
        <w:rPr>
          <w:color w:val="000000"/>
        </w:rPr>
        <w:t>负责。</w:t>
      </w:r>
    </w:p>
    <w:p w14:paraId="143EC7E9">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r>
        <w:rPr>
          <w:rFonts w:hint="eastAsia" w:ascii="宋体" w:hAnsi="宋体" w:eastAsia="宋体" w:cs="宋体"/>
          <w:b/>
          <w:bCs/>
        </w:rPr>
        <w:t>售后服务</w:t>
      </w:r>
      <w:bookmarkEnd w:id="75"/>
    </w:p>
    <w:p w14:paraId="7198D229">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此项目实施的设备质保期为调试验收之日起十二个月（利旧配套件不含），在此期间，非用户误操作原因引起的机械、电气故障及损坏，均由</w:t>
      </w:r>
      <w:r>
        <w:rPr>
          <w:rFonts w:hint="eastAsia" w:ascii="宋体" w:hAnsi="宋体" w:cs="宋体"/>
          <w:lang w:eastAsia="zh-CN"/>
        </w:rPr>
        <w:t>投标人</w:t>
      </w:r>
      <w:r>
        <w:rPr>
          <w:rFonts w:hint="eastAsia" w:ascii="宋体" w:hAnsi="宋体" w:eastAsia="宋体" w:cs="宋体"/>
        </w:rPr>
        <w:t>免费维修和更换，及时免费提供维修所需的零配件，若造成</w:t>
      </w:r>
      <w:r>
        <w:rPr>
          <w:rFonts w:hint="eastAsia" w:ascii="宋体" w:hAnsi="宋体" w:cs="宋体"/>
          <w:lang w:eastAsia="zh-CN"/>
        </w:rPr>
        <w:t>招标人</w:t>
      </w:r>
      <w:r>
        <w:rPr>
          <w:rFonts w:hint="eastAsia" w:ascii="宋体" w:hAnsi="宋体" w:eastAsia="宋体" w:cs="宋体"/>
        </w:rPr>
        <w:t>经济损失，</w:t>
      </w:r>
      <w:r>
        <w:rPr>
          <w:rFonts w:hint="eastAsia" w:ascii="宋体" w:hAnsi="宋体" w:cs="宋体"/>
          <w:lang w:eastAsia="zh-CN"/>
        </w:rPr>
        <w:t>投标人</w:t>
      </w:r>
      <w:r>
        <w:rPr>
          <w:rFonts w:hint="eastAsia" w:ascii="宋体" w:hAnsi="宋体" w:eastAsia="宋体" w:cs="宋体"/>
        </w:rPr>
        <w:t>应予以赔偿。</w:t>
      </w:r>
    </w:p>
    <w:p w14:paraId="427F58BB">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设备在调试和试生产期间（设备安装验收前）出现的所有元器件损坏均由</w:t>
      </w:r>
      <w:r>
        <w:rPr>
          <w:rFonts w:hint="eastAsia" w:ascii="宋体" w:hAnsi="宋体" w:cs="宋体"/>
          <w:lang w:eastAsia="zh-CN"/>
        </w:rPr>
        <w:t>投标人</w:t>
      </w:r>
      <w:r>
        <w:rPr>
          <w:rFonts w:hint="eastAsia" w:ascii="宋体" w:hAnsi="宋体" w:eastAsia="宋体" w:cs="宋体"/>
        </w:rPr>
        <w:t>负责免费提供更换；在设备安装、调试和试生产期间，因设备原因造成</w:t>
      </w:r>
      <w:r>
        <w:rPr>
          <w:rFonts w:hint="eastAsia" w:ascii="宋体" w:hAnsi="宋体" w:cs="宋体"/>
          <w:lang w:eastAsia="zh-CN"/>
        </w:rPr>
        <w:t>招标人</w:t>
      </w:r>
      <w:r>
        <w:rPr>
          <w:rFonts w:hint="eastAsia" w:ascii="宋体" w:hAnsi="宋体" w:eastAsia="宋体" w:cs="宋体"/>
        </w:rPr>
        <w:t>经济损失的（包括产品报废损失、停线损失、动能损失、人工成本损失等），由</w:t>
      </w:r>
      <w:r>
        <w:rPr>
          <w:rFonts w:hint="eastAsia" w:ascii="宋体" w:hAnsi="宋体" w:cs="宋体"/>
          <w:lang w:eastAsia="zh-CN"/>
        </w:rPr>
        <w:t>投标人</w:t>
      </w:r>
      <w:r>
        <w:rPr>
          <w:rFonts w:hint="eastAsia" w:ascii="宋体" w:hAnsi="宋体" w:eastAsia="宋体" w:cs="宋体"/>
        </w:rPr>
        <w:t>负责赔偿</w:t>
      </w:r>
      <w:r>
        <w:rPr>
          <w:rFonts w:hint="eastAsia" w:ascii="宋体" w:hAnsi="宋体" w:cs="宋体"/>
          <w:lang w:eastAsia="zh-CN"/>
        </w:rPr>
        <w:t>招标人</w:t>
      </w:r>
      <w:r>
        <w:rPr>
          <w:rFonts w:hint="eastAsia" w:ascii="宋体" w:hAnsi="宋体" w:eastAsia="宋体" w:cs="宋体"/>
        </w:rPr>
        <w:t>。</w:t>
      </w:r>
    </w:p>
    <w:p w14:paraId="1D8CAFC8">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质保期内</w:t>
      </w:r>
      <w:r>
        <w:rPr>
          <w:rFonts w:hint="eastAsia" w:ascii="宋体" w:hAnsi="宋体" w:cs="宋体"/>
          <w:lang w:eastAsia="zh-CN"/>
        </w:rPr>
        <w:t>投标人</w:t>
      </w:r>
      <w:r>
        <w:rPr>
          <w:rFonts w:hint="eastAsia" w:ascii="宋体" w:hAnsi="宋体" w:eastAsia="宋体" w:cs="宋体"/>
        </w:rPr>
        <w:t>提供无偿便捷维修服务，根据</w:t>
      </w:r>
      <w:r>
        <w:rPr>
          <w:rFonts w:hint="eastAsia" w:ascii="宋体" w:hAnsi="宋体" w:cs="宋体"/>
          <w:lang w:eastAsia="zh-CN"/>
        </w:rPr>
        <w:t>招标人</w:t>
      </w:r>
      <w:r>
        <w:rPr>
          <w:rFonts w:hint="eastAsia" w:ascii="宋体" w:hAnsi="宋体" w:eastAsia="宋体" w:cs="宋体"/>
        </w:rPr>
        <w:t>要求</w:t>
      </w:r>
      <w:r>
        <w:rPr>
          <w:rFonts w:hint="eastAsia" w:ascii="宋体" w:hAnsi="宋体" w:cs="宋体"/>
          <w:lang w:eastAsia="zh-CN"/>
        </w:rPr>
        <w:t>投标人</w:t>
      </w:r>
      <w:r>
        <w:rPr>
          <w:rFonts w:hint="eastAsia" w:ascii="宋体" w:hAnsi="宋体" w:eastAsia="宋体" w:cs="宋体"/>
        </w:rPr>
        <w:t>必须10小时之内及时到达现场排除故障。若</w:t>
      </w:r>
      <w:r>
        <w:rPr>
          <w:rFonts w:hint="eastAsia" w:ascii="宋体" w:hAnsi="宋体" w:cs="宋体"/>
          <w:lang w:eastAsia="zh-CN"/>
        </w:rPr>
        <w:t>投标人</w:t>
      </w:r>
      <w:r>
        <w:rPr>
          <w:rFonts w:hint="eastAsia" w:ascii="宋体" w:hAnsi="宋体" w:eastAsia="宋体" w:cs="宋体"/>
        </w:rPr>
        <w:t>接到</w:t>
      </w:r>
      <w:r>
        <w:rPr>
          <w:rFonts w:hint="eastAsia" w:ascii="宋体" w:hAnsi="宋体" w:cs="宋体"/>
          <w:lang w:eastAsia="zh-CN"/>
        </w:rPr>
        <w:t>招标人</w:t>
      </w:r>
      <w:r>
        <w:rPr>
          <w:rFonts w:hint="eastAsia" w:ascii="宋体" w:hAnsi="宋体" w:eastAsia="宋体" w:cs="宋体"/>
        </w:rPr>
        <w:t>通知后不能抵达维修现场维修的，由</w:t>
      </w:r>
      <w:r>
        <w:rPr>
          <w:rFonts w:hint="eastAsia" w:ascii="宋体" w:hAnsi="宋体" w:cs="宋体"/>
          <w:lang w:eastAsia="zh-CN"/>
        </w:rPr>
        <w:t>投标人</w:t>
      </w:r>
      <w:r>
        <w:rPr>
          <w:rFonts w:hint="eastAsia" w:ascii="宋体" w:hAnsi="宋体" w:eastAsia="宋体" w:cs="宋体"/>
        </w:rPr>
        <w:t>支付由此所造成的</w:t>
      </w:r>
      <w:r>
        <w:rPr>
          <w:rFonts w:hint="eastAsia" w:ascii="宋体" w:hAnsi="宋体" w:cs="宋体"/>
          <w:lang w:eastAsia="zh-CN"/>
        </w:rPr>
        <w:t>招标人</w:t>
      </w:r>
      <w:r>
        <w:rPr>
          <w:rFonts w:hint="eastAsia" w:ascii="宋体" w:hAnsi="宋体" w:eastAsia="宋体" w:cs="宋体"/>
        </w:rPr>
        <w:t>所有损失。一般故障48小时内解决，重大故障（如大件损坏）十日内解决。</w:t>
      </w:r>
    </w:p>
    <w:p w14:paraId="20D4C1ED">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质保期过后，提供终身及时维修服务，只收取成本费。</w:t>
      </w:r>
      <w:r>
        <w:rPr>
          <w:rFonts w:hint="eastAsia" w:ascii="宋体" w:hAnsi="宋体" w:cs="宋体"/>
          <w:lang w:eastAsia="zh-CN"/>
        </w:rPr>
        <w:t>投标人</w:t>
      </w:r>
      <w:r>
        <w:rPr>
          <w:rFonts w:hint="eastAsia" w:ascii="宋体" w:hAnsi="宋体" w:eastAsia="宋体" w:cs="宋体"/>
        </w:rPr>
        <w:t>在接到用户书面通知后，24小时内到达用户现场。</w:t>
      </w:r>
    </w:p>
    <w:p w14:paraId="0010614B">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要确保设备主要关键备件在安装验收后未来五年可以正常供应。</w:t>
      </w:r>
    </w:p>
    <w:p w14:paraId="411453C1">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应对设备设计图纸认真消化，要求厂家进行制造工艺设计，确认无误后方可投料，设备各个部件需要在</w:t>
      </w:r>
      <w:r>
        <w:rPr>
          <w:rFonts w:hint="eastAsia" w:ascii="宋体" w:hAnsi="宋体" w:cs="宋体"/>
          <w:lang w:eastAsia="zh-CN"/>
        </w:rPr>
        <w:t>投标人</w:t>
      </w:r>
      <w:r>
        <w:rPr>
          <w:rFonts w:hint="eastAsia" w:ascii="宋体" w:hAnsi="宋体" w:eastAsia="宋体" w:cs="宋体"/>
        </w:rPr>
        <w:t>厂内制造，预制完成后必须经</w:t>
      </w:r>
      <w:r>
        <w:rPr>
          <w:rFonts w:hint="eastAsia" w:ascii="宋体" w:hAnsi="宋体" w:cs="宋体"/>
          <w:lang w:eastAsia="zh-CN"/>
        </w:rPr>
        <w:t>招标人</w:t>
      </w:r>
      <w:r>
        <w:rPr>
          <w:rFonts w:hint="eastAsia" w:ascii="宋体" w:hAnsi="宋体" w:eastAsia="宋体" w:cs="宋体"/>
        </w:rPr>
        <w:t>派驻现场人员预验收合格后，才能运到现场安装，如因预制质量引起的工期延误，进度迟缓，</w:t>
      </w:r>
      <w:r>
        <w:rPr>
          <w:rFonts w:hint="eastAsia" w:ascii="宋体" w:hAnsi="宋体" w:cs="宋体"/>
          <w:lang w:eastAsia="zh-CN"/>
        </w:rPr>
        <w:t>投标人</w:t>
      </w:r>
      <w:r>
        <w:rPr>
          <w:rFonts w:hint="eastAsia" w:ascii="宋体" w:hAnsi="宋体" w:eastAsia="宋体" w:cs="宋体"/>
        </w:rPr>
        <w:t>负全责。</w:t>
      </w:r>
    </w:p>
    <w:p w14:paraId="64FBEAA3">
      <w:pPr>
        <w:pStyle w:val="17"/>
        <w:pageBreakBefore w:val="0"/>
        <w:widowControl/>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设备的制造及安装，原则上按照图纸要求进行，对设计图纸中存在的技术问题，</w:t>
      </w:r>
      <w:r>
        <w:rPr>
          <w:rFonts w:hint="eastAsia" w:ascii="宋体" w:hAnsi="宋体" w:cs="宋体"/>
          <w:lang w:eastAsia="zh-CN"/>
        </w:rPr>
        <w:t>投标人</w:t>
      </w:r>
      <w:r>
        <w:rPr>
          <w:rFonts w:hint="eastAsia" w:ascii="宋体" w:hAnsi="宋体" w:eastAsia="宋体" w:cs="宋体"/>
        </w:rPr>
        <w:t>必须及时与</w:t>
      </w:r>
      <w:r>
        <w:rPr>
          <w:rFonts w:hint="eastAsia" w:ascii="宋体" w:hAnsi="宋体" w:cs="宋体"/>
          <w:lang w:eastAsia="zh-CN"/>
        </w:rPr>
        <w:t>招标人</w:t>
      </w:r>
      <w:r>
        <w:rPr>
          <w:rFonts w:hint="eastAsia" w:ascii="宋体" w:hAnsi="宋体" w:eastAsia="宋体" w:cs="宋体"/>
        </w:rPr>
        <w:t>协商，</w:t>
      </w:r>
      <w:r>
        <w:rPr>
          <w:rFonts w:hint="eastAsia" w:ascii="宋体" w:hAnsi="宋体" w:cs="宋体"/>
          <w:lang w:eastAsia="zh-CN"/>
        </w:rPr>
        <w:t>招标人</w:t>
      </w:r>
      <w:r>
        <w:rPr>
          <w:rFonts w:hint="eastAsia" w:ascii="宋体" w:hAnsi="宋体" w:eastAsia="宋体" w:cs="宋体"/>
        </w:rPr>
        <w:t>应尽快予以答复，</w:t>
      </w:r>
      <w:r>
        <w:rPr>
          <w:rFonts w:hint="eastAsia" w:ascii="宋体" w:hAnsi="宋体" w:cs="宋体"/>
          <w:lang w:eastAsia="zh-CN"/>
        </w:rPr>
        <w:t>投标人</w:t>
      </w:r>
      <w:r>
        <w:rPr>
          <w:rFonts w:hint="eastAsia" w:ascii="宋体" w:hAnsi="宋体" w:eastAsia="宋体" w:cs="宋体"/>
        </w:rPr>
        <w:t>未经</w:t>
      </w:r>
      <w:r>
        <w:rPr>
          <w:rFonts w:hint="eastAsia" w:ascii="宋体" w:hAnsi="宋体" w:cs="宋体"/>
          <w:lang w:eastAsia="zh-CN"/>
        </w:rPr>
        <w:t>招标人</w:t>
      </w:r>
      <w:r>
        <w:rPr>
          <w:rFonts w:hint="eastAsia" w:ascii="宋体" w:hAnsi="宋体" w:eastAsia="宋体" w:cs="宋体"/>
        </w:rPr>
        <w:t>同意，不得修改图纸，若有更改必须得到</w:t>
      </w:r>
      <w:r>
        <w:rPr>
          <w:rFonts w:hint="eastAsia" w:ascii="宋体" w:hAnsi="宋体" w:cs="宋体"/>
          <w:lang w:eastAsia="zh-CN"/>
        </w:rPr>
        <w:t>招标人</w:t>
      </w:r>
      <w:r>
        <w:rPr>
          <w:rFonts w:hint="eastAsia" w:ascii="宋体" w:hAnsi="宋体" w:eastAsia="宋体" w:cs="宋体"/>
        </w:rPr>
        <w:t>的书面同意。若发现未经</w:t>
      </w:r>
      <w:r>
        <w:rPr>
          <w:rFonts w:hint="eastAsia" w:ascii="宋体" w:hAnsi="宋体" w:cs="宋体"/>
          <w:lang w:eastAsia="zh-CN"/>
        </w:rPr>
        <w:t>招标人</w:t>
      </w:r>
      <w:r>
        <w:rPr>
          <w:rFonts w:hint="eastAsia" w:ascii="宋体" w:hAnsi="宋体" w:eastAsia="宋体" w:cs="宋体"/>
        </w:rPr>
        <w:t>同意而</w:t>
      </w:r>
      <w:r>
        <w:rPr>
          <w:rFonts w:hint="eastAsia" w:ascii="宋体" w:hAnsi="宋体" w:cs="宋体"/>
          <w:lang w:eastAsia="zh-CN"/>
        </w:rPr>
        <w:t>投标人</w:t>
      </w:r>
      <w:r>
        <w:rPr>
          <w:rFonts w:hint="eastAsia" w:ascii="宋体" w:hAnsi="宋体" w:eastAsia="宋体" w:cs="宋体"/>
        </w:rPr>
        <w:t>私自进行修改的或者</w:t>
      </w:r>
      <w:r>
        <w:rPr>
          <w:rFonts w:hint="eastAsia" w:ascii="宋体" w:hAnsi="宋体" w:cs="宋体"/>
          <w:lang w:eastAsia="zh-CN"/>
        </w:rPr>
        <w:t>投标人</w:t>
      </w:r>
      <w:r>
        <w:rPr>
          <w:rFonts w:hint="eastAsia" w:ascii="宋体" w:hAnsi="宋体" w:eastAsia="宋体" w:cs="宋体"/>
        </w:rPr>
        <w:t>发现问题未沟通的将按被修改单体设备价格的1%扣款，并在规定日期内恢复至原有图纸设计。</w:t>
      </w:r>
    </w:p>
    <w:p w14:paraId="792B589A">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设备图纸中技术问题，</w:t>
      </w:r>
      <w:r>
        <w:rPr>
          <w:rFonts w:hint="eastAsia" w:ascii="宋体" w:hAnsi="宋体" w:cs="宋体"/>
          <w:lang w:eastAsia="zh-CN"/>
        </w:rPr>
        <w:t>投标人</w:t>
      </w:r>
      <w:r>
        <w:rPr>
          <w:rFonts w:hint="eastAsia" w:ascii="宋体" w:hAnsi="宋体" w:eastAsia="宋体" w:cs="宋体"/>
        </w:rPr>
        <w:t>应与</w:t>
      </w:r>
      <w:r>
        <w:rPr>
          <w:rFonts w:hint="eastAsia" w:ascii="宋体" w:hAnsi="宋体" w:cs="宋体"/>
          <w:lang w:eastAsia="zh-CN"/>
        </w:rPr>
        <w:t>招标人</w:t>
      </w:r>
      <w:r>
        <w:rPr>
          <w:rFonts w:hint="eastAsia" w:ascii="宋体" w:hAnsi="宋体" w:eastAsia="宋体" w:cs="宋体"/>
        </w:rPr>
        <w:t>协商并积极配合</w:t>
      </w:r>
      <w:r>
        <w:rPr>
          <w:rFonts w:hint="eastAsia" w:ascii="宋体" w:hAnsi="宋体" w:cs="宋体"/>
          <w:lang w:eastAsia="zh-CN"/>
        </w:rPr>
        <w:t>招标人</w:t>
      </w:r>
      <w:r>
        <w:rPr>
          <w:rFonts w:hint="eastAsia" w:ascii="宋体" w:hAnsi="宋体" w:eastAsia="宋体" w:cs="宋体"/>
        </w:rPr>
        <w:t>解决，</w:t>
      </w:r>
      <w:r>
        <w:rPr>
          <w:rFonts w:hint="eastAsia" w:ascii="宋体" w:hAnsi="宋体" w:cs="宋体"/>
          <w:lang w:eastAsia="zh-CN"/>
        </w:rPr>
        <w:t>投标人</w:t>
      </w:r>
      <w:r>
        <w:rPr>
          <w:rFonts w:hint="eastAsia" w:ascii="宋体" w:hAnsi="宋体" w:eastAsia="宋体" w:cs="宋体"/>
        </w:rPr>
        <w:t>有责任和义务对设计图纸错误进行修正。如在制造及安装过程中</w:t>
      </w:r>
      <w:r>
        <w:rPr>
          <w:rFonts w:hint="eastAsia" w:ascii="宋体" w:hAnsi="宋体" w:cs="宋体"/>
          <w:lang w:eastAsia="zh-CN"/>
        </w:rPr>
        <w:t>招标人</w:t>
      </w:r>
      <w:r>
        <w:rPr>
          <w:rFonts w:hint="eastAsia" w:ascii="宋体" w:hAnsi="宋体" w:eastAsia="宋体" w:cs="宋体"/>
        </w:rPr>
        <w:t>对方案提出（费用控制在±3%内）更改，</w:t>
      </w:r>
      <w:r>
        <w:rPr>
          <w:rFonts w:hint="eastAsia" w:ascii="宋体" w:hAnsi="宋体" w:cs="宋体"/>
          <w:lang w:eastAsia="zh-CN"/>
        </w:rPr>
        <w:t>投标人</w:t>
      </w:r>
      <w:r>
        <w:rPr>
          <w:rFonts w:hint="eastAsia" w:ascii="宋体" w:hAnsi="宋体" w:eastAsia="宋体" w:cs="宋体"/>
        </w:rPr>
        <w:t>应无条件按</w:t>
      </w:r>
      <w:r>
        <w:rPr>
          <w:rFonts w:hint="eastAsia" w:ascii="宋体" w:hAnsi="宋体" w:cs="宋体"/>
          <w:lang w:eastAsia="zh-CN"/>
        </w:rPr>
        <w:t>招标人</w:t>
      </w:r>
      <w:r>
        <w:rPr>
          <w:rFonts w:hint="eastAsia" w:ascii="宋体" w:hAnsi="宋体" w:eastAsia="宋体" w:cs="宋体"/>
        </w:rPr>
        <w:t xml:space="preserve">要求执行；若变动超过±3%（合同总价）时，双方协商解决。 </w:t>
      </w:r>
    </w:p>
    <w:p w14:paraId="4F8CDD90">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参与投标的设备制造商，必须仔细阅读以上设备故障及质量要求，</w:t>
      </w:r>
      <w:r>
        <w:rPr>
          <w:rFonts w:hint="eastAsia" w:ascii="宋体" w:hAnsi="宋体" w:cs="宋体"/>
          <w:lang w:eastAsia="zh-CN"/>
        </w:rPr>
        <w:t>投标人</w:t>
      </w:r>
      <w:r>
        <w:rPr>
          <w:rFonts w:hint="eastAsia" w:ascii="宋体" w:hAnsi="宋体" w:eastAsia="宋体" w:cs="宋体"/>
        </w:rPr>
        <w:t>达不到以上要求，</w:t>
      </w:r>
      <w:r>
        <w:rPr>
          <w:rFonts w:hint="eastAsia" w:ascii="宋体" w:hAnsi="宋体" w:cs="宋体"/>
          <w:lang w:eastAsia="zh-CN"/>
        </w:rPr>
        <w:t>招标人</w:t>
      </w:r>
      <w:r>
        <w:rPr>
          <w:rFonts w:hint="eastAsia" w:ascii="宋体" w:hAnsi="宋体" w:eastAsia="宋体" w:cs="宋体"/>
        </w:rPr>
        <w:t>可根据停线情况等扣除部分款项（含人工费、动能费用、计划交付影响费用）。</w:t>
      </w:r>
    </w:p>
    <w:p w14:paraId="30E73AB1">
      <w:pPr>
        <w:pStyle w:val="17"/>
        <w:pageBreakBefore w:val="0"/>
        <w:widowControl/>
        <w:numPr>
          <w:ilvl w:val="0"/>
          <w:numId w:val="4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rPr>
        <w:t>在质量保证期外，</w:t>
      </w:r>
      <w:r>
        <w:rPr>
          <w:rFonts w:hint="eastAsia" w:ascii="宋体" w:hAnsi="宋体" w:cs="宋体"/>
          <w:lang w:eastAsia="zh-CN"/>
        </w:rPr>
        <w:t>投标人</w:t>
      </w:r>
      <w:r>
        <w:rPr>
          <w:rFonts w:hint="eastAsia" w:ascii="宋体" w:hAnsi="宋体" w:eastAsia="宋体" w:cs="宋体"/>
        </w:rPr>
        <w:t>负责设备终身维修，</w:t>
      </w:r>
      <w:r>
        <w:rPr>
          <w:rFonts w:hint="eastAsia" w:ascii="宋体" w:hAnsi="宋体" w:cs="宋体"/>
          <w:lang w:eastAsia="zh-CN"/>
        </w:rPr>
        <w:t>招标人</w:t>
      </w:r>
      <w:r>
        <w:rPr>
          <w:rFonts w:hint="eastAsia" w:ascii="宋体" w:hAnsi="宋体" w:eastAsia="宋体" w:cs="宋体"/>
        </w:rPr>
        <w:t>只负责根据维修情况支付更换零件的费用。</w:t>
      </w:r>
    </w:p>
    <w:p w14:paraId="2D8119A6">
      <w:pPr>
        <w:pStyle w:val="17"/>
        <w:keepNext w:val="0"/>
        <w:keepLines w:val="0"/>
        <w:pageBreakBefore w:val="0"/>
        <w:widowControl/>
        <w:numPr>
          <w:ilvl w:val="0"/>
          <w:numId w:val="48"/>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rFonts w:hint="eastAsia" w:ascii="宋体" w:hAnsi="宋体" w:cs="宋体"/>
          <w:color w:val="auto"/>
        </w:rPr>
        <w:t>设备</w:t>
      </w:r>
      <w:r>
        <w:rPr>
          <w:color w:val="000000"/>
        </w:rPr>
        <w:t>最</w:t>
      </w:r>
      <w:r>
        <w:rPr>
          <w:rFonts w:hint="eastAsia"/>
          <w:color w:val="000000"/>
          <w:lang w:val="en-US" w:eastAsia="zh-CN"/>
        </w:rPr>
        <w:t>调试验收</w:t>
      </w:r>
      <w:r>
        <w:rPr>
          <w:color w:val="000000"/>
        </w:rPr>
        <w:t>合格后，</w:t>
      </w:r>
      <w:r>
        <w:rPr>
          <w:rFonts w:hint="eastAsia"/>
          <w:color w:val="000000"/>
          <w:lang w:eastAsia="zh-CN"/>
        </w:rPr>
        <w:t>投标人</w:t>
      </w:r>
      <w:r>
        <w:rPr>
          <w:color w:val="000000"/>
        </w:rPr>
        <w:t>派出技术人员二人（一机一电）在现场协助</w:t>
      </w:r>
      <w:r>
        <w:rPr>
          <w:rFonts w:hint="eastAsia"/>
          <w:color w:val="000000"/>
          <w:lang w:eastAsia="zh-CN"/>
        </w:rPr>
        <w:t>招标人</w:t>
      </w:r>
      <w:r>
        <w:rPr>
          <w:color w:val="000000"/>
        </w:rPr>
        <w:t>维护、保养及指导维修保养设备</w:t>
      </w:r>
      <w:r>
        <w:rPr>
          <w:rFonts w:hint="eastAsia"/>
          <w:color w:val="000000"/>
          <w:lang w:eastAsia="zh-CN"/>
        </w:rPr>
        <w:t>。</w:t>
      </w:r>
    </w:p>
    <w:p w14:paraId="1261B59F">
      <w:pPr>
        <w:pStyle w:val="17"/>
        <w:keepNext w:val="0"/>
        <w:keepLines w:val="0"/>
        <w:pageBreakBefore w:val="0"/>
        <w:widowControl/>
        <w:numPr>
          <w:ilvl w:val="0"/>
          <w:numId w:val="48"/>
        </w:numPr>
        <w:tabs>
          <w:tab w:val="left" w:pos="0"/>
        </w:tabs>
        <w:kinsoku/>
        <w:overflowPunct/>
        <w:topLinePunct w:val="0"/>
        <w:bidi w:val="0"/>
        <w:adjustRightInd w:val="0"/>
        <w:snapToGrid w:val="0"/>
        <w:spacing w:before="0" w:after="0" w:afterAutospacing="0" w:line="360" w:lineRule="auto"/>
        <w:ind w:left="0" w:leftChars="0" w:firstLine="0" w:firstLineChars="0"/>
        <w:rPr>
          <w:b w:val="0"/>
          <w:color w:val="000000"/>
        </w:rPr>
      </w:pPr>
      <w:r>
        <w:rPr>
          <w:color w:val="000000"/>
        </w:rPr>
        <w:t>质保期为</w:t>
      </w:r>
      <w:r>
        <w:rPr>
          <w:rFonts w:hint="eastAsia"/>
          <w:color w:val="000000"/>
          <w:lang w:val="en-US" w:eastAsia="zh-CN"/>
        </w:rPr>
        <w:t>调试验收</w:t>
      </w:r>
      <w:r>
        <w:rPr>
          <w:color w:val="000000"/>
        </w:rPr>
        <w:t>之日起十二个月，在此期间，非用户误操作原因引起的机械、电气故障及损坏，均由</w:t>
      </w:r>
      <w:r>
        <w:rPr>
          <w:rFonts w:hint="eastAsia"/>
          <w:color w:val="000000"/>
          <w:lang w:eastAsia="zh-CN"/>
        </w:rPr>
        <w:t>投标人</w:t>
      </w:r>
      <w:r>
        <w:rPr>
          <w:color w:val="000000"/>
        </w:rPr>
        <w:t>免费维修和更换，及时免费提供维修所需的零配件，若造成</w:t>
      </w:r>
      <w:r>
        <w:rPr>
          <w:rFonts w:hint="eastAsia"/>
          <w:color w:val="000000"/>
          <w:lang w:eastAsia="zh-CN"/>
        </w:rPr>
        <w:t>招标人</w:t>
      </w:r>
      <w:r>
        <w:rPr>
          <w:color w:val="000000"/>
        </w:rPr>
        <w:t>经济损失，</w:t>
      </w:r>
      <w:r>
        <w:rPr>
          <w:rFonts w:hint="eastAsia"/>
          <w:color w:val="000000"/>
          <w:lang w:eastAsia="zh-CN"/>
        </w:rPr>
        <w:t>投标人</w:t>
      </w:r>
      <w:r>
        <w:rPr>
          <w:color w:val="000000"/>
        </w:rPr>
        <w:t>应予以赔偿。</w:t>
      </w:r>
    </w:p>
    <w:p w14:paraId="123CF105">
      <w:pPr>
        <w:pStyle w:val="17"/>
        <w:pageBreakBefore w:val="0"/>
        <w:widowControl/>
        <w:numPr>
          <w:ilvl w:val="0"/>
          <w:numId w:val="48"/>
        </w:numPr>
        <w:tabs>
          <w:tab w:val="left" w:pos="0"/>
        </w:tabs>
        <w:kinsoku/>
        <w:topLinePunct w:val="0"/>
        <w:bidi w:val="0"/>
        <w:adjustRightInd w:val="0"/>
        <w:snapToGrid w:val="0"/>
        <w:spacing w:before="0" w:after="0" w:afterAutospacing="0" w:line="360" w:lineRule="auto"/>
        <w:ind w:leftChars="0" w:firstLine="0" w:firstLineChars="0"/>
        <w:rPr>
          <w:rFonts w:hint="eastAsia"/>
        </w:rPr>
      </w:pPr>
      <w:r>
        <w:rPr>
          <w:color w:val="000000"/>
        </w:rPr>
        <w:t>设备在调试和试生产期间（设备安装验收前）出现的所有元器件损坏均由</w:t>
      </w:r>
      <w:r>
        <w:rPr>
          <w:rFonts w:hint="eastAsia"/>
          <w:color w:val="000000"/>
          <w:lang w:eastAsia="zh-CN"/>
        </w:rPr>
        <w:t>投标人</w:t>
      </w:r>
      <w:r>
        <w:rPr>
          <w:color w:val="000000"/>
        </w:rPr>
        <w:t>负责免费提供更换；在设备安装、调试和试生产期间，因设备原因造成</w:t>
      </w:r>
      <w:r>
        <w:rPr>
          <w:rFonts w:hint="eastAsia"/>
          <w:color w:val="000000"/>
          <w:lang w:eastAsia="zh-CN"/>
        </w:rPr>
        <w:t>招标人</w:t>
      </w:r>
      <w:r>
        <w:rPr>
          <w:color w:val="000000"/>
        </w:rPr>
        <w:t>经济损失的（包括产品报废损失、停线损失、动能损失、人工成本损失等），由</w:t>
      </w:r>
      <w:r>
        <w:rPr>
          <w:rFonts w:hint="eastAsia"/>
          <w:color w:val="000000"/>
          <w:lang w:eastAsia="zh-CN"/>
        </w:rPr>
        <w:t>投标人</w:t>
      </w:r>
      <w:r>
        <w:rPr>
          <w:color w:val="000000"/>
        </w:rPr>
        <w:t>负责赔偿</w:t>
      </w:r>
      <w:r>
        <w:rPr>
          <w:rFonts w:hint="eastAsia"/>
          <w:color w:val="000000"/>
          <w:lang w:eastAsia="zh-CN"/>
        </w:rPr>
        <w:t>招标人</w:t>
      </w:r>
      <w:r>
        <w:rPr>
          <w:color w:val="000000"/>
        </w:rPr>
        <w:t>。</w:t>
      </w:r>
    </w:p>
    <w:bookmarkEnd w:id="69"/>
    <w:bookmarkEnd w:id="70"/>
    <w:p w14:paraId="2C6E0E02">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76" w:name="_Toc28687"/>
      <w:bookmarkStart w:id="77" w:name="_Toc21484"/>
      <w:r>
        <w:rPr>
          <w:rFonts w:hint="eastAsia" w:ascii="宋体" w:hAnsi="宋体" w:eastAsia="宋体" w:cs="宋体"/>
          <w:b/>
          <w:bCs/>
        </w:rPr>
        <w:t>安全与保密</w:t>
      </w:r>
      <w:bookmarkEnd w:id="76"/>
      <w:bookmarkEnd w:id="77"/>
    </w:p>
    <w:p w14:paraId="6696F6FC">
      <w:pPr>
        <w:pStyle w:val="17"/>
        <w:pageBreakBefore w:val="0"/>
        <w:kinsoku/>
        <w:wordWrap/>
        <w:topLinePunct w:val="0"/>
        <w:bidi w:val="0"/>
        <w:adjustRightInd w:val="0"/>
        <w:snapToGrid w:val="0"/>
        <w:spacing w:before="0" w:after="0" w:afterAutospacing="0" w:line="360" w:lineRule="auto"/>
        <w:ind w:left="0" w:leftChars="0" w:firstLine="420" w:firstLineChars="0"/>
        <w:rPr>
          <w:rFonts w:hint="eastAsia" w:ascii="宋体" w:hAnsi="宋体" w:eastAsia="宋体" w:cs="宋体"/>
          <w:color w:val="000000"/>
        </w:rPr>
      </w:pPr>
      <w:r>
        <w:rPr>
          <w:rFonts w:hint="eastAsia" w:ascii="宋体" w:hAnsi="宋体" w:eastAsia="宋体" w:cs="宋体"/>
          <w:color w:val="000000"/>
        </w:rPr>
        <w:t>明确《安全生产及环境管理协议书》作为技术文件的附件，具备与技术文件同等的法律效力。在项目执行过程中，供应商应该严格按照</w:t>
      </w:r>
      <w:r>
        <w:rPr>
          <w:rFonts w:hint="eastAsia" w:ascii="宋体" w:hAnsi="宋体" w:cs="宋体"/>
          <w:color w:val="000000"/>
          <w:lang w:eastAsia="zh-CN"/>
        </w:rPr>
        <w:t>招标人</w:t>
      </w:r>
      <w:r>
        <w:rPr>
          <w:rFonts w:hint="eastAsia" w:ascii="宋体" w:hAnsi="宋体" w:eastAsia="宋体" w:cs="宋体"/>
          <w:color w:val="000000"/>
        </w:rPr>
        <w:t>制订的安全与保密制度执行。</w:t>
      </w:r>
    </w:p>
    <w:p w14:paraId="3CA006CA">
      <w:pPr>
        <w:pStyle w:val="17"/>
        <w:pageBreakBefore w:val="0"/>
        <w:kinsoku/>
        <w:wordWrap/>
        <w:topLinePunct w:val="0"/>
        <w:bidi w:val="0"/>
        <w:adjustRightInd w:val="0"/>
        <w:snapToGrid w:val="0"/>
        <w:spacing w:before="0" w:after="0" w:afterAutospacing="0" w:line="360" w:lineRule="auto"/>
        <w:ind w:left="0" w:leftChars="0" w:firstLine="420" w:firstLineChars="0"/>
        <w:rPr>
          <w:rFonts w:hint="eastAsia" w:ascii="宋体" w:hAnsi="宋体" w:eastAsia="宋体" w:cs="宋体"/>
        </w:rPr>
      </w:pPr>
      <w:r>
        <w:rPr>
          <w:rFonts w:hint="eastAsia" w:ascii="宋体" w:hAnsi="宋体" w:eastAsia="宋体" w:cs="宋体"/>
        </w:rPr>
        <w:t>明确《安全生产及环境管理协议书》作为技术任务书的附件，具备与技术任务书同等的法律效力。在项目执行过程中，供应商应该严格按照</w:t>
      </w:r>
      <w:r>
        <w:rPr>
          <w:rFonts w:hint="eastAsia" w:ascii="宋体" w:hAnsi="宋体" w:cs="宋体"/>
          <w:lang w:eastAsia="zh-CN"/>
        </w:rPr>
        <w:t>招标人</w:t>
      </w:r>
      <w:r>
        <w:rPr>
          <w:rFonts w:hint="eastAsia" w:ascii="宋体" w:hAnsi="宋体" w:eastAsia="宋体" w:cs="宋体"/>
        </w:rPr>
        <w:t>制订的安全与保密制度执行。</w:t>
      </w:r>
    </w:p>
    <w:p w14:paraId="34FF2B20">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健康和安全</w:t>
      </w:r>
    </w:p>
    <w:p w14:paraId="607AD507">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当地的健康和安全准则应被遵守。</w:t>
      </w:r>
    </w:p>
    <w:p w14:paraId="7637E2E7">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长期施工的供应商必须指派一名安全工程师。</w:t>
      </w:r>
    </w:p>
    <w:p w14:paraId="0D31C1FA">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总承包方及供应商应参加由</w:t>
      </w:r>
      <w:r>
        <w:rPr>
          <w:rFonts w:hint="eastAsia" w:ascii="宋体" w:hAnsi="宋体" w:cs="宋体"/>
          <w:lang w:eastAsia="zh-CN"/>
        </w:rPr>
        <w:t>招标人</w:t>
      </w:r>
      <w:r>
        <w:rPr>
          <w:rFonts w:hint="eastAsia" w:ascii="宋体" w:hAnsi="宋体" w:eastAsia="宋体" w:cs="宋体"/>
        </w:rPr>
        <w:t>牵头召开的周安全例会。</w:t>
      </w:r>
    </w:p>
    <w:p w14:paraId="3B3DB2D2">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按要求实行适当的安全程序。</w:t>
      </w:r>
    </w:p>
    <w:p w14:paraId="306C2DEA">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w:t>
      </w:r>
      <w:r>
        <w:rPr>
          <w:rFonts w:hint="eastAsia" w:ascii="宋体" w:hAnsi="宋体" w:cs="宋体"/>
          <w:lang w:eastAsia="zh-CN"/>
        </w:rPr>
        <w:t>投标人</w:t>
      </w:r>
      <w:r>
        <w:rPr>
          <w:rFonts w:hint="eastAsia" w:ascii="宋体" w:hAnsi="宋体" w:eastAsia="宋体" w:cs="宋体"/>
        </w:rPr>
        <w:t>的雇员如不遵守现场安全规程或工作现场的行为准则，将被从项目组中解雇并且不允许再聘用。</w:t>
      </w:r>
    </w:p>
    <w:p w14:paraId="40FC61CC">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所有施工人员按要求穿戴满足安全的服装，服装由</w:t>
      </w:r>
      <w:r>
        <w:rPr>
          <w:rFonts w:hint="eastAsia" w:ascii="宋体" w:hAnsi="宋体" w:cs="宋体"/>
          <w:lang w:eastAsia="zh-CN"/>
        </w:rPr>
        <w:t>投标人</w:t>
      </w:r>
      <w:r>
        <w:rPr>
          <w:rFonts w:hint="eastAsia" w:ascii="宋体" w:hAnsi="宋体" w:eastAsia="宋体" w:cs="宋体"/>
        </w:rPr>
        <w:t>提供。</w:t>
      </w:r>
    </w:p>
    <w:p w14:paraId="69EBC2D0">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进入现场前，</w:t>
      </w:r>
      <w:r>
        <w:rPr>
          <w:rFonts w:hint="eastAsia" w:ascii="宋体" w:hAnsi="宋体" w:cs="宋体"/>
          <w:lang w:eastAsia="zh-CN"/>
        </w:rPr>
        <w:t>投标人</w:t>
      </w:r>
      <w:r>
        <w:rPr>
          <w:rFonts w:hint="eastAsia" w:ascii="宋体" w:hAnsi="宋体" w:eastAsia="宋体" w:cs="宋体"/>
        </w:rPr>
        <w:t>应发通行证给每个</w:t>
      </w:r>
      <w:r>
        <w:rPr>
          <w:rFonts w:hint="eastAsia" w:ascii="宋体" w:hAnsi="宋体" w:cs="宋体"/>
          <w:lang w:eastAsia="zh-CN"/>
        </w:rPr>
        <w:t>投标人</w:t>
      </w:r>
      <w:r>
        <w:rPr>
          <w:rFonts w:hint="eastAsia" w:ascii="宋体" w:hAnsi="宋体" w:eastAsia="宋体" w:cs="宋体"/>
        </w:rPr>
        <w:t>人员，上面清楚地显示人员的姓名、识别码、所属公司和名称。所有</w:t>
      </w:r>
      <w:r>
        <w:rPr>
          <w:rFonts w:hint="eastAsia" w:ascii="宋体" w:hAnsi="宋体" w:cs="宋体"/>
          <w:lang w:eastAsia="zh-CN"/>
        </w:rPr>
        <w:t>投标人</w:t>
      </w:r>
      <w:r>
        <w:rPr>
          <w:rFonts w:hint="eastAsia" w:ascii="宋体" w:hAnsi="宋体" w:eastAsia="宋体" w:cs="宋体"/>
        </w:rPr>
        <w:t>人员必须携带此通行证，不携带通行证将被要求离开现场。</w:t>
      </w:r>
    </w:p>
    <w:p w14:paraId="48BE26FE">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应按要求对所有现场人员进行登记，并对其进行入场教育。</w:t>
      </w:r>
    </w:p>
    <w:p w14:paraId="532B7A85">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在不增加成本情况下，</w:t>
      </w:r>
      <w:r>
        <w:rPr>
          <w:rFonts w:hint="eastAsia" w:ascii="宋体" w:hAnsi="宋体" w:cs="宋体"/>
          <w:lang w:eastAsia="zh-CN"/>
        </w:rPr>
        <w:t>投标人</w:t>
      </w:r>
      <w:r>
        <w:rPr>
          <w:rFonts w:hint="eastAsia" w:ascii="宋体" w:hAnsi="宋体" w:eastAsia="宋体" w:cs="宋体"/>
        </w:rPr>
        <w:t>应提供并现场布置临时的隔板、封闭或保护装置</w:t>
      </w:r>
    </w:p>
    <w:p w14:paraId="52DE8F9B">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应确保</w:t>
      </w:r>
      <w:r>
        <w:rPr>
          <w:rFonts w:hint="eastAsia" w:ascii="宋体" w:hAnsi="宋体" w:cs="宋体"/>
          <w:lang w:eastAsia="zh-CN"/>
        </w:rPr>
        <w:t>投标人</w:t>
      </w:r>
      <w:r>
        <w:rPr>
          <w:rFonts w:hint="eastAsia" w:ascii="宋体" w:hAnsi="宋体" w:eastAsia="宋体" w:cs="宋体"/>
        </w:rPr>
        <w:t>的管理人员和雇员的操作都贯彻现场健康和安全的规程。</w:t>
      </w:r>
    </w:p>
    <w:p w14:paraId="746ED774">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任何工作开始前，现场工程师给出安全操作表，</w:t>
      </w:r>
      <w:r>
        <w:rPr>
          <w:rFonts w:hint="eastAsia" w:ascii="宋体" w:hAnsi="宋体" w:cs="宋体"/>
          <w:lang w:eastAsia="zh-CN"/>
        </w:rPr>
        <w:t>投标人</w:t>
      </w:r>
      <w:r>
        <w:rPr>
          <w:rFonts w:hint="eastAsia" w:ascii="宋体" w:hAnsi="宋体" w:eastAsia="宋体" w:cs="宋体"/>
        </w:rPr>
        <w:t>应按要求贯彻执行。</w:t>
      </w:r>
    </w:p>
    <w:p w14:paraId="35980EA3">
      <w:pPr>
        <w:pStyle w:val="17"/>
        <w:pageBreakBefore w:val="0"/>
        <w:widowControl/>
        <w:numPr>
          <w:ilvl w:val="0"/>
          <w:numId w:val="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安装时如地面格栅板被移走，现场应设置足够的标识和围栏以确保安全。格栅板应被放回原位，损坏的格栅板应被替换，由此发生的费用由</w:t>
      </w:r>
      <w:r>
        <w:rPr>
          <w:rFonts w:hint="eastAsia" w:ascii="宋体" w:hAnsi="宋体" w:cs="宋体"/>
          <w:lang w:eastAsia="zh-CN"/>
        </w:rPr>
        <w:t>投标人</w:t>
      </w:r>
      <w:r>
        <w:rPr>
          <w:rFonts w:hint="eastAsia" w:ascii="宋体" w:hAnsi="宋体" w:eastAsia="宋体" w:cs="宋体"/>
        </w:rPr>
        <w:t>承担。</w:t>
      </w:r>
    </w:p>
    <w:p w14:paraId="7A698066">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现场环境</w:t>
      </w:r>
    </w:p>
    <w:p w14:paraId="3D97FAAD">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应运送所有设备到达工作场地，运送范围包括储藏处、运送路径、安装地点。</w:t>
      </w:r>
    </w:p>
    <w:p w14:paraId="18122388">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大件设备发货前24小时，必须通知</w:t>
      </w:r>
      <w:r>
        <w:rPr>
          <w:rFonts w:hint="eastAsia" w:ascii="宋体" w:hAnsi="宋体" w:cs="宋体"/>
          <w:lang w:eastAsia="zh-CN"/>
        </w:rPr>
        <w:t>招标人</w:t>
      </w:r>
      <w:r>
        <w:rPr>
          <w:rFonts w:hint="eastAsia" w:ascii="宋体" w:hAnsi="宋体" w:eastAsia="宋体" w:cs="宋体"/>
        </w:rPr>
        <w:t>。</w:t>
      </w:r>
    </w:p>
    <w:p w14:paraId="79487F2A">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应负责异地制造的设备卸货。</w:t>
      </w:r>
    </w:p>
    <w:p w14:paraId="4E4DE277">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应确保设备安全，免受天气的不良影响。</w:t>
      </w:r>
    </w:p>
    <w:p w14:paraId="082FE3E4">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应提供安装过程中所需的叉车、吊车和特殊的设备。</w:t>
      </w:r>
      <w:r>
        <w:rPr>
          <w:rFonts w:hint="eastAsia" w:ascii="宋体" w:hAnsi="宋体" w:cs="宋体"/>
          <w:lang w:eastAsia="zh-CN"/>
        </w:rPr>
        <w:t>招标人</w:t>
      </w:r>
      <w:r>
        <w:rPr>
          <w:rFonts w:hint="eastAsia" w:ascii="宋体" w:hAnsi="宋体" w:eastAsia="宋体" w:cs="宋体"/>
        </w:rPr>
        <w:t>不会为此提供设备和人力。</w:t>
      </w:r>
    </w:p>
    <w:p w14:paraId="4CD52B49">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必须提供现场棚屋、厕所设施和工具、材料的仓库。现场棚屋的面积需征得</w:t>
      </w:r>
      <w:r>
        <w:rPr>
          <w:rFonts w:hint="eastAsia" w:ascii="宋体" w:hAnsi="宋体" w:cs="宋体"/>
          <w:lang w:eastAsia="zh-CN"/>
        </w:rPr>
        <w:t>招标人</w:t>
      </w:r>
      <w:r>
        <w:rPr>
          <w:rFonts w:hint="eastAsia" w:ascii="宋体" w:hAnsi="宋体" w:eastAsia="宋体" w:cs="宋体"/>
        </w:rPr>
        <w:t>的同意。需要注意的是棚屋不应紧邻安装现场，不应设停车位。</w:t>
      </w:r>
    </w:p>
    <w:p w14:paraId="513B8476">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尽量使仓库和工作区域紧邻安装现场。</w:t>
      </w:r>
    </w:p>
    <w:p w14:paraId="4DC5BDCC">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负责仓库的安全和设备、材料的安全处置。</w:t>
      </w:r>
    </w:p>
    <w:p w14:paraId="034391E3">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材料仓库和设备存放地点不应与制作过程或其他</w:t>
      </w:r>
      <w:r>
        <w:rPr>
          <w:rFonts w:hint="eastAsia" w:ascii="宋体" w:hAnsi="宋体" w:cs="宋体"/>
          <w:lang w:eastAsia="zh-CN"/>
        </w:rPr>
        <w:t>投标人</w:t>
      </w:r>
      <w:r>
        <w:rPr>
          <w:rFonts w:hint="eastAsia" w:ascii="宋体" w:hAnsi="宋体" w:eastAsia="宋体" w:cs="宋体"/>
        </w:rPr>
        <w:t>的工作相干涉。必要时，</w:t>
      </w:r>
      <w:r>
        <w:rPr>
          <w:rFonts w:hint="eastAsia" w:ascii="宋体" w:hAnsi="宋体" w:cs="宋体"/>
          <w:lang w:eastAsia="zh-CN"/>
        </w:rPr>
        <w:t>投标人</w:t>
      </w:r>
      <w:r>
        <w:rPr>
          <w:rFonts w:hint="eastAsia" w:ascii="宋体" w:hAnsi="宋体" w:eastAsia="宋体" w:cs="宋体"/>
        </w:rPr>
        <w:t>出资移动材料和设备。</w:t>
      </w:r>
    </w:p>
    <w:p w14:paraId="7994BEB2">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所有出入现场的车辆须有</w:t>
      </w:r>
      <w:r>
        <w:rPr>
          <w:rFonts w:hint="eastAsia" w:ascii="宋体" w:hAnsi="宋体" w:cs="宋体"/>
          <w:lang w:eastAsia="zh-CN"/>
        </w:rPr>
        <w:t>招标人</w:t>
      </w:r>
      <w:r>
        <w:rPr>
          <w:rFonts w:hint="eastAsia" w:ascii="宋体" w:hAnsi="宋体" w:eastAsia="宋体" w:cs="宋体"/>
        </w:rPr>
        <w:t>颁发的有一定限制的通行证。</w:t>
      </w:r>
    </w:p>
    <w:p w14:paraId="091CAE58">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得到</w:t>
      </w:r>
      <w:r>
        <w:rPr>
          <w:rFonts w:hint="eastAsia" w:ascii="宋体" w:hAnsi="宋体" w:cs="宋体"/>
          <w:lang w:eastAsia="zh-CN"/>
        </w:rPr>
        <w:t>招标人</w:t>
      </w:r>
      <w:r>
        <w:rPr>
          <w:rFonts w:hint="eastAsia" w:ascii="宋体" w:hAnsi="宋体" w:eastAsia="宋体" w:cs="宋体"/>
        </w:rPr>
        <w:t>认定的通行许可证仅限于与施工有关的车辆。</w:t>
      </w:r>
    </w:p>
    <w:p w14:paraId="094AD137">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不承担</w:t>
      </w:r>
      <w:r>
        <w:rPr>
          <w:rFonts w:hint="eastAsia" w:ascii="宋体" w:hAnsi="宋体" w:cs="宋体"/>
          <w:lang w:eastAsia="zh-CN"/>
        </w:rPr>
        <w:t>投标人</w:t>
      </w:r>
      <w:r>
        <w:rPr>
          <w:rFonts w:hint="eastAsia" w:ascii="宋体" w:hAnsi="宋体" w:eastAsia="宋体" w:cs="宋体"/>
        </w:rPr>
        <w:t>的工具、设备、材料等的保护责任。</w:t>
      </w:r>
    </w:p>
    <w:p w14:paraId="24B29CC2">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应提供保护材料。</w:t>
      </w:r>
    </w:p>
    <w:p w14:paraId="27111431">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包装材料、包装箱在用过之后应立即从现场移走。</w:t>
      </w:r>
    </w:p>
    <w:p w14:paraId="17631B20">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应每天清理工作区域，使用其自行提供的吸尘器。如果清理标准不能令人满意，</w:t>
      </w:r>
      <w:r>
        <w:rPr>
          <w:rFonts w:hint="eastAsia" w:ascii="宋体" w:hAnsi="宋体" w:cs="宋体"/>
          <w:lang w:eastAsia="zh-CN"/>
        </w:rPr>
        <w:t>招标人</w:t>
      </w:r>
      <w:r>
        <w:rPr>
          <w:rFonts w:hint="eastAsia" w:ascii="宋体" w:hAnsi="宋体" w:eastAsia="宋体" w:cs="宋体"/>
        </w:rPr>
        <w:t>保留对现场进行清理并向</w:t>
      </w:r>
      <w:r>
        <w:rPr>
          <w:rFonts w:hint="eastAsia" w:ascii="宋体" w:hAnsi="宋体" w:cs="宋体"/>
          <w:lang w:eastAsia="zh-CN"/>
        </w:rPr>
        <w:t>投标人</w:t>
      </w:r>
      <w:r>
        <w:rPr>
          <w:rFonts w:hint="eastAsia" w:ascii="宋体" w:hAnsi="宋体" w:eastAsia="宋体" w:cs="宋体"/>
        </w:rPr>
        <w:t>索赔的权利。</w:t>
      </w:r>
    </w:p>
    <w:p w14:paraId="2A5F68E2">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设备安装完成后，</w:t>
      </w:r>
      <w:r>
        <w:rPr>
          <w:rFonts w:hint="eastAsia" w:ascii="宋体" w:hAnsi="宋体" w:cs="宋体"/>
          <w:lang w:eastAsia="zh-CN"/>
        </w:rPr>
        <w:t>投标人</w:t>
      </w:r>
      <w:r>
        <w:rPr>
          <w:rFonts w:hint="eastAsia" w:ascii="宋体" w:hAnsi="宋体" w:eastAsia="宋体" w:cs="宋体"/>
        </w:rPr>
        <w:t>应清理并擦净工作区域和所安装设备的内部。</w:t>
      </w:r>
    </w:p>
    <w:p w14:paraId="5F1EB2BE">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应保护所有财产并在整个建造期间出于工作需要提供临时围房和护栏以保证人员和设备安全。</w:t>
      </w:r>
    </w:p>
    <w:p w14:paraId="4D52FC65">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应在所有碎片和残渣产生后马上移除，保证工作区域清洁，完全达到</w:t>
      </w:r>
      <w:r>
        <w:rPr>
          <w:rFonts w:hint="eastAsia" w:ascii="宋体" w:hAnsi="宋体" w:cs="宋体"/>
          <w:lang w:eastAsia="zh-CN"/>
        </w:rPr>
        <w:t>招标人</w:t>
      </w:r>
      <w:r>
        <w:rPr>
          <w:rFonts w:hint="eastAsia" w:ascii="宋体" w:hAnsi="宋体" w:eastAsia="宋体" w:cs="宋体"/>
        </w:rPr>
        <w:t>的满意。碎片等的处理应符合</w:t>
      </w:r>
      <w:r>
        <w:rPr>
          <w:rFonts w:hint="eastAsia" w:ascii="宋体" w:hAnsi="宋体" w:cs="宋体"/>
          <w:lang w:eastAsia="zh-CN"/>
        </w:rPr>
        <w:t>招标人</w:t>
      </w:r>
      <w:r>
        <w:rPr>
          <w:rFonts w:hint="eastAsia" w:ascii="宋体" w:hAnsi="宋体" w:eastAsia="宋体" w:cs="宋体"/>
        </w:rPr>
        <w:t>和法相关规的要求。</w:t>
      </w:r>
    </w:p>
    <w:p w14:paraId="0360B9E6">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在出现争执时，</w:t>
      </w:r>
      <w:r>
        <w:rPr>
          <w:rFonts w:hint="eastAsia" w:ascii="宋体" w:hAnsi="宋体" w:cs="宋体"/>
          <w:lang w:eastAsia="zh-CN"/>
        </w:rPr>
        <w:t>招标人</w:t>
      </w:r>
      <w:r>
        <w:rPr>
          <w:rFonts w:hint="eastAsia" w:ascii="宋体" w:hAnsi="宋体" w:eastAsia="宋体" w:cs="宋体"/>
        </w:rPr>
        <w:t>保留清除</w:t>
      </w:r>
      <w:r>
        <w:rPr>
          <w:rFonts w:hint="eastAsia" w:ascii="宋体" w:hAnsi="宋体" w:cs="宋体"/>
          <w:lang w:eastAsia="zh-CN"/>
        </w:rPr>
        <w:t>投标人</w:t>
      </w:r>
      <w:r>
        <w:rPr>
          <w:rFonts w:hint="eastAsia" w:ascii="宋体" w:hAnsi="宋体" w:eastAsia="宋体" w:cs="宋体"/>
        </w:rPr>
        <w:t>产生的废渣并向其索赔的权利。</w:t>
      </w:r>
    </w:p>
    <w:p w14:paraId="20642417">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在接收材料和设备时应使用指定的入口门和车间内通道。</w:t>
      </w:r>
    </w:p>
    <w:p w14:paraId="7991BCC9">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任何时候不允许任何车辆超出道路承载能力，并且只允许橡胶轮胎的车辆在水泥路面和硬路面上行驶。</w:t>
      </w:r>
    </w:p>
    <w:p w14:paraId="36C9D01E">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由</w:t>
      </w:r>
      <w:r>
        <w:rPr>
          <w:rFonts w:hint="eastAsia" w:ascii="宋体" w:hAnsi="宋体" w:cs="宋体"/>
          <w:lang w:eastAsia="zh-CN"/>
        </w:rPr>
        <w:t>投标人</w:t>
      </w:r>
      <w:r>
        <w:rPr>
          <w:rFonts w:hint="eastAsia" w:ascii="宋体" w:hAnsi="宋体" w:eastAsia="宋体" w:cs="宋体"/>
        </w:rPr>
        <w:t>原因导致的建筑物或道路的损坏应被修好，达到</w:t>
      </w:r>
      <w:r>
        <w:rPr>
          <w:rFonts w:hint="eastAsia" w:ascii="宋体" w:hAnsi="宋体" w:cs="宋体"/>
          <w:lang w:eastAsia="zh-CN"/>
        </w:rPr>
        <w:t>招标人</w:t>
      </w:r>
      <w:r>
        <w:rPr>
          <w:rFonts w:hint="eastAsia" w:ascii="宋体" w:hAnsi="宋体" w:eastAsia="宋体" w:cs="宋体"/>
        </w:rPr>
        <w:t>的满意，费用由</w:t>
      </w:r>
      <w:r>
        <w:rPr>
          <w:rFonts w:hint="eastAsia" w:ascii="宋体" w:hAnsi="宋体" w:cs="宋体"/>
          <w:lang w:eastAsia="zh-CN"/>
        </w:rPr>
        <w:t>投标人</w:t>
      </w:r>
      <w:r>
        <w:rPr>
          <w:rFonts w:hint="eastAsia" w:ascii="宋体" w:hAnsi="宋体" w:eastAsia="宋体" w:cs="宋体"/>
        </w:rPr>
        <w:t>出。</w:t>
      </w:r>
    </w:p>
    <w:p w14:paraId="40302FDE">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必须考虑必要的预防措施以保护</w:t>
      </w:r>
      <w:r>
        <w:rPr>
          <w:rFonts w:hint="eastAsia" w:ascii="宋体" w:hAnsi="宋体" w:cs="宋体"/>
          <w:lang w:eastAsia="zh-CN"/>
        </w:rPr>
        <w:t>招标人</w:t>
      </w:r>
      <w:r>
        <w:rPr>
          <w:rFonts w:hint="eastAsia" w:ascii="宋体" w:hAnsi="宋体" w:eastAsia="宋体" w:cs="宋体"/>
        </w:rPr>
        <w:t>房屋的固定设施、配件和建筑物不致损坏。由于</w:t>
      </w:r>
      <w:r>
        <w:rPr>
          <w:rFonts w:hint="eastAsia" w:ascii="宋体" w:hAnsi="宋体" w:cs="宋体"/>
          <w:lang w:eastAsia="zh-CN"/>
        </w:rPr>
        <w:t>投标人</w:t>
      </w:r>
      <w:r>
        <w:rPr>
          <w:rFonts w:hint="eastAsia" w:ascii="宋体" w:hAnsi="宋体" w:eastAsia="宋体" w:cs="宋体"/>
        </w:rPr>
        <w:t>及其控制下的任何</w:t>
      </w:r>
      <w:r>
        <w:rPr>
          <w:rFonts w:hint="eastAsia" w:ascii="宋体" w:hAnsi="宋体" w:cs="宋体"/>
          <w:lang w:eastAsia="zh-CN"/>
        </w:rPr>
        <w:t>投标人</w:t>
      </w:r>
      <w:r>
        <w:rPr>
          <w:rFonts w:hint="eastAsia" w:ascii="宋体" w:hAnsi="宋体" w:eastAsia="宋体" w:cs="宋体"/>
        </w:rPr>
        <w:t>的原因而产生的维修将由责任</w:t>
      </w:r>
      <w:r>
        <w:rPr>
          <w:rFonts w:hint="eastAsia" w:ascii="宋体" w:hAnsi="宋体" w:cs="宋体"/>
          <w:lang w:eastAsia="zh-CN"/>
        </w:rPr>
        <w:t>投标人</w:t>
      </w:r>
      <w:r>
        <w:rPr>
          <w:rFonts w:hint="eastAsia" w:ascii="宋体" w:hAnsi="宋体" w:eastAsia="宋体" w:cs="宋体"/>
        </w:rPr>
        <w:t>承担费用。</w:t>
      </w:r>
    </w:p>
    <w:p w14:paraId="13DE54DD">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灰尘：因工作原因导致灰尘排放，该区域必须用有效的防尘幕布与相邻区域隔离。在施工期间防尘幕布必须保持完整。</w:t>
      </w:r>
    </w:p>
    <w:p w14:paraId="1A700A6E">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噪音：</w:t>
      </w:r>
      <w:r>
        <w:rPr>
          <w:rFonts w:hint="eastAsia" w:ascii="宋体" w:hAnsi="宋体" w:cs="宋体"/>
          <w:lang w:eastAsia="zh-CN"/>
        </w:rPr>
        <w:t>投标人</w:t>
      </w:r>
      <w:r>
        <w:rPr>
          <w:rFonts w:hint="eastAsia" w:ascii="宋体" w:hAnsi="宋体" w:eastAsia="宋体" w:cs="宋体"/>
        </w:rPr>
        <w:t>及其分包商必须保证其工作所产生的噪音不会对工厂周边的噪音水平产生负面影响，以免导致当地居民的抱怨。</w:t>
      </w:r>
    </w:p>
    <w:p w14:paraId="35918B72">
      <w:pPr>
        <w:pStyle w:val="17"/>
        <w:pageBreakBefore w:val="0"/>
        <w:widowControl/>
        <w:numPr>
          <w:ilvl w:val="0"/>
          <w:numId w:val="5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气味：可行的话，汽油或柴油驱动的车辆和设备不应在工厂建筑物内使用。如不可避免，也必须极少使用，而且不用时停止运转。</w:t>
      </w:r>
    </w:p>
    <w:p w14:paraId="7E96FF30">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实验、检查和试运行</w:t>
      </w:r>
    </w:p>
    <w:p w14:paraId="154B12ED">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应保证实验验证标书中的各项要求都已达到。</w:t>
      </w:r>
    </w:p>
    <w:p w14:paraId="2BB9D614">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所有实验应由</w:t>
      </w:r>
      <w:r>
        <w:rPr>
          <w:rFonts w:hint="eastAsia" w:ascii="宋体" w:hAnsi="宋体" w:cs="宋体"/>
          <w:lang w:eastAsia="zh-CN"/>
        </w:rPr>
        <w:t>招标人</w:t>
      </w:r>
      <w:r>
        <w:rPr>
          <w:rFonts w:hint="eastAsia" w:ascii="宋体" w:hAnsi="宋体" w:eastAsia="宋体" w:cs="宋体"/>
        </w:rPr>
        <w:t>监督实施。</w:t>
      </w:r>
    </w:p>
    <w:p w14:paraId="29071EF3">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任何不完善的工作应被去除、替换然后重新验证直到达到</w:t>
      </w:r>
      <w:r>
        <w:rPr>
          <w:rFonts w:hint="eastAsia" w:ascii="宋体" w:hAnsi="宋体" w:cs="宋体"/>
          <w:lang w:eastAsia="zh-CN"/>
        </w:rPr>
        <w:t>招标人</w:t>
      </w:r>
      <w:r>
        <w:rPr>
          <w:rFonts w:hint="eastAsia" w:ascii="宋体" w:hAnsi="宋体" w:eastAsia="宋体" w:cs="宋体"/>
        </w:rPr>
        <w:t>的认可，费用由</w:t>
      </w:r>
      <w:r>
        <w:rPr>
          <w:rFonts w:hint="eastAsia" w:ascii="宋体" w:hAnsi="宋体" w:cs="宋体"/>
          <w:lang w:eastAsia="zh-CN"/>
        </w:rPr>
        <w:t>投标人</w:t>
      </w:r>
      <w:r>
        <w:rPr>
          <w:rFonts w:hint="eastAsia" w:ascii="宋体" w:hAnsi="宋体" w:eastAsia="宋体" w:cs="宋体"/>
        </w:rPr>
        <w:t>承担。</w:t>
      </w:r>
    </w:p>
    <w:p w14:paraId="61DF2018">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实验或检查进行前48小时，</w:t>
      </w:r>
      <w:r>
        <w:rPr>
          <w:rFonts w:hint="eastAsia" w:ascii="宋体" w:hAnsi="宋体" w:cs="宋体"/>
          <w:lang w:eastAsia="zh-CN"/>
        </w:rPr>
        <w:t>投标人</w:t>
      </w:r>
      <w:r>
        <w:rPr>
          <w:rFonts w:hint="eastAsia" w:ascii="宋体" w:hAnsi="宋体" w:eastAsia="宋体" w:cs="宋体"/>
        </w:rPr>
        <w:t>应书面通知</w:t>
      </w:r>
      <w:r>
        <w:rPr>
          <w:rFonts w:hint="eastAsia" w:ascii="宋体" w:hAnsi="宋体" w:cs="宋体"/>
          <w:lang w:eastAsia="zh-CN"/>
        </w:rPr>
        <w:t>招标人</w:t>
      </w:r>
      <w:r>
        <w:rPr>
          <w:rFonts w:hint="eastAsia" w:ascii="宋体" w:hAnsi="宋体" w:eastAsia="宋体" w:cs="宋体"/>
        </w:rPr>
        <w:t>。如果实验是在设备制造处而不是在生产现场进行，需要至少提前10天通知</w:t>
      </w:r>
      <w:r>
        <w:rPr>
          <w:rFonts w:hint="eastAsia" w:ascii="宋体" w:hAnsi="宋体" w:cs="宋体"/>
          <w:lang w:eastAsia="zh-CN"/>
        </w:rPr>
        <w:t>招标人</w:t>
      </w:r>
      <w:r>
        <w:rPr>
          <w:rFonts w:hint="eastAsia" w:ascii="宋体" w:hAnsi="宋体" w:eastAsia="宋体" w:cs="宋体"/>
        </w:rPr>
        <w:t>。</w:t>
      </w:r>
    </w:p>
    <w:p w14:paraId="7706885E">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设备的验收计划应包含设计的功能参数，涉及试运行和验收等活动。</w:t>
      </w:r>
    </w:p>
    <w:p w14:paraId="40B49B4B">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该计划应标明时间安排以及为了满足设计的功能参数所采取的方法，至少包括下列各项：</w:t>
      </w:r>
    </w:p>
    <w:p w14:paraId="541FBDAC">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电气实验；</w:t>
      </w:r>
    </w:p>
    <w:p w14:paraId="53F6D71D">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点对点的接线实验；</w:t>
      </w:r>
    </w:p>
    <w:p w14:paraId="71124813">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安全和紧急停止线路；</w:t>
      </w:r>
    </w:p>
    <w:p w14:paraId="3696D5E4">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输入/输出检查；</w:t>
      </w:r>
    </w:p>
    <w:p w14:paraId="1DBB4EA5">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软件验证；</w:t>
      </w:r>
    </w:p>
    <w:p w14:paraId="144CEF10">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监控系统和PLC之间的数据通讯；</w:t>
      </w:r>
    </w:p>
    <w:p w14:paraId="13EF351A">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PLC之间的数据通讯；</w:t>
      </w:r>
    </w:p>
    <w:p w14:paraId="4FD86841">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故障模拟和显示（100%）-在制造厂处实验；</w:t>
      </w:r>
    </w:p>
    <w:p w14:paraId="13CB2A32">
      <w:pPr>
        <w:pStyle w:val="17"/>
        <w:pageBreakBefore w:val="0"/>
        <w:widowControl/>
        <w:numPr>
          <w:ilvl w:val="0"/>
          <w:numId w:val="53"/>
        </w:numPr>
        <w:kinsoku/>
        <w:wordWrap/>
        <w:topLinePunct w:val="0"/>
        <w:bidi w:val="0"/>
        <w:adjustRightInd w:val="0"/>
        <w:snapToGrid w:val="0"/>
        <w:spacing w:before="0" w:after="0" w:afterAutospacing="0" w:line="360" w:lineRule="auto"/>
        <w:ind w:left="454" w:leftChars="0" w:hanging="454" w:firstLineChars="0"/>
        <w:rPr>
          <w:rFonts w:hint="eastAsia" w:ascii="宋体" w:hAnsi="宋体" w:eastAsia="宋体" w:cs="宋体"/>
        </w:rPr>
      </w:pPr>
      <w:r>
        <w:rPr>
          <w:rFonts w:hint="eastAsia" w:ascii="宋体" w:hAnsi="宋体" w:eastAsia="宋体" w:cs="宋体"/>
        </w:rPr>
        <w:t>抽样检查故障的发生-在现场实验。</w:t>
      </w:r>
    </w:p>
    <w:p w14:paraId="2EEDE62B">
      <w:pPr>
        <w:pStyle w:val="17"/>
        <w:pageBreakBefore w:val="0"/>
        <w:widowControl/>
        <w:numPr>
          <w:ilvl w:val="0"/>
          <w:numId w:val="52"/>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试运行情况应全部记录形成文件，作为最终文件的一部分。</w:t>
      </w:r>
    </w:p>
    <w:p w14:paraId="2F05D1F5">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环境报告</w:t>
      </w:r>
    </w:p>
    <w:p w14:paraId="4CF3DD0C">
      <w:pPr>
        <w:pStyle w:val="17"/>
        <w:pageBreakBefore w:val="0"/>
        <w:widowControl/>
        <w:numPr>
          <w:ilvl w:val="0"/>
          <w:numId w:val="5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在设备安装和交付后依据</w:t>
      </w:r>
      <w:r>
        <w:rPr>
          <w:rFonts w:hint="eastAsia" w:ascii="宋体" w:hAnsi="宋体" w:cs="宋体"/>
          <w:lang w:eastAsia="zh-CN"/>
        </w:rPr>
        <w:t>招标人</w:t>
      </w:r>
      <w:r>
        <w:rPr>
          <w:rFonts w:hint="eastAsia" w:ascii="宋体" w:hAnsi="宋体" w:eastAsia="宋体" w:cs="宋体"/>
        </w:rPr>
        <w:t>要求返回现场，和</w:t>
      </w:r>
      <w:r>
        <w:rPr>
          <w:rFonts w:hint="eastAsia" w:ascii="宋体" w:hAnsi="宋体" w:cs="宋体"/>
          <w:lang w:eastAsia="zh-CN"/>
        </w:rPr>
        <w:t>招标人</w:t>
      </w:r>
      <w:r>
        <w:rPr>
          <w:rFonts w:hint="eastAsia" w:ascii="宋体" w:hAnsi="宋体" w:eastAsia="宋体" w:cs="宋体"/>
        </w:rPr>
        <w:t>维修人员一起对输送设备和相关设备进行详细的检查。</w:t>
      </w:r>
    </w:p>
    <w:p w14:paraId="219D1A2E">
      <w:pPr>
        <w:pStyle w:val="17"/>
        <w:pageBreakBefore w:val="0"/>
        <w:widowControl/>
        <w:numPr>
          <w:ilvl w:val="0"/>
          <w:numId w:val="54"/>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出具全面的书面报告描述车间和设备的情况，如有非正常情况存在应查清并替换或调整，对此</w:t>
      </w:r>
      <w:r>
        <w:rPr>
          <w:rFonts w:hint="eastAsia" w:ascii="宋体" w:hAnsi="宋体" w:cs="宋体"/>
          <w:lang w:eastAsia="zh-CN"/>
        </w:rPr>
        <w:t>招标人</w:t>
      </w:r>
      <w:r>
        <w:rPr>
          <w:rFonts w:hint="eastAsia" w:ascii="宋体" w:hAnsi="宋体" w:eastAsia="宋体" w:cs="宋体"/>
        </w:rPr>
        <w:t>不承担费用。维修的过程被监控以确保正确处理该设备问题，任何违规行为将在报告中被突出标明。</w:t>
      </w:r>
    </w:p>
    <w:p w14:paraId="14ADA21E">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临时设施</w:t>
      </w:r>
    </w:p>
    <w:p w14:paraId="2F5CAEE3">
      <w:pPr>
        <w:pStyle w:val="17"/>
        <w:pageBreakBefore w:val="0"/>
        <w:widowControl/>
        <w:numPr>
          <w:ilvl w:val="0"/>
          <w:numId w:val="55"/>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临时梯子、楼梯、护栏、地板和脚手架。</w:t>
      </w:r>
    </w:p>
    <w:p w14:paraId="53ADBABD">
      <w:pPr>
        <w:pStyle w:val="17"/>
        <w:pageBreakBefore w:val="0"/>
        <w:widowControl/>
        <w:numPr>
          <w:ilvl w:val="0"/>
          <w:numId w:val="55"/>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处于建造需要在所有敞开区域</w:t>
      </w:r>
      <w:r>
        <w:rPr>
          <w:rFonts w:hint="eastAsia" w:ascii="宋体" w:hAnsi="宋体" w:cs="宋体"/>
          <w:lang w:eastAsia="zh-CN"/>
        </w:rPr>
        <w:t>投标人</w:t>
      </w:r>
      <w:r>
        <w:rPr>
          <w:rFonts w:hint="eastAsia" w:ascii="宋体" w:hAnsi="宋体" w:eastAsia="宋体" w:cs="宋体"/>
        </w:rPr>
        <w:t>应提供并维持临时梯子、楼梯和地板以及合适的护栏和坚固的路障以保护工人。梯子、楼梯、护栏应符合该工作领域内专职安全员的所有要求。这些物资在工作完成后应被移出现场。</w:t>
      </w:r>
    </w:p>
    <w:p w14:paraId="6715AD8F">
      <w:pPr>
        <w:pStyle w:val="17"/>
        <w:pageBreakBefore w:val="0"/>
        <w:widowControl/>
        <w:numPr>
          <w:ilvl w:val="0"/>
          <w:numId w:val="55"/>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如需脚手架，</w:t>
      </w:r>
      <w:r>
        <w:rPr>
          <w:rFonts w:hint="eastAsia" w:ascii="宋体" w:hAnsi="宋体" w:cs="宋体"/>
          <w:lang w:eastAsia="zh-CN"/>
        </w:rPr>
        <w:t>投标人</w:t>
      </w:r>
      <w:r>
        <w:rPr>
          <w:rFonts w:hint="eastAsia" w:ascii="宋体" w:hAnsi="宋体" w:eastAsia="宋体" w:cs="宋体"/>
        </w:rPr>
        <w:t>应能：</w:t>
      </w:r>
    </w:p>
    <w:p w14:paraId="32B2A88F">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脚手架应以坚固、可靠和安全的方式建造并维持，与墙面保持独立，并符合专职安全员的要求；</w:t>
      </w:r>
    </w:p>
    <w:p w14:paraId="12E632EE">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脚手架应避免与其他工作相干涉；</w:t>
      </w:r>
    </w:p>
    <w:p w14:paraId="3CCC7954">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不使用时，移除脚手架，以便进行其他安装工作；</w:t>
      </w:r>
    </w:p>
    <w:p w14:paraId="78CFF668">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不需要时要立即移除脚手架；</w:t>
      </w:r>
    </w:p>
    <w:p w14:paraId="495D195E">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建造过程中应保护临近脚手架的墙体表面以免被损坏，如有损坏应修复；</w:t>
      </w:r>
    </w:p>
    <w:p w14:paraId="7A6B493E">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脚手架移走后清理现场；</w:t>
      </w:r>
    </w:p>
    <w:p w14:paraId="680B92BF">
      <w:pPr>
        <w:pStyle w:val="17"/>
        <w:pageBreakBefore w:val="0"/>
        <w:widowControl/>
        <w:numPr>
          <w:ilvl w:val="0"/>
          <w:numId w:val="5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只允许经过培训并被授权的人员进行脚手架的安装、更改和移除。</w:t>
      </w:r>
    </w:p>
    <w:p w14:paraId="0892CA15">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火灾的预防措施和保护措施</w:t>
      </w:r>
    </w:p>
    <w:p w14:paraId="14BF115D">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的高温操作程序必须被严格遵循，此外还应：</w:t>
      </w:r>
    </w:p>
    <w:p w14:paraId="2E912278">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负责项目的现场经理和</w:t>
      </w:r>
      <w:r>
        <w:rPr>
          <w:rFonts w:hint="eastAsia" w:ascii="宋体" w:hAnsi="宋体" w:cs="宋体"/>
          <w:lang w:eastAsia="zh-CN"/>
        </w:rPr>
        <w:t>招标人</w:t>
      </w:r>
      <w:r>
        <w:rPr>
          <w:rFonts w:hint="eastAsia" w:ascii="宋体" w:hAnsi="宋体" w:eastAsia="宋体" w:cs="宋体"/>
        </w:rPr>
        <w:t>至少每周一次对整个项目进行检查以确保规定被执行；</w:t>
      </w:r>
    </w:p>
    <w:p w14:paraId="1E8ADB5F">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现场只应存放合理数量的易燃材料，存放地点必须经过</w:t>
      </w:r>
      <w:r>
        <w:rPr>
          <w:rFonts w:hint="eastAsia" w:ascii="宋体" w:hAnsi="宋体" w:cs="宋体"/>
          <w:lang w:eastAsia="zh-CN"/>
        </w:rPr>
        <w:t>招标人</w:t>
      </w:r>
      <w:r>
        <w:rPr>
          <w:rFonts w:hint="eastAsia" w:ascii="宋体" w:hAnsi="宋体" w:eastAsia="宋体" w:cs="宋体"/>
        </w:rPr>
        <w:t>认可；</w:t>
      </w:r>
    </w:p>
    <w:p w14:paraId="493B0417">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建造时使用的防水帆布篷应是阻燃型，安装牢固避免损坏；</w:t>
      </w:r>
    </w:p>
    <w:p w14:paraId="240035E6">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任何吸油擦布、吸油纸及其他易燃材料在当天工作结束后从厂房内移除，必要时增加移除频次。</w:t>
      </w:r>
      <w:r>
        <w:rPr>
          <w:rFonts w:hint="eastAsia" w:ascii="宋体" w:hAnsi="宋体" w:cs="宋体"/>
          <w:lang w:eastAsia="zh-CN"/>
        </w:rPr>
        <w:t>投标人</w:t>
      </w:r>
      <w:r>
        <w:rPr>
          <w:rFonts w:hint="eastAsia" w:ascii="宋体" w:hAnsi="宋体" w:eastAsia="宋体" w:cs="宋体"/>
        </w:rPr>
        <w:t>提供带自关盖的容器盛放吸油擦布；</w:t>
      </w:r>
    </w:p>
    <w:p w14:paraId="1DF59511">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汽油、溶剂及类似易燃物不应倒入下水道、检修孔或下水井中，应该同所有易燃的或易自燃的废弃物一起按</w:t>
      </w:r>
      <w:r>
        <w:rPr>
          <w:rFonts w:hint="eastAsia" w:ascii="宋体" w:hAnsi="宋体" w:cs="宋体"/>
          <w:lang w:eastAsia="zh-CN"/>
        </w:rPr>
        <w:t>招标人</w:t>
      </w:r>
      <w:r>
        <w:rPr>
          <w:rFonts w:hint="eastAsia" w:ascii="宋体" w:hAnsi="宋体" w:eastAsia="宋体" w:cs="宋体"/>
        </w:rPr>
        <w:t>认可的方式进行处理，上述材料在进场前应得到</w:t>
      </w:r>
      <w:r>
        <w:rPr>
          <w:rFonts w:hint="eastAsia" w:ascii="宋体" w:hAnsi="宋体" w:cs="宋体"/>
          <w:lang w:eastAsia="zh-CN"/>
        </w:rPr>
        <w:t>招标人</w:t>
      </w:r>
      <w:r>
        <w:rPr>
          <w:rFonts w:hint="eastAsia" w:ascii="宋体" w:hAnsi="宋体" w:eastAsia="宋体" w:cs="宋体"/>
        </w:rPr>
        <w:t>的许可，并以适当方式储存；</w:t>
      </w:r>
    </w:p>
    <w:p w14:paraId="63EA7388">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办公现场或仓库不允许使用加热器或取暖炉；</w:t>
      </w:r>
    </w:p>
    <w:p w14:paraId="6A252248">
      <w:pPr>
        <w:pStyle w:val="17"/>
        <w:pageBreakBefore w:val="0"/>
        <w:widowControl/>
        <w:numPr>
          <w:ilvl w:val="0"/>
          <w:numId w:val="5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78" w:name="OLE_LINK60"/>
      <w:bookmarkStart w:id="79" w:name="OLE_LINK61"/>
      <w:r>
        <w:rPr>
          <w:rFonts w:hint="eastAsia" w:ascii="宋体" w:hAnsi="宋体" w:eastAsia="宋体" w:cs="宋体"/>
        </w:rPr>
        <w:t>压缩气体的使用、储存和运输应符合相关法规要求。</w:t>
      </w:r>
    </w:p>
    <w:bookmarkEnd w:id="78"/>
    <w:bookmarkEnd w:id="79"/>
    <w:p w14:paraId="6D77FBB8">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总的预防措施和规范</w:t>
      </w:r>
    </w:p>
    <w:p w14:paraId="7389EA42">
      <w:pPr>
        <w:pStyle w:val="17"/>
        <w:pageBreakBefore w:val="0"/>
        <w:widowControl/>
        <w:numPr>
          <w:ilvl w:val="0"/>
          <w:numId w:val="5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任何建筑物的周边不应停车。与项目建造有关的车辆任何时候不应停在任何建筑物内，且司机应留在车内。</w:t>
      </w:r>
    </w:p>
    <w:p w14:paraId="7589CAA9">
      <w:pPr>
        <w:pStyle w:val="17"/>
        <w:pageBreakBefore w:val="0"/>
        <w:widowControl/>
        <w:numPr>
          <w:ilvl w:val="0"/>
          <w:numId w:val="5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盛放在纸板箱、木箱或其他易燃容器中的材料或设备应整齐摆放在容易接近的位置。固定的灭火设施投入使用前，应经过认可并放置在上述容器的附近。</w:t>
      </w:r>
    </w:p>
    <w:p w14:paraId="0443AA8D">
      <w:pPr>
        <w:pStyle w:val="17"/>
        <w:pageBreakBefore w:val="0"/>
        <w:widowControl/>
        <w:numPr>
          <w:ilvl w:val="0"/>
          <w:numId w:val="5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安装在车间和设备上的公司名称标牌。</w:t>
      </w:r>
    </w:p>
    <w:p w14:paraId="7600CA1E">
      <w:pPr>
        <w:pStyle w:val="17"/>
        <w:pageBreakBefore w:val="0"/>
        <w:widowControl/>
        <w:numPr>
          <w:ilvl w:val="0"/>
          <w:numId w:val="5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现场严禁吸烟、进食、饮酒。</w:t>
      </w:r>
    </w:p>
    <w:p w14:paraId="62552E2F">
      <w:pPr>
        <w:pStyle w:val="17"/>
        <w:pageBreakBefore w:val="0"/>
        <w:widowControl/>
        <w:numPr>
          <w:ilvl w:val="0"/>
          <w:numId w:val="49"/>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本技术要求不可能详细列入标的每项详细的具体要求，未列出部分</w:t>
      </w:r>
      <w:r>
        <w:rPr>
          <w:rFonts w:hint="eastAsia" w:ascii="宋体" w:hAnsi="宋体" w:cs="宋体"/>
          <w:lang w:eastAsia="zh-CN"/>
        </w:rPr>
        <w:t>投标人</w:t>
      </w:r>
      <w:r>
        <w:rPr>
          <w:rFonts w:hint="eastAsia" w:ascii="宋体" w:hAnsi="宋体" w:eastAsia="宋体" w:cs="宋体"/>
        </w:rPr>
        <w:t>应以先进的涂装技术和</w:t>
      </w:r>
      <w:r>
        <w:rPr>
          <w:rFonts w:hint="eastAsia" w:ascii="宋体" w:hAnsi="宋体" w:cs="宋体"/>
          <w:lang w:eastAsia="zh-CN"/>
        </w:rPr>
        <w:t>招标人</w:t>
      </w:r>
      <w:r>
        <w:rPr>
          <w:rFonts w:hint="eastAsia" w:ascii="宋体" w:hAnsi="宋体" w:eastAsia="宋体" w:cs="宋体"/>
        </w:rPr>
        <w:t>商定落实，费用不能增加。技术要求、清单及其附件由双方共同协商达成，</w:t>
      </w:r>
      <w:r>
        <w:rPr>
          <w:rFonts w:hint="eastAsia" w:ascii="宋体" w:hAnsi="宋体" w:cs="宋体"/>
          <w:lang w:eastAsia="zh-CN"/>
        </w:rPr>
        <w:t>投标人</w:t>
      </w:r>
      <w:r>
        <w:rPr>
          <w:rFonts w:hint="eastAsia" w:ascii="宋体" w:hAnsi="宋体" w:eastAsia="宋体" w:cs="宋体"/>
        </w:rPr>
        <w:t>必须对技术要求、清单及其附件的技术准确性负责，由于未进行施工设计，清单中数量、规格以满足工艺及功能为前提，由</w:t>
      </w:r>
      <w:r>
        <w:rPr>
          <w:rFonts w:hint="eastAsia" w:ascii="宋体" w:hAnsi="宋体" w:cs="宋体"/>
          <w:lang w:eastAsia="zh-CN"/>
        </w:rPr>
        <w:t>投标人</w:t>
      </w:r>
      <w:r>
        <w:rPr>
          <w:rFonts w:hint="eastAsia" w:ascii="宋体" w:hAnsi="宋体" w:eastAsia="宋体" w:cs="宋体"/>
        </w:rPr>
        <w:t>负责配备到位，费用不能增加。</w:t>
      </w:r>
    </w:p>
    <w:p w14:paraId="763B3FB4">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r>
        <w:rPr>
          <w:rFonts w:hint="eastAsia" w:ascii="宋体" w:hAnsi="宋体" w:eastAsia="宋体" w:cs="宋体"/>
          <w:b/>
          <w:bCs/>
        </w:rPr>
        <w:t>培训</w:t>
      </w:r>
    </w:p>
    <w:p w14:paraId="520E2B1C">
      <w:pPr>
        <w:pStyle w:val="17"/>
        <w:keepNext w:val="0"/>
        <w:keepLines w:val="0"/>
        <w:pageBreakBefore w:val="0"/>
        <w:kinsoku/>
        <w:overflowPunct/>
        <w:topLinePunct w:val="0"/>
        <w:bidi w:val="0"/>
        <w:adjustRightInd w:val="0"/>
        <w:snapToGrid w:val="0"/>
        <w:spacing w:before="0" w:after="0" w:afterAutospacing="0" w:line="360" w:lineRule="auto"/>
        <w:ind w:left="0" w:leftChars="0" w:firstLine="420" w:firstLineChars="0"/>
        <w:rPr>
          <w:color w:val="000000"/>
        </w:rPr>
      </w:pPr>
      <w:r>
        <w:rPr>
          <w:color w:val="000000"/>
        </w:rPr>
        <w:t>在培训开始2周前，提供所有培训课程教材和培训计划，除外委培训外，其他培训都在南建房车间现场及培训教室进行。培训效果要求实际操作和理论试卷确认，根据不同的设备双方共同讨论测试课题，</w:t>
      </w:r>
      <w:r>
        <w:rPr>
          <w:rFonts w:hint="eastAsia"/>
          <w:color w:val="000000"/>
          <w:lang w:eastAsia="zh-CN"/>
        </w:rPr>
        <w:t>招标人</w:t>
      </w:r>
      <w:r>
        <w:rPr>
          <w:color w:val="000000"/>
        </w:rPr>
        <w:t>员工需达到独立操作、维护、保养设备，机械部件更换，PLC 编程组态及排除故障等能力水平。</w:t>
      </w:r>
    </w:p>
    <w:p w14:paraId="23E2E628">
      <w:pPr>
        <w:pStyle w:val="3"/>
        <w:keepNext w:val="0"/>
        <w:keepLines w:val="0"/>
        <w:pageBreakBefore w:val="0"/>
        <w:numPr>
          <w:ilvl w:val="0"/>
          <w:numId w:val="59"/>
        </w:numPr>
        <w:kinsoku/>
        <w:overflowPunct/>
        <w:topLinePunct w:val="0"/>
        <w:bidi w:val="0"/>
        <w:adjustRightInd w:val="0"/>
        <w:snapToGrid w:val="0"/>
        <w:spacing w:before="0" w:afterAutospacing="0" w:line="360" w:lineRule="auto"/>
        <w:ind w:left="0" w:leftChars="0" w:firstLine="0" w:firstLineChars="0"/>
        <w:rPr>
          <w:b/>
        </w:rPr>
      </w:pPr>
      <w:r>
        <w:rPr>
          <w:rFonts w:hint="eastAsia" w:ascii="宋体" w:hAnsi="宋体" w:eastAsia="宋体" w:cs="宋体"/>
          <w:sz w:val="24"/>
          <w:szCs w:val="24"/>
        </w:rPr>
        <w:t>培训内容及课时</w:t>
      </w:r>
      <w:r>
        <w:t xml:space="preserve"> </w:t>
      </w:r>
    </w:p>
    <w:p w14:paraId="4F243041"/>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1431"/>
        <w:gridCol w:w="3429"/>
        <w:gridCol w:w="1240"/>
        <w:gridCol w:w="1599"/>
        <w:gridCol w:w="1369"/>
      </w:tblGrid>
      <w:tr w14:paraId="137A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604CCBAE">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序号</w:t>
            </w:r>
          </w:p>
        </w:tc>
        <w:tc>
          <w:tcPr>
            <w:tcW w:w="741" w:type="pct"/>
            <w:vAlign w:val="center"/>
          </w:tcPr>
          <w:p w14:paraId="23708850">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培训项目</w:t>
            </w:r>
          </w:p>
        </w:tc>
        <w:tc>
          <w:tcPr>
            <w:tcW w:w="1776" w:type="pct"/>
            <w:vAlign w:val="center"/>
          </w:tcPr>
          <w:p w14:paraId="040FEA6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培训内容</w:t>
            </w:r>
          </w:p>
        </w:tc>
        <w:tc>
          <w:tcPr>
            <w:tcW w:w="642" w:type="pct"/>
            <w:vAlign w:val="center"/>
          </w:tcPr>
          <w:p w14:paraId="6E223EF0">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课时</w:t>
            </w:r>
          </w:p>
        </w:tc>
        <w:tc>
          <w:tcPr>
            <w:tcW w:w="828" w:type="pct"/>
            <w:vAlign w:val="center"/>
          </w:tcPr>
          <w:p w14:paraId="124DD042">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培训时间</w:t>
            </w:r>
          </w:p>
        </w:tc>
        <w:tc>
          <w:tcPr>
            <w:tcW w:w="709" w:type="pct"/>
            <w:vAlign w:val="center"/>
          </w:tcPr>
          <w:p w14:paraId="39C53338">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培训对象</w:t>
            </w:r>
          </w:p>
        </w:tc>
      </w:tr>
      <w:tr w14:paraId="5E85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302" w:type="pct"/>
            <w:vAlign w:val="center"/>
          </w:tcPr>
          <w:p w14:paraId="16C2DD4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w:t>
            </w:r>
          </w:p>
        </w:tc>
        <w:tc>
          <w:tcPr>
            <w:tcW w:w="741" w:type="pct"/>
            <w:vAlign w:val="center"/>
          </w:tcPr>
          <w:p w14:paraId="290A89A9">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设备使用说明书</w:t>
            </w:r>
          </w:p>
        </w:tc>
        <w:tc>
          <w:tcPr>
            <w:tcW w:w="1776" w:type="pct"/>
            <w:vAlign w:val="center"/>
          </w:tcPr>
          <w:p w14:paraId="6E2102B3">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设备安全操作、点检、保养、润滑、一般故障处理等</w:t>
            </w:r>
          </w:p>
        </w:tc>
        <w:tc>
          <w:tcPr>
            <w:tcW w:w="642" w:type="pct"/>
            <w:vAlign w:val="center"/>
          </w:tcPr>
          <w:p w14:paraId="039092F0">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16课时</w:t>
            </w:r>
          </w:p>
        </w:tc>
        <w:tc>
          <w:tcPr>
            <w:tcW w:w="828" w:type="pct"/>
            <w:vAlign w:val="center"/>
          </w:tcPr>
          <w:p w14:paraId="6ACC17B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设备安装调试结束后2个月之内</w:t>
            </w:r>
          </w:p>
        </w:tc>
        <w:tc>
          <w:tcPr>
            <w:tcW w:w="709" w:type="pct"/>
            <w:vAlign w:val="center"/>
          </w:tcPr>
          <w:p w14:paraId="7F634D3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操作工、维修工、技师、工程师</w:t>
            </w:r>
          </w:p>
        </w:tc>
      </w:tr>
      <w:tr w14:paraId="05FE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302" w:type="pct"/>
            <w:vAlign w:val="center"/>
          </w:tcPr>
          <w:p w14:paraId="66D0CB49">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2</w:t>
            </w:r>
          </w:p>
        </w:tc>
        <w:tc>
          <w:tcPr>
            <w:tcW w:w="741" w:type="pct"/>
            <w:vAlign w:val="center"/>
          </w:tcPr>
          <w:p w14:paraId="5FE0CC1D">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电气培训</w:t>
            </w:r>
          </w:p>
          <w:p w14:paraId="327F36ED">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（PLC技术工程师培训）</w:t>
            </w:r>
          </w:p>
        </w:tc>
        <w:tc>
          <w:tcPr>
            <w:tcW w:w="1776" w:type="pct"/>
            <w:vAlign w:val="center"/>
          </w:tcPr>
          <w:p w14:paraId="74D49752">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1、PLC基础知识；</w:t>
            </w:r>
          </w:p>
          <w:p w14:paraId="243718B2">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2、编程软件使用，硬件组态；</w:t>
            </w:r>
          </w:p>
          <w:p w14:paraId="3C2CB95D">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3、程序修改及编程，常用指令使用；</w:t>
            </w:r>
          </w:p>
        </w:tc>
        <w:tc>
          <w:tcPr>
            <w:tcW w:w="642" w:type="pct"/>
            <w:vAlign w:val="center"/>
          </w:tcPr>
          <w:p w14:paraId="45C9D1F0">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40课时</w:t>
            </w:r>
          </w:p>
        </w:tc>
        <w:tc>
          <w:tcPr>
            <w:tcW w:w="828" w:type="pct"/>
            <w:vAlign w:val="center"/>
          </w:tcPr>
          <w:p w14:paraId="13E1956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设备进场期间</w:t>
            </w:r>
          </w:p>
        </w:tc>
        <w:tc>
          <w:tcPr>
            <w:tcW w:w="709" w:type="pct"/>
            <w:vMerge w:val="restart"/>
            <w:vAlign w:val="center"/>
          </w:tcPr>
          <w:p w14:paraId="7323548B">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 xml:space="preserve"> 维修技师、工程师</w:t>
            </w:r>
          </w:p>
        </w:tc>
      </w:tr>
      <w:tr w14:paraId="475A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302" w:type="pct"/>
            <w:vAlign w:val="center"/>
          </w:tcPr>
          <w:p w14:paraId="0D5ABADD">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3</w:t>
            </w:r>
          </w:p>
        </w:tc>
        <w:tc>
          <w:tcPr>
            <w:tcW w:w="741" w:type="pct"/>
            <w:vMerge w:val="restart"/>
            <w:vAlign w:val="center"/>
          </w:tcPr>
          <w:p w14:paraId="4BF55886">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电气现场培训</w:t>
            </w:r>
          </w:p>
        </w:tc>
        <w:tc>
          <w:tcPr>
            <w:tcW w:w="1776" w:type="pct"/>
            <w:vAlign w:val="center"/>
          </w:tcPr>
          <w:p w14:paraId="7FAC28F6">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1、PLC程序上传下载步骤</w:t>
            </w:r>
          </w:p>
          <w:p w14:paraId="431AA6B7">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2、各区域程序结构、控制逻辑</w:t>
            </w:r>
          </w:p>
          <w:p w14:paraId="6020E58E">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3、网络故障查找步骤方法</w:t>
            </w:r>
          </w:p>
          <w:p w14:paraId="43896D68">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4、日常使用注意事项</w:t>
            </w:r>
          </w:p>
        </w:tc>
        <w:tc>
          <w:tcPr>
            <w:tcW w:w="642" w:type="pct"/>
            <w:vAlign w:val="center"/>
          </w:tcPr>
          <w:p w14:paraId="239388E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40课时</w:t>
            </w:r>
          </w:p>
        </w:tc>
        <w:tc>
          <w:tcPr>
            <w:tcW w:w="828" w:type="pct"/>
            <w:vAlign w:val="center"/>
          </w:tcPr>
          <w:p w14:paraId="3E3279C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w:t>
            </w:r>
            <w:r>
              <w:rPr>
                <w:rFonts w:hint="eastAsia" w:ascii="宋体" w:hAnsi="宋体" w:cs="宋体"/>
                <w:bCs/>
                <w:color w:val="000000"/>
                <w:kern w:val="0"/>
                <w:sz w:val="24"/>
                <w:szCs w:val="24"/>
                <w:lang w:val="en-US" w:eastAsia="zh-CN"/>
              </w:rPr>
              <w:t>调试验收</w:t>
            </w:r>
            <w:r>
              <w:rPr>
                <w:rFonts w:hint="eastAsia" w:ascii="宋体" w:hAnsi="宋体" w:cs="宋体"/>
                <w:bCs/>
                <w:color w:val="000000"/>
                <w:kern w:val="0"/>
                <w:sz w:val="24"/>
                <w:szCs w:val="24"/>
              </w:rPr>
              <w:t>前</w:t>
            </w:r>
          </w:p>
        </w:tc>
        <w:tc>
          <w:tcPr>
            <w:tcW w:w="709" w:type="pct"/>
            <w:vMerge w:val="continue"/>
            <w:vAlign w:val="center"/>
          </w:tcPr>
          <w:p w14:paraId="0BA09FA9">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2F49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02" w:type="pct"/>
            <w:vAlign w:val="center"/>
          </w:tcPr>
          <w:p w14:paraId="7E998F78">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4</w:t>
            </w:r>
          </w:p>
        </w:tc>
        <w:tc>
          <w:tcPr>
            <w:tcW w:w="741" w:type="pct"/>
            <w:vMerge w:val="continue"/>
            <w:vAlign w:val="center"/>
          </w:tcPr>
          <w:p w14:paraId="141DA62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47F40DAD">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1、现场电气原理图、接线图</w:t>
            </w:r>
          </w:p>
        </w:tc>
        <w:tc>
          <w:tcPr>
            <w:tcW w:w="642" w:type="pct"/>
            <w:vAlign w:val="center"/>
          </w:tcPr>
          <w:p w14:paraId="04B53F9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10课时</w:t>
            </w:r>
          </w:p>
        </w:tc>
        <w:tc>
          <w:tcPr>
            <w:tcW w:w="828" w:type="pct"/>
            <w:vMerge w:val="restart"/>
            <w:vAlign w:val="center"/>
          </w:tcPr>
          <w:p w14:paraId="44507C3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设备安装调试结束后2个月之内</w:t>
            </w:r>
          </w:p>
        </w:tc>
        <w:tc>
          <w:tcPr>
            <w:tcW w:w="709" w:type="pct"/>
            <w:vMerge w:val="continue"/>
            <w:vAlign w:val="center"/>
          </w:tcPr>
          <w:p w14:paraId="1D9E6C5B">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039EC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302" w:type="pct"/>
            <w:vAlign w:val="center"/>
          </w:tcPr>
          <w:p w14:paraId="55E0970D">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5</w:t>
            </w:r>
          </w:p>
        </w:tc>
        <w:tc>
          <w:tcPr>
            <w:tcW w:w="741" w:type="pct"/>
            <w:vMerge w:val="continue"/>
            <w:vAlign w:val="center"/>
          </w:tcPr>
          <w:p w14:paraId="5D90EAB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444E214A">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1、变频调速参数设定</w:t>
            </w:r>
          </w:p>
          <w:p w14:paraId="5B43DDDD">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2、变频器日常保养</w:t>
            </w:r>
          </w:p>
          <w:p w14:paraId="2E012FC0">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3、常见故障处理</w:t>
            </w:r>
          </w:p>
        </w:tc>
        <w:tc>
          <w:tcPr>
            <w:tcW w:w="642" w:type="pct"/>
            <w:vAlign w:val="center"/>
          </w:tcPr>
          <w:p w14:paraId="1CC1C64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12课时</w:t>
            </w:r>
          </w:p>
        </w:tc>
        <w:tc>
          <w:tcPr>
            <w:tcW w:w="828" w:type="pct"/>
            <w:vMerge w:val="continue"/>
            <w:vAlign w:val="center"/>
          </w:tcPr>
          <w:p w14:paraId="616D6BAD">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Merge w:val="continue"/>
            <w:vAlign w:val="center"/>
          </w:tcPr>
          <w:p w14:paraId="132DA5D6">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66D7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302" w:type="pct"/>
            <w:vAlign w:val="center"/>
          </w:tcPr>
          <w:p w14:paraId="7D844389">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6</w:t>
            </w:r>
          </w:p>
        </w:tc>
        <w:tc>
          <w:tcPr>
            <w:tcW w:w="741" w:type="pct"/>
            <w:vMerge w:val="continue"/>
            <w:vAlign w:val="center"/>
          </w:tcPr>
          <w:p w14:paraId="7EA9CD9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7B0DA98A">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1、HMI人机界面的操作、运行</w:t>
            </w:r>
          </w:p>
          <w:p w14:paraId="47CF8C2E">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2、监控画面上传下载，简单画面制作</w:t>
            </w:r>
          </w:p>
        </w:tc>
        <w:tc>
          <w:tcPr>
            <w:tcW w:w="642" w:type="pct"/>
            <w:vAlign w:val="center"/>
          </w:tcPr>
          <w:p w14:paraId="56710E61">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12课时</w:t>
            </w:r>
          </w:p>
        </w:tc>
        <w:tc>
          <w:tcPr>
            <w:tcW w:w="828" w:type="pct"/>
            <w:vMerge w:val="continue"/>
            <w:vAlign w:val="center"/>
          </w:tcPr>
          <w:p w14:paraId="1C1693FE">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Align w:val="center"/>
          </w:tcPr>
          <w:p w14:paraId="1D4E58AE">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操作工、维修工、设备工程师</w:t>
            </w:r>
          </w:p>
        </w:tc>
      </w:tr>
      <w:tr w14:paraId="4D0E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01E6BD8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7</w:t>
            </w:r>
          </w:p>
        </w:tc>
        <w:tc>
          <w:tcPr>
            <w:tcW w:w="741" w:type="pct"/>
            <w:vMerge w:val="continue"/>
            <w:vAlign w:val="center"/>
          </w:tcPr>
          <w:p w14:paraId="6CE95CE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717E112D">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现场故障查询及处理</w:t>
            </w:r>
          </w:p>
        </w:tc>
        <w:tc>
          <w:tcPr>
            <w:tcW w:w="642" w:type="pct"/>
            <w:vAlign w:val="center"/>
          </w:tcPr>
          <w:p w14:paraId="39122E2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12课时</w:t>
            </w:r>
          </w:p>
        </w:tc>
        <w:tc>
          <w:tcPr>
            <w:tcW w:w="828" w:type="pct"/>
            <w:vMerge w:val="continue"/>
            <w:vAlign w:val="center"/>
          </w:tcPr>
          <w:p w14:paraId="180E43A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Merge w:val="restart"/>
            <w:vAlign w:val="center"/>
          </w:tcPr>
          <w:p w14:paraId="5132B4C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 xml:space="preserve"> 维修工、维修技师、工程师</w:t>
            </w:r>
          </w:p>
        </w:tc>
      </w:tr>
      <w:tr w14:paraId="1E401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55AD39D1">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8</w:t>
            </w:r>
          </w:p>
        </w:tc>
        <w:tc>
          <w:tcPr>
            <w:tcW w:w="741" w:type="pct"/>
            <w:vMerge w:val="continue"/>
            <w:vAlign w:val="center"/>
          </w:tcPr>
          <w:p w14:paraId="68E3632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3B340C9E">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设备数据、程序备份</w:t>
            </w:r>
          </w:p>
        </w:tc>
        <w:tc>
          <w:tcPr>
            <w:tcW w:w="642" w:type="pct"/>
            <w:vAlign w:val="center"/>
          </w:tcPr>
          <w:p w14:paraId="353ABF0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4课时</w:t>
            </w:r>
          </w:p>
        </w:tc>
        <w:tc>
          <w:tcPr>
            <w:tcW w:w="828" w:type="pct"/>
            <w:vMerge w:val="restart"/>
            <w:vAlign w:val="center"/>
          </w:tcPr>
          <w:p w14:paraId="4C497EE3">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p w14:paraId="11FF2723">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设备安装调试结束后2个月之内</w:t>
            </w:r>
          </w:p>
        </w:tc>
        <w:tc>
          <w:tcPr>
            <w:tcW w:w="709" w:type="pct"/>
            <w:vMerge w:val="continue"/>
            <w:vAlign w:val="center"/>
          </w:tcPr>
          <w:p w14:paraId="0482A84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4F49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7028671C">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9</w:t>
            </w:r>
          </w:p>
        </w:tc>
        <w:tc>
          <w:tcPr>
            <w:tcW w:w="741" w:type="pct"/>
            <w:vMerge w:val="restart"/>
            <w:vAlign w:val="center"/>
          </w:tcPr>
          <w:p w14:paraId="7B0E5F9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机械培训</w:t>
            </w:r>
          </w:p>
        </w:tc>
        <w:tc>
          <w:tcPr>
            <w:tcW w:w="1776" w:type="pct"/>
            <w:vAlign w:val="center"/>
          </w:tcPr>
          <w:p w14:paraId="7C2FBC84">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设备机械结构，设备机械图纸</w:t>
            </w:r>
          </w:p>
        </w:tc>
        <w:tc>
          <w:tcPr>
            <w:tcW w:w="642" w:type="pct"/>
            <w:vAlign w:val="center"/>
          </w:tcPr>
          <w:p w14:paraId="740060E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16课时</w:t>
            </w:r>
          </w:p>
        </w:tc>
        <w:tc>
          <w:tcPr>
            <w:tcW w:w="828" w:type="pct"/>
            <w:vMerge w:val="continue"/>
            <w:vAlign w:val="center"/>
          </w:tcPr>
          <w:p w14:paraId="4A216D5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Merge w:val="continue"/>
            <w:vAlign w:val="center"/>
          </w:tcPr>
          <w:p w14:paraId="1939979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0F9EE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645AE8F0">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10</w:t>
            </w:r>
          </w:p>
        </w:tc>
        <w:tc>
          <w:tcPr>
            <w:tcW w:w="741" w:type="pct"/>
            <w:vMerge w:val="continue"/>
            <w:vAlign w:val="center"/>
          </w:tcPr>
          <w:p w14:paraId="21387E2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63B4F444">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设备润滑及保养</w:t>
            </w:r>
          </w:p>
        </w:tc>
        <w:tc>
          <w:tcPr>
            <w:tcW w:w="642" w:type="pct"/>
            <w:vAlign w:val="center"/>
          </w:tcPr>
          <w:p w14:paraId="605B560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8课时</w:t>
            </w:r>
          </w:p>
        </w:tc>
        <w:tc>
          <w:tcPr>
            <w:tcW w:w="828" w:type="pct"/>
            <w:vMerge w:val="continue"/>
            <w:vAlign w:val="center"/>
          </w:tcPr>
          <w:p w14:paraId="4FA19157">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Merge w:val="continue"/>
            <w:vAlign w:val="center"/>
          </w:tcPr>
          <w:p w14:paraId="2BA7ADE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6CA5E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30793A14">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11</w:t>
            </w:r>
          </w:p>
        </w:tc>
        <w:tc>
          <w:tcPr>
            <w:tcW w:w="741" w:type="pct"/>
            <w:vMerge w:val="continue"/>
            <w:vAlign w:val="center"/>
          </w:tcPr>
          <w:p w14:paraId="706B1796">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5BE13C91">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设备易损件更换及维修</w:t>
            </w:r>
          </w:p>
        </w:tc>
        <w:tc>
          <w:tcPr>
            <w:tcW w:w="642" w:type="pct"/>
            <w:vAlign w:val="center"/>
          </w:tcPr>
          <w:p w14:paraId="78280E1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8课时</w:t>
            </w:r>
          </w:p>
        </w:tc>
        <w:tc>
          <w:tcPr>
            <w:tcW w:w="828" w:type="pct"/>
            <w:vMerge w:val="continue"/>
            <w:vAlign w:val="center"/>
          </w:tcPr>
          <w:p w14:paraId="20E9DB81">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Merge w:val="continue"/>
            <w:vAlign w:val="center"/>
          </w:tcPr>
          <w:p w14:paraId="12A0CFB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r w14:paraId="2E30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02" w:type="pct"/>
            <w:vAlign w:val="center"/>
          </w:tcPr>
          <w:p w14:paraId="253A21D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12</w:t>
            </w:r>
          </w:p>
        </w:tc>
        <w:tc>
          <w:tcPr>
            <w:tcW w:w="741" w:type="pct"/>
            <w:vMerge w:val="continue"/>
            <w:vAlign w:val="center"/>
          </w:tcPr>
          <w:p w14:paraId="402255C8">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1776" w:type="pct"/>
            <w:vAlign w:val="center"/>
          </w:tcPr>
          <w:p w14:paraId="6E1222CE">
            <w:pPr>
              <w:keepNext w:val="0"/>
              <w:keepLines w:val="0"/>
              <w:pageBreakBefore w:val="0"/>
              <w:widowControl/>
              <w:kinsoku/>
              <w:overflowPunct/>
              <w:topLinePunct w:val="0"/>
              <w:bidi w:val="0"/>
              <w:adjustRightInd w:val="0"/>
              <w:snapToGrid w:val="0"/>
              <w:spacing w:afterAutospacing="0" w:line="360" w:lineRule="auto"/>
              <w:jc w:val="left"/>
              <w:rPr>
                <w:rFonts w:ascii="宋体" w:hAnsi="宋体" w:cs="宋体"/>
                <w:bCs/>
                <w:color w:val="000000"/>
                <w:kern w:val="0"/>
                <w:sz w:val="24"/>
                <w:szCs w:val="24"/>
              </w:rPr>
            </w:pPr>
            <w:r>
              <w:rPr>
                <w:rFonts w:hint="eastAsia" w:ascii="宋体" w:hAnsi="宋体" w:cs="宋体"/>
                <w:bCs/>
                <w:color w:val="000000"/>
                <w:kern w:val="0"/>
                <w:sz w:val="24"/>
                <w:szCs w:val="24"/>
              </w:rPr>
              <w:t>主要机械部件更换及维修</w:t>
            </w:r>
          </w:p>
        </w:tc>
        <w:tc>
          <w:tcPr>
            <w:tcW w:w="642" w:type="pct"/>
            <w:vAlign w:val="center"/>
          </w:tcPr>
          <w:p w14:paraId="573363DF">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8课时</w:t>
            </w:r>
          </w:p>
        </w:tc>
        <w:tc>
          <w:tcPr>
            <w:tcW w:w="828" w:type="pct"/>
            <w:vMerge w:val="continue"/>
            <w:vAlign w:val="center"/>
          </w:tcPr>
          <w:p w14:paraId="762B2505">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c>
          <w:tcPr>
            <w:tcW w:w="709" w:type="pct"/>
            <w:vMerge w:val="continue"/>
            <w:vAlign w:val="center"/>
          </w:tcPr>
          <w:p w14:paraId="7578494A">
            <w:pPr>
              <w:keepNext w:val="0"/>
              <w:keepLines w:val="0"/>
              <w:pageBreakBefore w:val="0"/>
              <w:widowControl/>
              <w:kinsoku/>
              <w:overflowPunct/>
              <w:topLinePunct w:val="0"/>
              <w:bidi w:val="0"/>
              <w:adjustRightInd w:val="0"/>
              <w:snapToGrid w:val="0"/>
              <w:spacing w:afterAutospacing="0" w:line="360" w:lineRule="auto"/>
              <w:jc w:val="center"/>
              <w:rPr>
                <w:rFonts w:ascii="宋体" w:hAnsi="宋体" w:cs="宋体"/>
                <w:bCs/>
                <w:color w:val="000000"/>
                <w:kern w:val="0"/>
                <w:sz w:val="24"/>
                <w:szCs w:val="24"/>
              </w:rPr>
            </w:pPr>
          </w:p>
        </w:tc>
      </w:tr>
    </w:tbl>
    <w:p w14:paraId="22F73E81">
      <w:pPr>
        <w:pStyle w:val="3"/>
        <w:keepNext w:val="0"/>
        <w:keepLines w:val="0"/>
        <w:pageBreakBefore w:val="0"/>
        <w:numPr>
          <w:ilvl w:val="0"/>
          <w:numId w:val="59"/>
        </w:numPr>
        <w:kinsoku/>
        <w:overflowPunct/>
        <w:topLinePunct w:val="0"/>
        <w:bidi w:val="0"/>
        <w:adjustRightInd w:val="0"/>
        <w:snapToGrid w:val="0"/>
        <w:spacing w:before="0" w:afterAutospacing="0" w:line="360" w:lineRule="auto"/>
        <w:ind w:left="0" w:leftChars="0" w:firstLine="0" w:firstLineChars="0"/>
        <w:rPr>
          <w:rFonts w:hint="eastAsia" w:ascii="宋体" w:hAnsi="宋体" w:eastAsia="宋体" w:cs="宋体"/>
          <w:b/>
          <w:sz w:val="24"/>
          <w:szCs w:val="24"/>
        </w:rPr>
      </w:pPr>
      <w:r>
        <w:rPr>
          <w:rFonts w:hint="eastAsia" w:ascii="宋体" w:hAnsi="宋体" w:eastAsia="宋体" w:cs="宋体"/>
          <w:sz w:val="24"/>
          <w:szCs w:val="24"/>
          <w:lang w:eastAsia="zh-CN"/>
        </w:rPr>
        <w:t>招标人</w:t>
      </w:r>
      <w:r>
        <w:rPr>
          <w:rFonts w:hint="eastAsia" w:ascii="宋体" w:hAnsi="宋体" w:eastAsia="宋体" w:cs="宋体"/>
          <w:sz w:val="24"/>
          <w:szCs w:val="24"/>
        </w:rPr>
        <w:t>受训人员掌握技能目标</w:t>
      </w:r>
    </w:p>
    <w:p w14:paraId="4A0E0120">
      <w:pPr>
        <w:pStyle w:val="17"/>
        <w:keepNext w:val="0"/>
        <w:keepLines w:val="0"/>
        <w:pageBreakBefore w:val="0"/>
        <w:widowControl w:val="0"/>
        <w:numPr>
          <w:ilvl w:val="0"/>
          <w:numId w:val="60"/>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会操作现场所有机械化设备；</w:t>
      </w:r>
    </w:p>
    <w:p w14:paraId="48976953">
      <w:pPr>
        <w:pStyle w:val="17"/>
        <w:keepNext w:val="0"/>
        <w:keepLines w:val="0"/>
        <w:pageBreakBefore w:val="0"/>
        <w:widowControl w:val="0"/>
        <w:numPr>
          <w:ilvl w:val="0"/>
          <w:numId w:val="60"/>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掌握现场设备电气和机械原理；</w:t>
      </w:r>
    </w:p>
    <w:p w14:paraId="6235C69A">
      <w:pPr>
        <w:pStyle w:val="17"/>
        <w:keepNext w:val="0"/>
        <w:keepLines w:val="0"/>
        <w:pageBreakBefore w:val="0"/>
        <w:widowControl w:val="0"/>
        <w:numPr>
          <w:ilvl w:val="0"/>
          <w:numId w:val="60"/>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rFonts w:hint="eastAsia" w:ascii="宋体" w:hAnsi="宋体" w:cs="宋体"/>
          <w:color w:val="000000"/>
        </w:rPr>
        <w:t>PLC</w:t>
      </w:r>
      <w:r>
        <w:rPr>
          <w:color w:val="000000"/>
        </w:rPr>
        <w:t>程序逻辑结构清楚，能够修改简单程序；</w:t>
      </w:r>
    </w:p>
    <w:p w14:paraId="6AFFC29A">
      <w:pPr>
        <w:pStyle w:val="17"/>
        <w:keepNext w:val="0"/>
        <w:keepLines w:val="0"/>
        <w:pageBreakBefore w:val="0"/>
        <w:widowControl w:val="0"/>
        <w:numPr>
          <w:ilvl w:val="0"/>
          <w:numId w:val="60"/>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掌握电气和机械主要易损件的更换方法和流程；</w:t>
      </w:r>
    </w:p>
    <w:p w14:paraId="5E56CD5C">
      <w:pPr>
        <w:pStyle w:val="17"/>
        <w:keepNext w:val="0"/>
        <w:keepLines w:val="0"/>
        <w:pageBreakBefore w:val="0"/>
        <w:widowControl w:val="0"/>
        <w:numPr>
          <w:ilvl w:val="0"/>
          <w:numId w:val="60"/>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掌握现场设备维护保养周期、标准和方法；</w:t>
      </w:r>
    </w:p>
    <w:p w14:paraId="13C90858">
      <w:pPr>
        <w:pStyle w:val="3"/>
        <w:keepNext w:val="0"/>
        <w:keepLines w:val="0"/>
        <w:pageBreakBefore w:val="0"/>
        <w:numPr>
          <w:ilvl w:val="0"/>
          <w:numId w:val="59"/>
        </w:numPr>
        <w:kinsoku/>
        <w:overflowPunct/>
        <w:topLinePunct w:val="0"/>
        <w:bidi w:val="0"/>
        <w:adjustRightInd w:val="0"/>
        <w:snapToGrid w:val="0"/>
        <w:spacing w:before="0" w:afterAutospacing="0" w:line="360" w:lineRule="auto"/>
        <w:ind w:left="0" w:leftChars="0" w:firstLine="0" w:firstLineChars="0"/>
        <w:rPr>
          <w:rFonts w:hint="eastAsia" w:ascii="宋体" w:hAnsi="宋体" w:eastAsia="宋体" w:cs="宋体"/>
          <w:b/>
          <w:sz w:val="24"/>
          <w:szCs w:val="24"/>
        </w:rPr>
      </w:pPr>
      <w:r>
        <w:rPr>
          <w:rFonts w:hint="eastAsia" w:ascii="宋体" w:hAnsi="宋体" w:eastAsia="宋体" w:cs="宋体"/>
          <w:sz w:val="24"/>
          <w:szCs w:val="24"/>
        </w:rPr>
        <w:t>培训效果验证</w:t>
      </w:r>
    </w:p>
    <w:p w14:paraId="5170F542">
      <w:pPr>
        <w:pStyle w:val="17"/>
        <w:keepNext w:val="0"/>
        <w:keepLines w:val="0"/>
        <w:pageBreakBefore w:val="0"/>
        <w:widowControl w:val="0"/>
        <w:numPr>
          <w:ilvl w:val="0"/>
          <w:numId w:val="61"/>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理论考试：培训效果要求实际操作和理论试卷确认，受训人员考试成绩达到80分以上为合格，根据不同的设备双方共同讨论测试课题。</w:t>
      </w:r>
    </w:p>
    <w:p w14:paraId="51544AD5">
      <w:pPr>
        <w:pStyle w:val="17"/>
        <w:keepNext w:val="0"/>
        <w:keepLines w:val="0"/>
        <w:pageBreakBefore w:val="0"/>
        <w:widowControl w:val="0"/>
        <w:numPr>
          <w:ilvl w:val="0"/>
          <w:numId w:val="61"/>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现场实操验证：现场实操验证要求通过率达到80%以上为合格，否则</w:t>
      </w:r>
      <w:r>
        <w:rPr>
          <w:rFonts w:hint="eastAsia"/>
          <w:color w:val="000000"/>
          <w:lang w:eastAsia="zh-CN"/>
        </w:rPr>
        <w:t>投标人</w:t>
      </w:r>
      <w:r>
        <w:rPr>
          <w:color w:val="000000"/>
        </w:rPr>
        <w:t>应制定培训计划重新进行实操培训。</w:t>
      </w:r>
    </w:p>
    <w:p w14:paraId="35C6EC89">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r>
        <w:rPr>
          <w:rFonts w:hint="eastAsia" w:ascii="宋体" w:hAnsi="宋体" w:eastAsia="宋体" w:cs="宋体"/>
          <w:b/>
          <w:bCs/>
        </w:rPr>
        <w:t>资料辅件</w:t>
      </w:r>
    </w:p>
    <w:p w14:paraId="3670506D">
      <w:pPr>
        <w:pStyle w:val="17"/>
        <w:keepNext w:val="0"/>
        <w:keepLines w:val="0"/>
        <w:pageBreakBefore w:val="0"/>
        <w:widowControl w:val="0"/>
        <w:numPr>
          <w:ilvl w:val="0"/>
          <w:numId w:val="6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资料提供要求</w:t>
      </w:r>
    </w:p>
    <w:tbl>
      <w:tblPr>
        <w:tblStyle w:val="44"/>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438"/>
        <w:gridCol w:w="4929"/>
        <w:gridCol w:w="807"/>
        <w:gridCol w:w="949"/>
        <w:gridCol w:w="1350"/>
      </w:tblGrid>
      <w:tr w14:paraId="1885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3" w:hRule="atLeast"/>
          <w:jc w:val="center"/>
        </w:trPr>
        <w:tc>
          <w:tcPr>
            <w:tcW w:w="759" w:type="pct"/>
            <w:vMerge w:val="restart"/>
            <w:vAlign w:val="center"/>
          </w:tcPr>
          <w:p w14:paraId="6E8BBF6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序号</w:t>
            </w:r>
          </w:p>
        </w:tc>
        <w:tc>
          <w:tcPr>
            <w:tcW w:w="2601" w:type="pct"/>
            <w:vMerge w:val="restart"/>
            <w:vAlign w:val="center"/>
          </w:tcPr>
          <w:p w14:paraId="7FFC5B9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资料名称</w:t>
            </w:r>
          </w:p>
        </w:tc>
        <w:tc>
          <w:tcPr>
            <w:tcW w:w="927" w:type="pct"/>
            <w:gridSpan w:val="2"/>
            <w:vAlign w:val="center"/>
          </w:tcPr>
          <w:p w14:paraId="417CC67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资料形式</w:t>
            </w:r>
          </w:p>
        </w:tc>
        <w:tc>
          <w:tcPr>
            <w:tcW w:w="712" w:type="pct"/>
            <w:vMerge w:val="restart"/>
            <w:vAlign w:val="center"/>
          </w:tcPr>
          <w:p w14:paraId="61113C7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备注</w:t>
            </w:r>
          </w:p>
        </w:tc>
      </w:tr>
      <w:tr w14:paraId="1E209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jc w:val="center"/>
        </w:trPr>
        <w:tc>
          <w:tcPr>
            <w:tcW w:w="759" w:type="pct"/>
            <w:vMerge w:val="continue"/>
            <w:vAlign w:val="center"/>
          </w:tcPr>
          <w:p w14:paraId="6B9679B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Merge w:val="continue"/>
            <w:vAlign w:val="center"/>
          </w:tcPr>
          <w:p w14:paraId="3A6047A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426" w:type="pct"/>
            <w:vAlign w:val="center"/>
          </w:tcPr>
          <w:p w14:paraId="612B706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书面版</w:t>
            </w:r>
          </w:p>
        </w:tc>
        <w:tc>
          <w:tcPr>
            <w:tcW w:w="500" w:type="pct"/>
            <w:vAlign w:val="center"/>
          </w:tcPr>
          <w:p w14:paraId="3A8E5CA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电子版</w:t>
            </w:r>
          </w:p>
          <w:p w14:paraId="2DFA578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（硬盘）</w:t>
            </w:r>
          </w:p>
        </w:tc>
        <w:tc>
          <w:tcPr>
            <w:tcW w:w="712" w:type="pct"/>
            <w:vMerge w:val="continue"/>
            <w:vAlign w:val="center"/>
          </w:tcPr>
          <w:p w14:paraId="203F25B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6EEF0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restart"/>
            <w:vAlign w:val="center"/>
          </w:tcPr>
          <w:p w14:paraId="0012C5E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设计完成</w:t>
            </w:r>
          </w:p>
        </w:tc>
        <w:tc>
          <w:tcPr>
            <w:tcW w:w="2601" w:type="pct"/>
            <w:vAlign w:val="center"/>
          </w:tcPr>
          <w:p w14:paraId="7F7FC67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机械化平面布置图</w:t>
            </w:r>
          </w:p>
        </w:tc>
        <w:tc>
          <w:tcPr>
            <w:tcW w:w="426" w:type="pct"/>
            <w:vAlign w:val="center"/>
          </w:tcPr>
          <w:p w14:paraId="4C0ECCF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390F047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restart"/>
            <w:vAlign w:val="center"/>
          </w:tcPr>
          <w:p w14:paraId="4F3F208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p w14:paraId="2DF7798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64346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7" w:hRule="exact"/>
          <w:jc w:val="center"/>
        </w:trPr>
        <w:tc>
          <w:tcPr>
            <w:tcW w:w="759" w:type="pct"/>
            <w:vMerge w:val="continue"/>
            <w:vAlign w:val="center"/>
          </w:tcPr>
          <w:p w14:paraId="6DCC8DA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3C9A8F5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五气动能使用点及其用量图、所有管道走向布置图</w:t>
            </w:r>
          </w:p>
        </w:tc>
        <w:tc>
          <w:tcPr>
            <w:tcW w:w="426" w:type="pct"/>
            <w:vAlign w:val="center"/>
          </w:tcPr>
          <w:p w14:paraId="42322CF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4A8543C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7D7A803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12B9D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425ABB3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2A8D4BE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分装线输送系统通过性分析及动作描述图</w:t>
            </w:r>
          </w:p>
        </w:tc>
        <w:tc>
          <w:tcPr>
            <w:tcW w:w="426" w:type="pct"/>
            <w:vAlign w:val="center"/>
          </w:tcPr>
          <w:p w14:paraId="00797E0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3B03684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5801393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6C2C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32" w:hRule="exact"/>
          <w:jc w:val="center"/>
        </w:trPr>
        <w:tc>
          <w:tcPr>
            <w:tcW w:w="759" w:type="pct"/>
            <w:vMerge w:val="continue"/>
            <w:vAlign w:val="center"/>
          </w:tcPr>
          <w:p w14:paraId="7F4E14F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17DA5FD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每台设备总图、原理图、流程图、断面图、设备安装图（装配图）、维修手册。</w:t>
            </w:r>
          </w:p>
        </w:tc>
        <w:tc>
          <w:tcPr>
            <w:tcW w:w="426" w:type="pct"/>
            <w:vAlign w:val="center"/>
          </w:tcPr>
          <w:p w14:paraId="2B8E25D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050311A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652ED4E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0AEBE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59" w:type="pct"/>
            <w:vMerge w:val="continue"/>
            <w:vAlign w:val="center"/>
          </w:tcPr>
          <w:p w14:paraId="5CD4129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3D31AC7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成套设备明细表（含型号、规格、台数、能源消耗及生产厂家）</w:t>
            </w:r>
          </w:p>
        </w:tc>
        <w:tc>
          <w:tcPr>
            <w:tcW w:w="426" w:type="pct"/>
            <w:vAlign w:val="center"/>
          </w:tcPr>
          <w:p w14:paraId="463B830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615A8B2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0845C29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4DE12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6" w:hRule="exact"/>
          <w:jc w:val="center"/>
        </w:trPr>
        <w:tc>
          <w:tcPr>
            <w:tcW w:w="759" w:type="pct"/>
            <w:vMerge w:val="continue"/>
            <w:vAlign w:val="center"/>
          </w:tcPr>
          <w:p w14:paraId="47574A9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7A4F7D1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外购件明细表（含型号、规格、数量、能源消耗及备选厂家）</w:t>
            </w:r>
          </w:p>
        </w:tc>
        <w:tc>
          <w:tcPr>
            <w:tcW w:w="426" w:type="pct"/>
            <w:vAlign w:val="center"/>
          </w:tcPr>
          <w:p w14:paraId="7F6A33B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197A831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400E0E1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224B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5A6DF26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703CE59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材料清单（按单台设备分别提出）</w:t>
            </w:r>
          </w:p>
        </w:tc>
        <w:tc>
          <w:tcPr>
            <w:tcW w:w="426" w:type="pct"/>
            <w:vAlign w:val="center"/>
          </w:tcPr>
          <w:p w14:paraId="2038CBE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50EB3C2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6BA964E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7614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4FD443A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3F32D4F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专用工具清单</w:t>
            </w:r>
          </w:p>
        </w:tc>
        <w:tc>
          <w:tcPr>
            <w:tcW w:w="426" w:type="pct"/>
            <w:vAlign w:val="center"/>
          </w:tcPr>
          <w:p w14:paraId="22B7891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2F0DE2E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5874A97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1CD3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02FAC34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265A214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项目实施方案及计划</w:t>
            </w:r>
          </w:p>
        </w:tc>
        <w:tc>
          <w:tcPr>
            <w:tcW w:w="426" w:type="pct"/>
            <w:vAlign w:val="center"/>
          </w:tcPr>
          <w:p w14:paraId="56466F2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40BD350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3A6E5D6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647B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1F946BC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6FEAA8F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总包商、分包商资质证明</w:t>
            </w:r>
          </w:p>
        </w:tc>
        <w:tc>
          <w:tcPr>
            <w:tcW w:w="426" w:type="pct"/>
            <w:vAlign w:val="center"/>
          </w:tcPr>
          <w:p w14:paraId="2B60AF0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2C55886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294160E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00A8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718190D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18C5338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技术服务方案及人员培训计划</w:t>
            </w:r>
          </w:p>
        </w:tc>
        <w:tc>
          <w:tcPr>
            <w:tcW w:w="426" w:type="pct"/>
            <w:vAlign w:val="center"/>
          </w:tcPr>
          <w:p w14:paraId="54AE146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236DA39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Merge w:val="continue"/>
            <w:vAlign w:val="center"/>
          </w:tcPr>
          <w:p w14:paraId="5484D9E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1E199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restart"/>
            <w:vAlign w:val="center"/>
          </w:tcPr>
          <w:p w14:paraId="6304A72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工程施工</w:t>
            </w:r>
          </w:p>
        </w:tc>
        <w:tc>
          <w:tcPr>
            <w:tcW w:w="2601" w:type="pct"/>
            <w:vAlign w:val="center"/>
          </w:tcPr>
          <w:p w14:paraId="34C4591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施工图</w:t>
            </w:r>
          </w:p>
        </w:tc>
        <w:tc>
          <w:tcPr>
            <w:tcW w:w="426" w:type="pct"/>
            <w:vAlign w:val="center"/>
          </w:tcPr>
          <w:p w14:paraId="0085C4B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718837E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588C938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78B1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09F125C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1542707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设备系统原理图</w:t>
            </w:r>
          </w:p>
        </w:tc>
        <w:tc>
          <w:tcPr>
            <w:tcW w:w="426" w:type="pct"/>
            <w:vAlign w:val="center"/>
          </w:tcPr>
          <w:p w14:paraId="1122AD0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3E9EF9D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00E0EA0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1E4F5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460D49A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6ACCAD5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安装检查记录</w:t>
            </w:r>
          </w:p>
        </w:tc>
        <w:tc>
          <w:tcPr>
            <w:tcW w:w="426" w:type="pct"/>
            <w:vAlign w:val="center"/>
          </w:tcPr>
          <w:p w14:paraId="55DFF07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47112D9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5AF2524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0653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028E084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7146369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材质报告、机械关键部位探伤报告</w:t>
            </w:r>
          </w:p>
        </w:tc>
        <w:tc>
          <w:tcPr>
            <w:tcW w:w="426" w:type="pct"/>
            <w:vAlign w:val="center"/>
          </w:tcPr>
          <w:p w14:paraId="01E99D5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587131C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58F801A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29189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2B898B3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1A27D3B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输送设备关键零件热处理记录</w:t>
            </w:r>
          </w:p>
        </w:tc>
        <w:tc>
          <w:tcPr>
            <w:tcW w:w="426" w:type="pct"/>
            <w:vAlign w:val="center"/>
          </w:tcPr>
          <w:p w14:paraId="474A77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0DC4D66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7CCB5B4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3B4D8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2CBA914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2159C60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异常记录</w:t>
            </w:r>
          </w:p>
        </w:tc>
        <w:tc>
          <w:tcPr>
            <w:tcW w:w="426" w:type="pct"/>
            <w:vAlign w:val="center"/>
          </w:tcPr>
          <w:p w14:paraId="2A36BCB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7C3B6CD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083C300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79C5A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7DC67BA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6E01275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施工规范</w:t>
            </w:r>
          </w:p>
        </w:tc>
        <w:tc>
          <w:tcPr>
            <w:tcW w:w="426" w:type="pct"/>
            <w:vAlign w:val="center"/>
          </w:tcPr>
          <w:p w14:paraId="70FD728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0174686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32E5CA1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5C62D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34397B9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6289B6E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特种设备及专业要求的设备设计、施工资质</w:t>
            </w:r>
          </w:p>
        </w:tc>
        <w:tc>
          <w:tcPr>
            <w:tcW w:w="426" w:type="pct"/>
            <w:vAlign w:val="center"/>
          </w:tcPr>
          <w:p w14:paraId="6650B45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5919956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1CECB1A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00C4B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restart"/>
            <w:vAlign w:val="center"/>
          </w:tcPr>
          <w:p w14:paraId="1D3634D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设备调试～SOP</w:t>
            </w:r>
          </w:p>
        </w:tc>
        <w:tc>
          <w:tcPr>
            <w:tcW w:w="2601" w:type="pct"/>
            <w:vAlign w:val="center"/>
          </w:tcPr>
          <w:p w14:paraId="7905A71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各设备操作说明</w:t>
            </w:r>
          </w:p>
        </w:tc>
        <w:tc>
          <w:tcPr>
            <w:tcW w:w="426" w:type="pct"/>
            <w:vAlign w:val="center"/>
          </w:tcPr>
          <w:p w14:paraId="0FD3D58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427DC42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1FB759C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6566D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314B345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3D8A586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各设备点检、保养说明书</w:t>
            </w:r>
          </w:p>
        </w:tc>
        <w:tc>
          <w:tcPr>
            <w:tcW w:w="426" w:type="pct"/>
            <w:vAlign w:val="center"/>
          </w:tcPr>
          <w:p w14:paraId="68F958C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74600D2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21A6978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7DFB3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759" w:type="pct"/>
            <w:vMerge w:val="continue"/>
            <w:vAlign w:val="center"/>
          </w:tcPr>
          <w:p w14:paraId="247A318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2E1A585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电气原理图、硬件接线图</w:t>
            </w:r>
          </w:p>
        </w:tc>
        <w:tc>
          <w:tcPr>
            <w:tcW w:w="426" w:type="pct"/>
            <w:vAlign w:val="center"/>
          </w:tcPr>
          <w:p w14:paraId="28C915A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49ECD22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6CE0EC8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1FC80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0BD52DF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74A96D0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PLC最终程序（中文注释）、HMI画面程序、</w:t>
            </w:r>
          </w:p>
        </w:tc>
        <w:tc>
          <w:tcPr>
            <w:tcW w:w="426" w:type="pct"/>
            <w:vAlign w:val="center"/>
          </w:tcPr>
          <w:p w14:paraId="6D97D52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w:t>
            </w:r>
          </w:p>
        </w:tc>
        <w:tc>
          <w:tcPr>
            <w:tcW w:w="500" w:type="pct"/>
            <w:vAlign w:val="center"/>
          </w:tcPr>
          <w:p w14:paraId="430E07C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1份</w:t>
            </w:r>
          </w:p>
        </w:tc>
        <w:tc>
          <w:tcPr>
            <w:tcW w:w="712" w:type="pct"/>
            <w:vAlign w:val="center"/>
          </w:tcPr>
          <w:p w14:paraId="06B62BA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21C2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1DDAD9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2FABF4E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调试、试运转记录</w:t>
            </w:r>
          </w:p>
        </w:tc>
        <w:tc>
          <w:tcPr>
            <w:tcW w:w="426" w:type="pct"/>
            <w:vAlign w:val="center"/>
          </w:tcPr>
          <w:p w14:paraId="38205A4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53A87C5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37355DA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2006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6C554F3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624E42A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参数设定记录</w:t>
            </w:r>
          </w:p>
        </w:tc>
        <w:tc>
          <w:tcPr>
            <w:tcW w:w="426" w:type="pct"/>
            <w:vAlign w:val="center"/>
          </w:tcPr>
          <w:p w14:paraId="3549D79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0D230E1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3546FC2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560C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4B7B915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14208D7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电气绝缘检测记录</w:t>
            </w:r>
          </w:p>
        </w:tc>
        <w:tc>
          <w:tcPr>
            <w:tcW w:w="426" w:type="pct"/>
            <w:vAlign w:val="center"/>
          </w:tcPr>
          <w:p w14:paraId="32B7E41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36A8F1B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1373548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453F5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5E290CC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1E3559E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异常记录</w:t>
            </w:r>
          </w:p>
        </w:tc>
        <w:tc>
          <w:tcPr>
            <w:tcW w:w="426" w:type="pct"/>
            <w:vAlign w:val="center"/>
          </w:tcPr>
          <w:p w14:paraId="6117EE0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18FA93D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1623E5E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0F2F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00A8C6F2">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5012F87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设备说明书</w:t>
            </w:r>
          </w:p>
        </w:tc>
        <w:tc>
          <w:tcPr>
            <w:tcW w:w="426" w:type="pct"/>
            <w:vAlign w:val="center"/>
          </w:tcPr>
          <w:p w14:paraId="09C55A1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46E43C3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1CA60B3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52C1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63EE2D23">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21B83879">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调试笔记本电脑（工作站级）</w:t>
            </w:r>
          </w:p>
        </w:tc>
        <w:tc>
          <w:tcPr>
            <w:tcW w:w="426" w:type="pct"/>
            <w:vAlign w:val="center"/>
          </w:tcPr>
          <w:p w14:paraId="15C5E8B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500" w:type="pct"/>
            <w:vAlign w:val="center"/>
          </w:tcPr>
          <w:p w14:paraId="1C8BD4E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712" w:type="pct"/>
            <w:vAlign w:val="center"/>
          </w:tcPr>
          <w:p w14:paraId="01F8162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eastAsia="zh-CN"/>
              </w:rPr>
              <w:t>二</w:t>
            </w:r>
            <w:r>
              <w:rPr>
                <w:rFonts w:hint="eastAsia" w:ascii="宋体" w:hAnsi="宋体" w:cs="宋体"/>
                <w:bCs/>
                <w:color w:val="000000"/>
                <w:kern w:val="0"/>
                <w:sz w:val="24"/>
                <w:szCs w:val="24"/>
              </w:rPr>
              <w:t>台</w:t>
            </w:r>
          </w:p>
        </w:tc>
      </w:tr>
      <w:tr w14:paraId="0D832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restart"/>
            <w:vAlign w:val="center"/>
          </w:tcPr>
          <w:p w14:paraId="2E5698B1">
            <w:pPr>
              <w:keepNext w:val="0"/>
              <w:keepLines w:val="0"/>
              <w:pageBreakBefore w:val="0"/>
              <w:widowControl/>
              <w:kinsoku/>
              <w:overflowPunct/>
              <w:topLinePunct w:val="0"/>
              <w:bidi w:val="0"/>
              <w:adjustRightInd w:val="0"/>
              <w:snapToGrid w:val="0"/>
              <w:spacing w:afterAutospacing="0" w:line="240" w:lineRule="auto"/>
              <w:jc w:val="center"/>
              <w:rPr>
                <w:rFonts w:hint="default" w:ascii="宋体" w:hAnsi="宋体" w:eastAsia="宋体" w:cs="宋体"/>
                <w:bCs/>
                <w:color w:val="000000"/>
                <w:kern w:val="0"/>
                <w:sz w:val="24"/>
                <w:szCs w:val="24"/>
                <w:lang w:val="en-US" w:eastAsia="zh-CN"/>
              </w:rPr>
            </w:pPr>
            <w:r>
              <w:rPr>
                <w:rFonts w:hint="eastAsia" w:ascii="宋体" w:hAnsi="宋体" w:cs="宋体"/>
                <w:bCs/>
                <w:color w:val="000000"/>
                <w:kern w:val="0"/>
                <w:sz w:val="24"/>
                <w:szCs w:val="24"/>
                <w:lang w:val="en-US" w:eastAsia="zh-CN"/>
              </w:rPr>
              <w:t>调试验收</w:t>
            </w:r>
          </w:p>
        </w:tc>
        <w:tc>
          <w:tcPr>
            <w:tcW w:w="2601" w:type="pct"/>
            <w:vAlign w:val="center"/>
          </w:tcPr>
          <w:p w14:paraId="008DC6A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设备竣工图</w:t>
            </w:r>
          </w:p>
        </w:tc>
        <w:tc>
          <w:tcPr>
            <w:tcW w:w="426" w:type="pct"/>
            <w:vAlign w:val="center"/>
          </w:tcPr>
          <w:p w14:paraId="53B6476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7681467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color w:val="000000"/>
                <w:kern w:val="0"/>
                <w:sz w:val="24"/>
                <w:szCs w:val="24"/>
                <w:lang w:val="en-US" w:eastAsia="zh-CN" w:bidi="ar-SA"/>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78D2AA1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0505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8" w:hRule="exact"/>
          <w:jc w:val="center"/>
        </w:trPr>
        <w:tc>
          <w:tcPr>
            <w:tcW w:w="759" w:type="pct"/>
            <w:vMerge w:val="continue"/>
            <w:vAlign w:val="center"/>
          </w:tcPr>
          <w:p w14:paraId="730B135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3450723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最终PLC程序、HMI监控画面程序</w:t>
            </w:r>
          </w:p>
        </w:tc>
        <w:tc>
          <w:tcPr>
            <w:tcW w:w="426" w:type="pct"/>
            <w:vAlign w:val="center"/>
          </w:tcPr>
          <w:p w14:paraId="632A781C">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w:t>
            </w:r>
          </w:p>
        </w:tc>
        <w:tc>
          <w:tcPr>
            <w:tcW w:w="500" w:type="pct"/>
            <w:vAlign w:val="center"/>
          </w:tcPr>
          <w:p w14:paraId="717DAC5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1</w:t>
            </w:r>
            <w:r>
              <w:rPr>
                <w:rFonts w:hint="eastAsia" w:ascii="宋体" w:hAnsi="宋体" w:cs="宋体"/>
                <w:bCs/>
                <w:color w:val="000000"/>
                <w:kern w:val="0"/>
                <w:sz w:val="24"/>
                <w:szCs w:val="24"/>
              </w:rPr>
              <w:t>份</w:t>
            </w:r>
          </w:p>
        </w:tc>
        <w:tc>
          <w:tcPr>
            <w:tcW w:w="712" w:type="pct"/>
            <w:vAlign w:val="center"/>
          </w:tcPr>
          <w:p w14:paraId="38597BA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PLC程序采用TIA V16版本设计</w:t>
            </w:r>
          </w:p>
        </w:tc>
      </w:tr>
      <w:tr w14:paraId="146BB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62CA0CCE">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403BE58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PLC正版编程软件、HMI画面制作软件</w:t>
            </w:r>
          </w:p>
        </w:tc>
        <w:tc>
          <w:tcPr>
            <w:tcW w:w="426" w:type="pct"/>
            <w:vAlign w:val="center"/>
          </w:tcPr>
          <w:p w14:paraId="2491A4D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w:t>
            </w:r>
          </w:p>
        </w:tc>
        <w:tc>
          <w:tcPr>
            <w:tcW w:w="500" w:type="pct"/>
            <w:vAlign w:val="center"/>
          </w:tcPr>
          <w:p w14:paraId="27A3E1D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1份</w:t>
            </w:r>
          </w:p>
        </w:tc>
        <w:tc>
          <w:tcPr>
            <w:tcW w:w="712" w:type="pct"/>
            <w:vAlign w:val="center"/>
          </w:tcPr>
          <w:p w14:paraId="3E8B7E4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44C4D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7B52643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63D2770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最终电气接线图（和现场保持一致）</w:t>
            </w:r>
          </w:p>
        </w:tc>
        <w:tc>
          <w:tcPr>
            <w:tcW w:w="426" w:type="pct"/>
            <w:vAlign w:val="center"/>
          </w:tcPr>
          <w:p w14:paraId="265E2457">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5056AFE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2670710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4F5A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4C74B89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5123ADBF">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所有系列型号变频器等功能仪表设定参数表</w:t>
            </w:r>
          </w:p>
        </w:tc>
        <w:tc>
          <w:tcPr>
            <w:tcW w:w="426" w:type="pct"/>
            <w:vAlign w:val="center"/>
          </w:tcPr>
          <w:p w14:paraId="4F5713F6">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61BBA2B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56514AC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267E1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2FCBE45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34EEF5E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现场网络布置，I/O地址分配表</w:t>
            </w:r>
          </w:p>
        </w:tc>
        <w:tc>
          <w:tcPr>
            <w:tcW w:w="426" w:type="pct"/>
            <w:vAlign w:val="center"/>
          </w:tcPr>
          <w:p w14:paraId="5FEDDFE8">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05F0C401">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2F488CA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3A0C0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759" w:type="pct"/>
            <w:vMerge w:val="continue"/>
            <w:vAlign w:val="center"/>
          </w:tcPr>
          <w:p w14:paraId="170BAAD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0A23C324">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所有设计图、机械及电气原理图</w:t>
            </w:r>
          </w:p>
        </w:tc>
        <w:tc>
          <w:tcPr>
            <w:tcW w:w="426" w:type="pct"/>
            <w:vAlign w:val="center"/>
          </w:tcPr>
          <w:p w14:paraId="7939A7A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72D5C720">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25BF090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r w14:paraId="6A6D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759" w:type="pct"/>
            <w:vMerge w:val="continue"/>
            <w:vAlign w:val="center"/>
          </w:tcPr>
          <w:p w14:paraId="1D7D3E2A">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c>
          <w:tcPr>
            <w:tcW w:w="2601" w:type="pct"/>
            <w:vAlign w:val="center"/>
          </w:tcPr>
          <w:p w14:paraId="4EF36C3B">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rPr>
              <w:t>易损机械部件图</w:t>
            </w:r>
          </w:p>
        </w:tc>
        <w:tc>
          <w:tcPr>
            <w:tcW w:w="426" w:type="pct"/>
            <w:vAlign w:val="center"/>
          </w:tcPr>
          <w:p w14:paraId="7AAEC51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4</w:t>
            </w:r>
            <w:r>
              <w:rPr>
                <w:rFonts w:hint="eastAsia" w:ascii="宋体" w:hAnsi="宋体" w:cs="宋体"/>
                <w:bCs/>
                <w:color w:val="000000"/>
                <w:kern w:val="0"/>
                <w:sz w:val="24"/>
                <w:szCs w:val="24"/>
              </w:rPr>
              <w:t>份</w:t>
            </w:r>
          </w:p>
        </w:tc>
        <w:tc>
          <w:tcPr>
            <w:tcW w:w="500" w:type="pct"/>
            <w:vAlign w:val="center"/>
          </w:tcPr>
          <w:p w14:paraId="290A40F5">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r>
              <w:rPr>
                <w:rFonts w:hint="eastAsia" w:ascii="宋体" w:hAnsi="宋体" w:cs="宋体"/>
                <w:bCs/>
                <w:color w:val="000000"/>
                <w:kern w:val="0"/>
                <w:sz w:val="24"/>
                <w:szCs w:val="24"/>
                <w:lang w:val="en-US" w:eastAsia="zh-CN"/>
              </w:rPr>
              <w:t>2</w:t>
            </w:r>
            <w:r>
              <w:rPr>
                <w:rFonts w:hint="eastAsia" w:ascii="宋体" w:hAnsi="宋体" w:cs="宋体"/>
                <w:bCs/>
                <w:color w:val="000000"/>
                <w:kern w:val="0"/>
                <w:sz w:val="24"/>
                <w:szCs w:val="24"/>
              </w:rPr>
              <w:t>份</w:t>
            </w:r>
          </w:p>
        </w:tc>
        <w:tc>
          <w:tcPr>
            <w:tcW w:w="712" w:type="pct"/>
            <w:vAlign w:val="center"/>
          </w:tcPr>
          <w:p w14:paraId="598506FD">
            <w:pPr>
              <w:keepNext w:val="0"/>
              <w:keepLines w:val="0"/>
              <w:pageBreakBefore w:val="0"/>
              <w:widowControl/>
              <w:kinsoku/>
              <w:overflowPunct/>
              <w:topLinePunct w:val="0"/>
              <w:bidi w:val="0"/>
              <w:adjustRightInd w:val="0"/>
              <w:snapToGrid w:val="0"/>
              <w:spacing w:afterAutospacing="0" w:line="240" w:lineRule="auto"/>
              <w:jc w:val="center"/>
              <w:rPr>
                <w:rFonts w:ascii="宋体" w:hAnsi="宋体" w:cs="宋体"/>
                <w:bCs/>
                <w:color w:val="000000"/>
                <w:kern w:val="0"/>
                <w:sz w:val="24"/>
                <w:szCs w:val="24"/>
              </w:rPr>
            </w:pPr>
          </w:p>
        </w:tc>
      </w:tr>
    </w:tbl>
    <w:p w14:paraId="04D29343">
      <w:pPr>
        <w:pStyle w:val="17"/>
        <w:keepNext w:val="0"/>
        <w:keepLines w:val="0"/>
        <w:pageBreakBefore w:val="0"/>
        <w:widowControl w:val="0"/>
        <w:numPr>
          <w:ilvl w:val="0"/>
          <w:numId w:val="6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特制件要求：规格，材质，处理方式，厂家，联系方式，必须写清楚。相关热处理工艺均需提供相应检测报告，</w:t>
      </w:r>
      <w:r>
        <w:rPr>
          <w:rFonts w:hint="eastAsia"/>
          <w:color w:val="000000"/>
          <w:lang w:eastAsia="zh-CN"/>
        </w:rPr>
        <w:t>招标人</w:t>
      </w:r>
      <w:r>
        <w:rPr>
          <w:color w:val="000000"/>
        </w:rPr>
        <w:t>将依据报告结果进行抽查。</w:t>
      </w:r>
    </w:p>
    <w:p w14:paraId="239177DC">
      <w:pPr>
        <w:pStyle w:val="17"/>
        <w:keepNext w:val="0"/>
        <w:keepLines w:val="0"/>
        <w:pageBreakBefore w:val="0"/>
        <w:widowControl w:val="0"/>
        <w:numPr>
          <w:ilvl w:val="0"/>
          <w:numId w:val="6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生产过程中每道工序</w:t>
      </w:r>
      <w:r>
        <w:rPr>
          <w:rFonts w:hint="eastAsia"/>
          <w:color w:val="000000"/>
          <w:lang w:eastAsia="zh-CN"/>
        </w:rPr>
        <w:t>投标人</w:t>
      </w:r>
      <w:r>
        <w:rPr>
          <w:color w:val="000000"/>
        </w:rPr>
        <w:t>都要进行检验，并有详细记录，检验合格后才能转入下道工序进行加工，装配过程各个交接点都要有详细记录，在设备出厂前进行整机出厂检验。</w:t>
      </w:r>
    </w:p>
    <w:p w14:paraId="4B62C93D">
      <w:pPr>
        <w:pStyle w:val="17"/>
        <w:keepNext w:val="0"/>
        <w:keepLines w:val="0"/>
        <w:pageBreakBefore w:val="0"/>
        <w:widowControl w:val="0"/>
        <w:numPr>
          <w:ilvl w:val="0"/>
          <w:numId w:val="62"/>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b w:val="0"/>
          <w:color w:val="000000"/>
        </w:rPr>
      </w:pPr>
      <w:r>
        <w:rPr>
          <w:color w:val="000000"/>
        </w:rPr>
        <w:t>提供电子版资料说明：电气原理图格式为EPLAN源文件，机械原理图、施工图及相关技术资料格式为CAD2016版本或以上，都为可编辑。</w:t>
      </w:r>
    </w:p>
    <w:p w14:paraId="132C4F58">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rPr>
      </w:pPr>
      <w:bookmarkStart w:id="80" w:name="_Toc14873"/>
      <w:bookmarkStart w:id="81" w:name="_Toc30696"/>
      <w:r>
        <w:rPr>
          <w:rFonts w:hint="eastAsia" w:ascii="宋体" w:hAnsi="宋体" w:eastAsia="宋体" w:cs="宋体"/>
          <w:b/>
          <w:bCs/>
        </w:rPr>
        <w:t>其它</w:t>
      </w:r>
      <w:bookmarkEnd w:id="80"/>
      <w:bookmarkEnd w:id="81"/>
    </w:p>
    <w:p w14:paraId="06B3C5E3">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涉及本设备的最新状态的招标文件、投标文件、询标答疑、会签纪要、往来文件等均作为本技术文件附件，同样具有法律效力。</w:t>
      </w:r>
      <w:r>
        <w:rPr>
          <w:rFonts w:hint="eastAsia" w:ascii="宋体" w:hAnsi="宋体" w:eastAsia="宋体" w:cs="宋体"/>
        </w:rPr>
        <w:t>正式签订技术文件后，双方签订《安全管理协议》《保密协议》作为技术文件的附件，具备与技术文件同等的法律效力。在项目执行过程中，供应商应该严格按照</w:t>
      </w:r>
      <w:r>
        <w:rPr>
          <w:rFonts w:hint="eastAsia" w:ascii="宋体" w:hAnsi="宋体" w:cs="宋体"/>
          <w:lang w:eastAsia="zh-CN"/>
        </w:rPr>
        <w:t>招标人</w:t>
      </w:r>
      <w:r>
        <w:rPr>
          <w:rFonts w:hint="eastAsia" w:ascii="宋体" w:hAnsi="宋体" w:eastAsia="宋体" w:cs="宋体"/>
        </w:rPr>
        <w:t>制订的安全、保密制度、分工界面、南宁智诚公司设备品牌及二级供应商明细表执行。</w:t>
      </w:r>
    </w:p>
    <w:p w14:paraId="16970492">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在合同中本技术文件不可能详细列入标的每项详细的具体要求，未列出部分</w:t>
      </w:r>
      <w:r>
        <w:rPr>
          <w:rFonts w:hint="eastAsia" w:ascii="宋体" w:hAnsi="宋体" w:cs="宋体"/>
          <w:color w:val="000000"/>
          <w:lang w:eastAsia="zh-CN"/>
        </w:rPr>
        <w:t>投标人</w:t>
      </w:r>
      <w:r>
        <w:rPr>
          <w:rFonts w:hint="eastAsia" w:ascii="宋体" w:hAnsi="宋体" w:eastAsia="宋体" w:cs="宋体"/>
          <w:color w:val="000000"/>
        </w:rPr>
        <w:t>应以先进的技术（符合国家标准且在行业中性能先进质量可靠的技术）和</w:t>
      </w:r>
      <w:r>
        <w:rPr>
          <w:rFonts w:hint="eastAsia" w:ascii="宋体" w:hAnsi="宋体" w:cs="宋体"/>
          <w:color w:val="000000"/>
          <w:lang w:eastAsia="zh-CN"/>
        </w:rPr>
        <w:t>招标人</w:t>
      </w:r>
      <w:r>
        <w:rPr>
          <w:rFonts w:hint="eastAsia" w:ascii="宋体" w:hAnsi="宋体" w:eastAsia="宋体" w:cs="宋体"/>
          <w:color w:val="000000"/>
        </w:rPr>
        <w:t>商定落实，费用含在合同总价中。</w:t>
      </w:r>
    </w:p>
    <w:p w14:paraId="7EBC18F8">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本技术文件、清单及其附件由双方共同协商达成，</w:t>
      </w:r>
      <w:r>
        <w:rPr>
          <w:rFonts w:hint="eastAsia" w:ascii="宋体" w:hAnsi="宋体" w:cs="宋体"/>
          <w:color w:val="000000"/>
          <w:lang w:eastAsia="zh-CN"/>
        </w:rPr>
        <w:t>投标人</w:t>
      </w:r>
      <w:r>
        <w:rPr>
          <w:rFonts w:hint="eastAsia" w:ascii="宋体" w:hAnsi="宋体" w:eastAsia="宋体" w:cs="宋体"/>
          <w:color w:val="000000"/>
        </w:rPr>
        <w:t>必须对本技术文件、清单及其附件的技术准确性负责，由于未进行施工设计，清单中数量、规格以满足生产、工艺及功能为前提，由</w:t>
      </w:r>
      <w:r>
        <w:rPr>
          <w:rFonts w:hint="eastAsia" w:ascii="宋体" w:hAnsi="宋体" w:cs="宋体"/>
          <w:color w:val="000000"/>
          <w:lang w:eastAsia="zh-CN"/>
        </w:rPr>
        <w:t>投标人</w:t>
      </w:r>
      <w:r>
        <w:rPr>
          <w:rFonts w:hint="eastAsia" w:ascii="宋体" w:hAnsi="宋体" w:eastAsia="宋体" w:cs="宋体"/>
          <w:color w:val="000000"/>
        </w:rPr>
        <w:t>负责配备到位，所发生费用包含在合同总价中。</w:t>
      </w:r>
    </w:p>
    <w:p w14:paraId="5B38D195">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若主要部件或技术涉及到</w:t>
      </w:r>
      <w:r>
        <w:rPr>
          <w:rFonts w:hint="eastAsia" w:ascii="宋体" w:hAnsi="宋体" w:cs="宋体"/>
          <w:color w:val="000000"/>
          <w:lang w:eastAsia="zh-CN"/>
        </w:rPr>
        <w:t>投标人</w:t>
      </w:r>
      <w:r>
        <w:rPr>
          <w:rFonts w:hint="eastAsia" w:ascii="宋体" w:hAnsi="宋体" w:eastAsia="宋体" w:cs="宋体"/>
          <w:color w:val="000000"/>
        </w:rPr>
        <w:t>的专利或知识产权，</w:t>
      </w:r>
      <w:r>
        <w:rPr>
          <w:rFonts w:hint="eastAsia" w:ascii="宋体" w:hAnsi="宋体" w:cs="宋体"/>
          <w:color w:val="000000"/>
          <w:lang w:eastAsia="zh-CN"/>
        </w:rPr>
        <w:t>投标人</w:t>
      </w:r>
      <w:r>
        <w:rPr>
          <w:rFonts w:hint="eastAsia" w:ascii="宋体" w:hAnsi="宋体" w:eastAsia="宋体" w:cs="宋体"/>
          <w:color w:val="000000"/>
        </w:rPr>
        <w:t>应当在签订商务合同前向</w:t>
      </w:r>
      <w:r>
        <w:rPr>
          <w:rFonts w:hint="eastAsia" w:ascii="宋体" w:hAnsi="宋体" w:cs="宋体"/>
          <w:color w:val="000000"/>
          <w:lang w:eastAsia="zh-CN"/>
        </w:rPr>
        <w:t>招标人</w:t>
      </w:r>
      <w:r>
        <w:rPr>
          <w:rFonts w:hint="eastAsia" w:ascii="宋体" w:hAnsi="宋体" w:eastAsia="宋体" w:cs="宋体"/>
          <w:color w:val="000000"/>
        </w:rPr>
        <w:t>提出，并在技术文件中予以明确，后期</w:t>
      </w:r>
      <w:r>
        <w:rPr>
          <w:rFonts w:hint="eastAsia" w:ascii="宋体" w:hAnsi="宋体" w:cs="宋体"/>
          <w:color w:val="000000"/>
          <w:lang w:eastAsia="zh-CN"/>
        </w:rPr>
        <w:t>投标人</w:t>
      </w:r>
      <w:r>
        <w:rPr>
          <w:rFonts w:hint="eastAsia" w:ascii="宋体" w:hAnsi="宋体" w:eastAsia="宋体" w:cs="宋体"/>
          <w:color w:val="000000"/>
        </w:rPr>
        <w:t>不得以此为理由对</w:t>
      </w:r>
      <w:r>
        <w:rPr>
          <w:rFonts w:hint="eastAsia" w:ascii="宋体" w:hAnsi="宋体" w:cs="宋体"/>
          <w:color w:val="000000"/>
          <w:lang w:eastAsia="zh-CN"/>
        </w:rPr>
        <w:t>招标人</w:t>
      </w:r>
      <w:r>
        <w:rPr>
          <w:rFonts w:hint="eastAsia" w:ascii="宋体" w:hAnsi="宋体" w:eastAsia="宋体" w:cs="宋体"/>
          <w:color w:val="000000"/>
        </w:rPr>
        <w:t>的维修和备件提供进行限制。</w:t>
      </w:r>
    </w:p>
    <w:p w14:paraId="1B3C1235">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需承诺本次项目后续设备所需的所有元器件、备件、自制件、外购件价格不得高于项目价，且本次项目主要元器件报价清单中需对所有自制件、外购件价格进行明确。要求除通用零部件外所有零部件在设备使用寿命期内（不小于10年）可得，若不可得</w:t>
      </w:r>
      <w:r>
        <w:rPr>
          <w:rFonts w:hint="eastAsia" w:ascii="宋体" w:hAnsi="宋体" w:cs="宋体"/>
          <w:color w:val="000000"/>
          <w:lang w:eastAsia="zh-CN"/>
        </w:rPr>
        <w:t>投标人</w:t>
      </w:r>
      <w:r>
        <w:rPr>
          <w:rFonts w:hint="eastAsia" w:ascii="宋体" w:hAnsi="宋体" w:eastAsia="宋体" w:cs="宋体"/>
          <w:color w:val="000000"/>
        </w:rPr>
        <w:t>需无偿提供解决方案，由此造成的所有费用</w:t>
      </w:r>
      <w:r>
        <w:rPr>
          <w:rFonts w:hint="eastAsia" w:ascii="宋体" w:hAnsi="宋体" w:cs="宋体"/>
          <w:color w:val="000000"/>
          <w:lang w:eastAsia="zh-CN"/>
        </w:rPr>
        <w:t>投标人</w:t>
      </w:r>
      <w:r>
        <w:rPr>
          <w:rFonts w:hint="eastAsia" w:ascii="宋体" w:hAnsi="宋体" w:eastAsia="宋体" w:cs="宋体"/>
          <w:color w:val="000000"/>
        </w:rPr>
        <w:t>承担。</w:t>
      </w:r>
    </w:p>
    <w:p w14:paraId="5EBE056F">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保证设备、系统正常工作，若有</w:t>
      </w:r>
      <w:r>
        <w:rPr>
          <w:rFonts w:hint="eastAsia" w:ascii="宋体" w:hAnsi="宋体" w:cs="宋体"/>
          <w:color w:val="000000"/>
          <w:lang w:eastAsia="zh-CN"/>
        </w:rPr>
        <w:t>招标人</w:t>
      </w:r>
      <w:r>
        <w:rPr>
          <w:rFonts w:hint="eastAsia" w:ascii="宋体" w:hAnsi="宋体" w:eastAsia="宋体" w:cs="宋体"/>
          <w:color w:val="000000"/>
        </w:rPr>
        <w:t>考虑不周，</w:t>
      </w:r>
      <w:r>
        <w:rPr>
          <w:rFonts w:hint="eastAsia" w:ascii="宋体" w:hAnsi="宋体" w:cs="宋体"/>
          <w:color w:val="000000"/>
          <w:lang w:eastAsia="zh-CN"/>
        </w:rPr>
        <w:t>投标人</w:t>
      </w:r>
      <w:r>
        <w:rPr>
          <w:rFonts w:hint="eastAsia" w:ascii="宋体" w:hAnsi="宋体" w:eastAsia="宋体" w:cs="宋体"/>
          <w:color w:val="000000"/>
        </w:rPr>
        <w:t>无条件解决。</w:t>
      </w:r>
    </w:p>
    <w:p w14:paraId="36154B3B">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对以上条款中未详尽之处，双方以协商方式解决。</w:t>
      </w:r>
    </w:p>
    <w:p w14:paraId="3200028B">
      <w:pPr>
        <w:pStyle w:val="17"/>
        <w:pageBreakBefore w:val="0"/>
        <w:numPr>
          <w:ilvl w:val="0"/>
          <w:numId w:val="6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000000"/>
        </w:rPr>
      </w:pPr>
      <w:r>
        <w:rPr>
          <w:rFonts w:hint="eastAsia" w:ascii="宋体" w:hAnsi="宋体" w:eastAsia="宋体" w:cs="宋体"/>
          <w:color w:val="000000"/>
        </w:rPr>
        <w:t>备注：技术文件</w:t>
      </w:r>
      <w:r>
        <w:rPr>
          <w:rFonts w:hint="eastAsia" w:ascii="宋体" w:hAnsi="宋体" w:eastAsia="宋体" w:cs="宋体"/>
          <w:color w:val="000000"/>
          <w:lang w:eastAsia="zh-CN"/>
        </w:rPr>
        <w:t>（详见附件）</w:t>
      </w:r>
      <w:r>
        <w:rPr>
          <w:rFonts w:hint="eastAsia" w:ascii="宋体" w:hAnsi="宋体" w:eastAsia="宋体" w:cs="宋体"/>
          <w:color w:val="000000"/>
        </w:rPr>
        <w:t>包含上述内容，但不限于上述内容。</w:t>
      </w:r>
    </w:p>
    <w:p w14:paraId="4324B539">
      <w:pPr>
        <w:rPr>
          <w:rFonts w:hint="eastAsia"/>
        </w:rPr>
      </w:pPr>
    </w:p>
    <w:p w14:paraId="0725BE97">
      <w:pPr>
        <w:pStyle w:val="2"/>
        <w:pageBreakBefore w:val="0"/>
        <w:numPr>
          <w:ilvl w:val="0"/>
          <w:numId w:val="2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lang w:eastAsia="zh-CN"/>
        </w:rPr>
      </w:pPr>
      <w:r>
        <w:rPr>
          <w:rFonts w:hint="eastAsia" w:ascii="宋体" w:hAnsi="宋体" w:eastAsia="宋体" w:cs="宋体"/>
          <w:b/>
          <w:bCs/>
          <w:lang w:eastAsia="zh-CN"/>
        </w:rPr>
        <w:t>附件</w:t>
      </w:r>
    </w:p>
    <w:p w14:paraId="7544121A">
      <w:pPr>
        <w:pStyle w:val="3"/>
        <w:pageBreakBefore w:val="0"/>
        <w:kinsoku/>
        <w:wordWrap/>
        <w:overflowPunct/>
        <w:topLinePunct w:val="0"/>
        <w:bidi w:val="0"/>
        <w:adjustRightInd w:val="0"/>
        <w:snapToGrid w:val="0"/>
        <w:spacing w:before="0" w:afterAutospacing="0" w:line="360" w:lineRule="auto"/>
        <w:ind w:left="0" w:leftChars="0" w:firstLine="0" w:firstLineChars="0"/>
        <w:jc w:val="center"/>
        <w:textAlignment w:val="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附件一、涂装工作区域技术要求</w:t>
      </w:r>
    </w:p>
    <w:p w14:paraId="1944B315">
      <w:pPr>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一、工作区域技术要求</w:t>
      </w:r>
    </w:p>
    <w:p w14:paraId="7A246AA3">
      <w:pPr>
        <w:pStyle w:val="3"/>
        <w:pageBreakBefore w:val="0"/>
        <w:kinsoku/>
        <w:wordWrap/>
        <w:overflowPunct/>
        <w:topLinePunct w:val="0"/>
        <w:bidi w:val="0"/>
        <w:adjustRightInd w:val="0"/>
        <w:snapToGrid w:val="0"/>
        <w:spacing w:before="0" w:afterAutospacing="0" w:line="360" w:lineRule="auto"/>
        <w:ind w:left="0" w:leftChars="0" w:firstLine="0" w:firstLineChars="0"/>
        <w:jc w:val="both"/>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（一）、前处理线技术任务书</w:t>
      </w:r>
      <w:r>
        <w:rPr>
          <w:rFonts w:hint="eastAsia" w:ascii="宋体" w:hAnsi="宋体" w:eastAsia="宋体" w:cs="宋体"/>
          <w:b/>
          <w:bCs/>
          <w:color w:val="000000" w:themeColor="text1"/>
          <w:sz w:val="24"/>
          <w:szCs w:val="24"/>
          <w:lang w:eastAsia="zh-CN"/>
          <w14:textFill>
            <w14:solidFill>
              <w14:schemeClr w14:val="tx1"/>
            </w14:solidFill>
          </w14:textFill>
        </w:rPr>
        <w:t>（利旧）</w:t>
      </w:r>
    </w:p>
    <w:p w14:paraId="07BCC1B0">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1.总体要求</w:t>
      </w:r>
    </w:p>
    <w:p w14:paraId="2D06C16C">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前处理系统的设计须满足冷轧板、热镀锌板、镀锌板、铝板等板材的车身。</w:t>
      </w:r>
    </w:p>
    <w:p w14:paraId="08082140">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设计应充分考虑可靠的人机工程，最大程度地考虑操作、维护及安全。</w:t>
      </w:r>
    </w:p>
    <w:p w14:paraId="5B5DE0B0">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在设计阶段，</w:t>
      </w:r>
      <w:r>
        <w:rPr>
          <w:rFonts w:hint="eastAsia" w:ascii="宋体" w:hAnsi="宋体" w:eastAsia="宋体" w:cs="宋体"/>
          <w:color w:val="000000"/>
          <w:lang w:eastAsia="zh-CN"/>
        </w:rPr>
        <w:t>投标人</w:t>
      </w:r>
      <w:r>
        <w:rPr>
          <w:rFonts w:hint="eastAsia" w:ascii="宋体" w:hAnsi="宋体" w:eastAsia="宋体" w:cs="宋体"/>
          <w:color w:val="000000"/>
        </w:rPr>
        <w:t>应该提供设备设计计算书，包括子系统和单一部件。这个计算书应该包含纯水，工业水的要求，泵和管道系统压力和压降，流程图和管道流量图。该流程图上的信息包含部件号，温度指示，压力，流量，流速，设定温度，压力，电导，pH值，喷嘴的流量等操作和设计参数。经过</w:t>
      </w:r>
      <w:r>
        <w:rPr>
          <w:rFonts w:hint="eastAsia" w:ascii="宋体" w:hAnsi="宋体" w:cs="宋体"/>
          <w:color w:val="000000"/>
          <w:lang w:eastAsia="zh-CN"/>
        </w:rPr>
        <w:t>投标人</w:t>
      </w:r>
      <w:r>
        <w:rPr>
          <w:rFonts w:hint="eastAsia" w:ascii="宋体" w:hAnsi="宋体" w:eastAsia="宋体" w:cs="宋体"/>
          <w:color w:val="000000"/>
        </w:rPr>
        <w:t>签字确认的流程图和计算书应该提交给</w:t>
      </w:r>
      <w:r>
        <w:rPr>
          <w:rFonts w:hint="eastAsia" w:ascii="宋体" w:hAnsi="宋体" w:cs="宋体"/>
          <w:color w:val="000000"/>
          <w:lang w:eastAsia="zh-CN"/>
        </w:rPr>
        <w:t>招标人</w:t>
      </w:r>
      <w:r>
        <w:rPr>
          <w:rFonts w:hint="eastAsia" w:ascii="宋体" w:hAnsi="宋体" w:eastAsia="宋体" w:cs="宋体"/>
          <w:color w:val="000000"/>
        </w:rPr>
        <w:t>确认，所有设备的编号必须标示在流程图上。</w:t>
      </w:r>
    </w:p>
    <w:p w14:paraId="14844C61">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黄铜、铜、铝及其它容易起反应的金属不应用于阀门、喷嘴、探头及前处理系统的其他部件，并且绝对禁止使用含硅酮材料、石棉材料，与槽液接触的部位材料必须考虑耐腐蚀与耐化学性。</w:t>
      </w:r>
    </w:p>
    <w:p w14:paraId="0B14F32E">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前处理区域分成两个独立的区域：碱区和酸区，每一个区域需要单独的排水坑和2台潜水泵（一用一备），潜水泵由</w:t>
      </w:r>
      <w:r>
        <w:rPr>
          <w:rFonts w:hint="eastAsia" w:ascii="宋体" w:hAnsi="宋体" w:cs="宋体"/>
          <w:color w:val="auto"/>
          <w:lang w:eastAsia="zh-CN"/>
        </w:rPr>
        <w:t>招标人</w:t>
      </w:r>
      <w:r>
        <w:rPr>
          <w:rFonts w:hint="eastAsia" w:ascii="宋体" w:hAnsi="宋体" w:eastAsia="宋体" w:cs="宋体"/>
          <w:color w:val="auto"/>
        </w:rPr>
        <w:t>采购及安装，水泵提资由</w:t>
      </w:r>
      <w:r>
        <w:rPr>
          <w:rFonts w:hint="eastAsia" w:ascii="宋体" w:hAnsi="宋体" w:cs="宋体"/>
          <w:color w:val="auto"/>
          <w:lang w:eastAsia="zh-CN"/>
        </w:rPr>
        <w:t>投标人</w:t>
      </w:r>
      <w:r>
        <w:rPr>
          <w:rFonts w:hint="eastAsia" w:ascii="宋体" w:hAnsi="宋体" w:eastAsia="宋体" w:cs="宋体"/>
          <w:color w:val="auto"/>
        </w:rPr>
        <w:t>完成。</w:t>
      </w:r>
    </w:p>
    <w:p w14:paraId="3FE19411">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前处理区需要在不少于两处的合适位置设置洗眼/冲淋装置，以供紧急状态下使用。脱脂加料区域、硅烷加料区域安装。</w:t>
      </w:r>
    </w:p>
    <w:p w14:paraId="3A2DBD13">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所有设备与仪表都有进出口阀门，以便于维修。</w:t>
      </w:r>
      <w:bookmarkStart w:id="82" w:name="OLE_LINK85"/>
      <w:bookmarkStart w:id="83" w:name="OLE_LINK84"/>
    </w:p>
    <w:p w14:paraId="13A2E89D">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脱脂液颗粒去除要求；洪流、预脱脂、主脱脂，槽液从锥斗下抽出，由泵打入旋液分离器，大的杂质颗粒进入收集室，液体通过磁性过滤器进行进一步处理，然后处理后的槽液经过袋式过滤器过滤，最后将清液体重新打回工艺槽中。旋液式分离器、磁性过滤器底部排污口可定时开启，当渣粉达到一定厚度时，含渣浓缩液将从排污口直接排到纸袋刮渣机进行两次过滤，最后将干净清槽液打回工艺槽。</w:t>
      </w:r>
    </w:p>
    <w:p w14:paraId="3F26FC91">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旋液分离器流量≥100 m³/ h（脱脂≥200 m³/ h），入室口和收集室可打开。</w:t>
      </w:r>
    </w:p>
    <w:p w14:paraId="36EF8F19">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脱脂除油系统：洪流、预脱脂除油共用一套除油设备，保证含油量控制在3000ppm以下，脱脂槽一套除油设备，保证含油量控制在2000ppm以下，系统采用高温破乳，多级除油系统。</w:t>
      </w:r>
      <w:bookmarkStart w:id="84" w:name="OLE_LINK31"/>
      <w:bookmarkStart w:id="85" w:name="OLE_LINK32"/>
      <w:bookmarkStart w:id="86" w:name="OLE_LINK112"/>
      <w:bookmarkStart w:id="87" w:name="OLE_LINK113"/>
    </w:p>
    <w:p w14:paraId="17B55EE3">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前处理电泳工业水主管须设置橡塑保温。</w:t>
      </w:r>
    </w:p>
    <w:p w14:paraId="1BEBC2F1">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在用水量较大的供水管道上安装带远传计量装置，用于与能源监控系统联网。</w:t>
      </w:r>
    </w:p>
    <w:p w14:paraId="51B12585">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所有浸槽设置掉车报警装置。</w:t>
      </w:r>
    </w:p>
    <w:p w14:paraId="41D4D9E4">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前处理每个袋式过滤器中设计有磁棒和磁棒支架的永磁磁棒，每袋1根，每根磁通量10000GS以上</w:t>
      </w:r>
      <w:bookmarkEnd w:id="82"/>
      <w:bookmarkEnd w:id="83"/>
      <w:bookmarkEnd w:id="84"/>
      <w:bookmarkEnd w:id="85"/>
      <w:bookmarkEnd w:id="86"/>
      <w:bookmarkEnd w:id="87"/>
      <w:bookmarkStart w:id="88" w:name="_Toc283038415"/>
      <w:r>
        <w:rPr>
          <w:rFonts w:hint="eastAsia" w:ascii="宋体" w:hAnsi="宋体" w:eastAsia="宋体" w:cs="宋体"/>
          <w:color w:val="auto"/>
        </w:rPr>
        <w:t xml:space="preserve">。 </w:t>
      </w:r>
    </w:p>
    <w:p w14:paraId="00E55A3A">
      <w:pPr>
        <w:pStyle w:val="17"/>
        <w:pageBreakBefore w:val="0"/>
        <w:numPr>
          <w:ilvl w:val="0"/>
          <w:numId w:val="6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前处理平台高度与各工艺槽的槽沿平齐，平台采用型钢做骨架，上铺平钢板，符合国家安全规范一级标准，在适当的位置设置梯子和安全防护栏杆，所有平台四周设折边踢脚板，整个平台均为满焊不漏水结构，适当地方设计平台地漏（用于维护设备排水）</w:t>
      </w:r>
      <w:r>
        <w:rPr>
          <w:rFonts w:hint="eastAsia" w:ascii="宋体" w:hAnsi="宋体" w:eastAsia="宋体" w:cs="宋体"/>
          <w:color w:val="auto"/>
        </w:rPr>
        <w:t>，平台刷环氧自流平</w:t>
      </w:r>
      <w:r>
        <w:rPr>
          <w:rFonts w:hint="eastAsia" w:ascii="宋体" w:hAnsi="宋体" w:eastAsia="宋体" w:cs="宋体"/>
          <w:color w:val="auto"/>
          <w:lang w:eastAsia="zh-CN"/>
        </w:rPr>
        <w:t>漆</w:t>
      </w:r>
      <w:r>
        <w:rPr>
          <w:rFonts w:hint="eastAsia" w:ascii="宋体" w:hAnsi="宋体" w:eastAsia="宋体" w:cs="宋体"/>
          <w:color w:val="000000"/>
        </w:rPr>
        <w:t>，不能鼓包。防止平台底部需安装照明。</w:t>
      </w:r>
      <w:bookmarkEnd w:id="88"/>
    </w:p>
    <w:p w14:paraId="602C286E">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2.设备材料描述：</w:t>
      </w:r>
    </w:p>
    <w:p w14:paraId="4251D779">
      <w:pPr>
        <w:pStyle w:val="5"/>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风管</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2"/>
        <w:gridCol w:w="3056"/>
        <w:gridCol w:w="2424"/>
      </w:tblGrid>
      <w:tr w14:paraId="38DE2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04" w:hRule="atLeast"/>
        </w:trPr>
        <w:tc>
          <w:tcPr>
            <w:tcW w:w="2161" w:type="pct"/>
            <w:tcBorders>
              <w:top w:val="single" w:color="auto" w:sz="4" w:space="0"/>
              <w:left w:val="single" w:color="auto" w:sz="4" w:space="0"/>
              <w:bottom w:val="single" w:color="auto" w:sz="4" w:space="0"/>
              <w:right w:val="single" w:color="auto" w:sz="4" w:space="0"/>
            </w:tcBorders>
            <w:shd w:val="clear" w:color="auto" w:fill="auto"/>
            <w:vAlign w:val="center"/>
          </w:tcPr>
          <w:p w14:paraId="23DE866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bCs/>
                <w:color w:val="000000"/>
                <w:sz w:val="24"/>
                <w:szCs w:val="24"/>
                <w:lang w:val="en-GB"/>
              </w:rPr>
            </w:pPr>
            <w:r>
              <w:rPr>
                <w:rFonts w:hint="eastAsia" w:ascii="宋体" w:hAnsi="宋体" w:eastAsia="宋体" w:cs="宋体"/>
                <w:b/>
                <w:bCs/>
                <w:color w:val="000000"/>
                <w:sz w:val="24"/>
                <w:szCs w:val="24"/>
                <w:lang w:val="en-GB"/>
              </w:rPr>
              <w:t>部位</w:t>
            </w:r>
          </w:p>
        </w:tc>
        <w:tc>
          <w:tcPr>
            <w:tcW w:w="1583" w:type="pct"/>
            <w:tcBorders>
              <w:top w:val="single" w:color="auto" w:sz="4" w:space="0"/>
              <w:left w:val="single" w:color="auto" w:sz="4" w:space="0"/>
              <w:bottom w:val="single" w:color="auto" w:sz="4" w:space="0"/>
              <w:right w:val="single" w:color="auto" w:sz="4" w:space="0"/>
            </w:tcBorders>
            <w:shd w:val="clear" w:color="auto" w:fill="auto"/>
            <w:vAlign w:val="center"/>
          </w:tcPr>
          <w:p w14:paraId="0B58515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bCs/>
                <w:color w:val="000000"/>
                <w:sz w:val="24"/>
                <w:szCs w:val="24"/>
                <w:lang w:val="en-GB" w:eastAsia="sv-SE"/>
              </w:rPr>
            </w:pPr>
            <w:r>
              <w:rPr>
                <w:rFonts w:hint="eastAsia" w:ascii="宋体" w:hAnsi="宋体" w:eastAsia="宋体" w:cs="宋体"/>
                <w:b/>
                <w:bCs/>
                <w:color w:val="000000"/>
                <w:sz w:val="24"/>
                <w:szCs w:val="24"/>
                <w:lang w:val="sv-SE"/>
              </w:rPr>
              <w:t>材料</w:t>
            </w:r>
          </w:p>
        </w:tc>
        <w:tc>
          <w:tcPr>
            <w:tcW w:w="1255" w:type="pct"/>
            <w:tcBorders>
              <w:top w:val="single" w:color="auto" w:sz="4" w:space="0"/>
              <w:left w:val="single" w:color="auto" w:sz="4" w:space="0"/>
              <w:bottom w:val="single" w:color="auto" w:sz="4" w:space="0"/>
              <w:right w:val="single" w:color="auto" w:sz="4" w:space="0"/>
            </w:tcBorders>
            <w:shd w:val="clear" w:color="auto" w:fill="auto"/>
            <w:vAlign w:val="center"/>
          </w:tcPr>
          <w:p w14:paraId="3BD145D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bCs/>
                <w:color w:val="000000"/>
                <w:sz w:val="24"/>
                <w:szCs w:val="24"/>
                <w:lang w:val="en-GB" w:eastAsia="sv-SE"/>
              </w:rPr>
            </w:pPr>
            <w:r>
              <w:rPr>
                <w:rFonts w:hint="eastAsia" w:ascii="宋体" w:hAnsi="宋体" w:eastAsia="宋体" w:cs="宋体"/>
                <w:b/>
                <w:bCs/>
                <w:color w:val="000000"/>
                <w:sz w:val="24"/>
                <w:szCs w:val="24"/>
                <w:lang w:val="sv-SE"/>
              </w:rPr>
              <w:t>最小厚度</w:t>
            </w:r>
          </w:p>
        </w:tc>
      </w:tr>
      <w:tr w14:paraId="6E04F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trPr>
        <w:tc>
          <w:tcPr>
            <w:tcW w:w="2161" w:type="pct"/>
            <w:tcBorders>
              <w:top w:val="single" w:color="auto" w:sz="4" w:space="0"/>
              <w:left w:val="single" w:color="auto" w:sz="4" w:space="0"/>
              <w:bottom w:val="single" w:color="auto" w:sz="4" w:space="0"/>
              <w:right w:val="single" w:color="auto" w:sz="4" w:space="0"/>
            </w:tcBorders>
            <w:vAlign w:val="center"/>
          </w:tcPr>
          <w:p w14:paraId="4CA6709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lang w:val="sv-SE"/>
              </w:rPr>
              <w:t>供风（外部）</w:t>
            </w:r>
          </w:p>
        </w:tc>
        <w:tc>
          <w:tcPr>
            <w:tcW w:w="1583" w:type="pct"/>
            <w:tcBorders>
              <w:top w:val="single" w:color="auto" w:sz="4" w:space="0"/>
              <w:left w:val="single" w:color="auto" w:sz="4" w:space="0"/>
              <w:bottom w:val="single" w:color="auto" w:sz="4" w:space="0"/>
              <w:right w:val="single" w:color="auto" w:sz="4" w:space="0"/>
            </w:tcBorders>
            <w:vAlign w:val="center"/>
          </w:tcPr>
          <w:p w14:paraId="256A792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rPr>
              <w:t>镀锌</w:t>
            </w:r>
          </w:p>
        </w:tc>
        <w:tc>
          <w:tcPr>
            <w:tcW w:w="1255" w:type="pct"/>
            <w:tcBorders>
              <w:top w:val="single" w:color="auto" w:sz="4" w:space="0"/>
              <w:left w:val="single" w:color="auto" w:sz="4" w:space="0"/>
              <w:bottom w:val="single" w:color="auto" w:sz="4" w:space="0"/>
              <w:right w:val="single" w:color="auto" w:sz="4" w:space="0"/>
            </w:tcBorders>
            <w:vAlign w:val="center"/>
          </w:tcPr>
          <w:p w14:paraId="55F24D8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rPr>
              <w:t>1.5mm</w:t>
            </w:r>
          </w:p>
        </w:tc>
      </w:tr>
      <w:tr w14:paraId="73E6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4" w:hRule="atLeast"/>
        </w:trPr>
        <w:tc>
          <w:tcPr>
            <w:tcW w:w="2161" w:type="pct"/>
            <w:tcBorders>
              <w:top w:val="single" w:color="auto" w:sz="4" w:space="0"/>
              <w:left w:val="single" w:color="auto" w:sz="4" w:space="0"/>
              <w:bottom w:val="single" w:color="auto" w:sz="4" w:space="0"/>
              <w:right w:val="single" w:color="auto" w:sz="4" w:space="0"/>
            </w:tcBorders>
            <w:vAlign w:val="center"/>
          </w:tcPr>
          <w:p w14:paraId="426DEA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lang w:val="sv-SE"/>
              </w:rPr>
              <w:t>供风（内部）</w:t>
            </w:r>
          </w:p>
        </w:tc>
        <w:tc>
          <w:tcPr>
            <w:tcW w:w="1583" w:type="pct"/>
            <w:tcBorders>
              <w:top w:val="single" w:color="auto" w:sz="4" w:space="0"/>
              <w:left w:val="single" w:color="auto" w:sz="4" w:space="0"/>
              <w:bottom w:val="single" w:color="auto" w:sz="4" w:space="0"/>
              <w:right w:val="single" w:color="auto" w:sz="4" w:space="0"/>
            </w:tcBorders>
            <w:vAlign w:val="center"/>
          </w:tcPr>
          <w:p w14:paraId="56F4AF1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rPr>
              <w:t xml:space="preserve">SUS 304 </w:t>
            </w:r>
            <w:r>
              <w:rPr>
                <w:rFonts w:hint="eastAsia" w:ascii="宋体" w:hAnsi="宋体" w:eastAsia="宋体" w:cs="宋体"/>
                <w:color w:val="000000"/>
                <w:sz w:val="24"/>
                <w:szCs w:val="24"/>
                <w:lang w:val="sv-SE"/>
              </w:rPr>
              <w:t>不锈钢</w:t>
            </w:r>
          </w:p>
        </w:tc>
        <w:tc>
          <w:tcPr>
            <w:tcW w:w="1255" w:type="pct"/>
            <w:tcBorders>
              <w:top w:val="single" w:color="auto" w:sz="4" w:space="0"/>
              <w:left w:val="single" w:color="auto" w:sz="4" w:space="0"/>
              <w:bottom w:val="single" w:color="auto" w:sz="4" w:space="0"/>
              <w:right w:val="single" w:color="auto" w:sz="4" w:space="0"/>
            </w:tcBorders>
            <w:vAlign w:val="center"/>
          </w:tcPr>
          <w:p w14:paraId="3A6597A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rPr>
              <w:t>1.5mm</w:t>
            </w:r>
          </w:p>
        </w:tc>
      </w:tr>
      <w:tr w14:paraId="0D36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7" w:hRule="atLeast"/>
        </w:trPr>
        <w:tc>
          <w:tcPr>
            <w:tcW w:w="2161" w:type="pct"/>
            <w:tcBorders>
              <w:top w:val="single" w:color="auto" w:sz="4" w:space="0"/>
              <w:left w:val="single" w:color="auto" w:sz="4" w:space="0"/>
              <w:bottom w:val="single" w:color="auto" w:sz="4" w:space="0"/>
              <w:right w:val="single" w:color="auto" w:sz="4" w:space="0"/>
            </w:tcBorders>
            <w:vAlign w:val="center"/>
          </w:tcPr>
          <w:p w14:paraId="6DDE0DE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lang w:val="sv-SE"/>
              </w:rPr>
              <w:t>排风</w:t>
            </w:r>
          </w:p>
        </w:tc>
        <w:tc>
          <w:tcPr>
            <w:tcW w:w="1583" w:type="pct"/>
            <w:tcBorders>
              <w:top w:val="single" w:color="auto" w:sz="4" w:space="0"/>
              <w:left w:val="single" w:color="auto" w:sz="4" w:space="0"/>
              <w:bottom w:val="single" w:color="auto" w:sz="4" w:space="0"/>
              <w:right w:val="single" w:color="auto" w:sz="4" w:space="0"/>
            </w:tcBorders>
            <w:vAlign w:val="center"/>
          </w:tcPr>
          <w:p w14:paraId="33022C4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rPr>
              <w:t xml:space="preserve">SUS 304 </w:t>
            </w:r>
            <w:r>
              <w:rPr>
                <w:rFonts w:hint="eastAsia" w:ascii="宋体" w:hAnsi="宋体" w:eastAsia="宋体" w:cs="宋体"/>
                <w:color w:val="000000"/>
                <w:sz w:val="24"/>
                <w:szCs w:val="24"/>
                <w:lang w:val="sv-SE"/>
              </w:rPr>
              <w:t>不锈钢</w:t>
            </w:r>
          </w:p>
        </w:tc>
        <w:tc>
          <w:tcPr>
            <w:tcW w:w="1255" w:type="pct"/>
            <w:tcBorders>
              <w:top w:val="single" w:color="auto" w:sz="4" w:space="0"/>
              <w:left w:val="single" w:color="auto" w:sz="4" w:space="0"/>
              <w:bottom w:val="single" w:color="auto" w:sz="4" w:space="0"/>
              <w:right w:val="single" w:color="auto" w:sz="4" w:space="0"/>
            </w:tcBorders>
            <w:vAlign w:val="center"/>
          </w:tcPr>
          <w:p w14:paraId="226F5CD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en-GB"/>
              </w:rPr>
            </w:pPr>
            <w:r>
              <w:rPr>
                <w:rFonts w:hint="eastAsia" w:ascii="宋体" w:hAnsi="宋体" w:eastAsia="宋体" w:cs="宋体"/>
                <w:color w:val="000000"/>
                <w:sz w:val="24"/>
                <w:szCs w:val="24"/>
              </w:rPr>
              <w:t>1.5mm</w:t>
            </w:r>
          </w:p>
        </w:tc>
      </w:tr>
    </w:tbl>
    <w:p w14:paraId="24A8A133">
      <w:pPr>
        <w:pStyle w:val="5"/>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管道及保温层</w:t>
      </w:r>
    </w:p>
    <w:tbl>
      <w:tblPr>
        <w:tblStyle w:val="44"/>
        <w:tblW w:w="4999" w:type="pct"/>
        <w:tblInd w:w="0" w:type="dxa"/>
        <w:tblLayout w:type="autofit"/>
        <w:tblCellMar>
          <w:top w:w="0" w:type="dxa"/>
          <w:left w:w="108" w:type="dxa"/>
          <w:bottom w:w="0" w:type="dxa"/>
          <w:right w:w="108" w:type="dxa"/>
        </w:tblCellMar>
      </w:tblPr>
      <w:tblGrid>
        <w:gridCol w:w="4172"/>
        <w:gridCol w:w="3056"/>
        <w:gridCol w:w="2424"/>
      </w:tblGrid>
      <w:tr w14:paraId="5D3A0683">
        <w:tblPrEx>
          <w:tblCellMar>
            <w:top w:w="0" w:type="dxa"/>
            <w:left w:w="108" w:type="dxa"/>
            <w:bottom w:w="0" w:type="dxa"/>
            <w:right w:w="108" w:type="dxa"/>
          </w:tblCellMar>
        </w:tblPrEx>
        <w:trPr>
          <w:trHeight w:val="385" w:hRule="atLeast"/>
        </w:trPr>
        <w:tc>
          <w:tcPr>
            <w:tcW w:w="2161" w:type="pct"/>
            <w:tcBorders>
              <w:top w:val="single" w:color="auto" w:sz="4" w:space="0"/>
              <w:left w:val="single" w:color="auto" w:sz="4" w:space="0"/>
              <w:bottom w:val="single" w:color="auto" w:sz="4" w:space="0"/>
              <w:right w:val="single" w:color="auto" w:sz="4" w:space="0"/>
            </w:tcBorders>
            <w:shd w:val="clear" w:color="auto" w:fill="auto"/>
            <w:vAlign w:val="center"/>
          </w:tcPr>
          <w:p w14:paraId="3B0E305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分类</w:t>
            </w:r>
          </w:p>
        </w:tc>
        <w:tc>
          <w:tcPr>
            <w:tcW w:w="1583" w:type="pct"/>
            <w:tcBorders>
              <w:top w:val="single" w:color="auto" w:sz="4" w:space="0"/>
              <w:left w:val="nil"/>
              <w:bottom w:val="single" w:color="auto" w:sz="4" w:space="0"/>
              <w:right w:val="single" w:color="auto" w:sz="4" w:space="0"/>
            </w:tcBorders>
            <w:shd w:val="clear" w:color="auto" w:fill="auto"/>
            <w:vAlign w:val="center"/>
          </w:tcPr>
          <w:p w14:paraId="76C0AEF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sv-SE"/>
              </w:rPr>
              <w:t>材料</w:t>
            </w:r>
          </w:p>
        </w:tc>
        <w:tc>
          <w:tcPr>
            <w:tcW w:w="1255" w:type="pct"/>
            <w:tcBorders>
              <w:top w:val="single" w:color="auto" w:sz="4" w:space="0"/>
              <w:left w:val="nil"/>
              <w:bottom w:val="single" w:color="auto" w:sz="4" w:space="0"/>
              <w:right w:val="single" w:color="auto" w:sz="4" w:space="0"/>
            </w:tcBorders>
            <w:shd w:val="clear" w:color="auto" w:fill="auto"/>
            <w:vAlign w:val="center"/>
          </w:tcPr>
          <w:p w14:paraId="2563A77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sv-SE"/>
              </w:rPr>
              <w:t>最小厚度</w:t>
            </w:r>
          </w:p>
        </w:tc>
      </w:tr>
      <w:tr w14:paraId="5BACB6F5">
        <w:tblPrEx>
          <w:tblCellMar>
            <w:top w:w="0" w:type="dxa"/>
            <w:left w:w="108" w:type="dxa"/>
            <w:bottom w:w="0" w:type="dxa"/>
            <w:right w:w="108" w:type="dxa"/>
          </w:tblCellMar>
        </w:tblPrEx>
        <w:trPr>
          <w:trHeight w:val="385" w:hRule="atLeast"/>
        </w:trPr>
        <w:tc>
          <w:tcPr>
            <w:tcW w:w="2161" w:type="pct"/>
            <w:tcBorders>
              <w:top w:val="nil"/>
              <w:left w:val="single" w:color="auto" w:sz="4" w:space="0"/>
              <w:bottom w:val="single" w:color="auto" w:sz="4" w:space="0"/>
              <w:right w:val="single" w:color="auto" w:sz="4" w:space="0"/>
            </w:tcBorders>
            <w:vAlign w:val="center"/>
          </w:tcPr>
          <w:p w14:paraId="22334B2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室体、槽体保温层</w:t>
            </w:r>
          </w:p>
        </w:tc>
        <w:tc>
          <w:tcPr>
            <w:tcW w:w="1583" w:type="pct"/>
            <w:tcBorders>
              <w:top w:val="nil"/>
              <w:left w:val="nil"/>
              <w:bottom w:val="single" w:color="auto" w:sz="4" w:space="0"/>
              <w:right w:val="single" w:color="auto" w:sz="4" w:space="0"/>
            </w:tcBorders>
            <w:vAlign w:val="center"/>
          </w:tcPr>
          <w:p w14:paraId="67D0BAE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sv-SE"/>
              </w:rPr>
              <w:t>岩棉或硅酸铝</w:t>
            </w:r>
          </w:p>
        </w:tc>
        <w:tc>
          <w:tcPr>
            <w:tcW w:w="1255" w:type="pct"/>
            <w:tcBorders>
              <w:top w:val="nil"/>
              <w:left w:val="nil"/>
              <w:bottom w:val="single" w:color="auto" w:sz="4" w:space="0"/>
              <w:right w:val="single" w:color="auto" w:sz="4" w:space="0"/>
            </w:tcBorders>
            <w:vAlign w:val="center"/>
          </w:tcPr>
          <w:p w14:paraId="110AED1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50mm</w:t>
            </w:r>
          </w:p>
        </w:tc>
      </w:tr>
      <w:tr w14:paraId="737A4D87">
        <w:tblPrEx>
          <w:tblCellMar>
            <w:top w:w="0" w:type="dxa"/>
            <w:left w:w="108" w:type="dxa"/>
            <w:bottom w:w="0" w:type="dxa"/>
            <w:right w:w="108" w:type="dxa"/>
          </w:tblCellMar>
        </w:tblPrEx>
        <w:trPr>
          <w:trHeight w:val="385" w:hRule="atLeast"/>
        </w:trPr>
        <w:tc>
          <w:tcPr>
            <w:tcW w:w="2161" w:type="pct"/>
            <w:tcBorders>
              <w:top w:val="nil"/>
              <w:left w:val="single" w:color="auto" w:sz="4" w:space="0"/>
              <w:bottom w:val="single" w:color="auto" w:sz="4" w:space="0"/>
              <w:right w:val="single" w:color="auto" w:sz="4" w:space="0"/>
            </w:tcBorders>
            <w:vAlign w:val="center"/>
          </w:tcPr>
          <w:p w14:paraId="19FF5DE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sv-SE"/>
              </w:rPr>
              <w:t>外包材料</w:t>
            </w:r>
          </w:p>
        </w:tc>
        <w:tc>
          <w:tcPr>
            <w:tcW w:w="1583" w:type="pct"/>
            <w:tcBorders>
              <w:top w:val="nil"/>
              <w:left w:val="nil"/>
              <w:bottom w:val="single" w:color="auto" w:sz="4" w:space="0"/>
              <w:right w:val="single" w:color="auto" w:sz="4" w:space="0"/>
            </w:tcBorders>
            <w:vAlign w:val="center"/>
          </w:tcPr>
          <w:p w14:paraId="4AC8727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sv-SE"/>
              </w:rPr>
              <w:t>镀锌波纹板</w:t>
            </w:r>
          </w:p>
        </w:tc>
        <w:tc>
          <w:tcPr>
            <w:tcW w:w="1255" w:type="pct"/>
            <w:tcBorders>
              <w:top w:val="nil"/>
              <w:left w:val="nil"/>
              <w:bottom w:val="single" w:color="auto" w:sz="4" w:space="0"/>
              <w:right w:val="single" w:color="auto" w:sz="4" w:space="0"/>
            </w:tcBorders>
            <w:vAlign w:val="center"/>
          </w:tcPr>
          <w:p w14:paraId="0580A74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0.6mm</w:t>
            </w:r>
          </w:p>
        </w:tc>
      </w:tr>
      <w:tr w14:paraId="4B51FF99">
        <w:tblPrEx>
          <w:tblCellMar>
            <w:top w:w="0" w:type="dxa"/>
            <w:left w:w="108" w:type="dxa"/>
            <w:bottom w:w="0" w:type="dxa"/>
            <w:right w:w="108" w:type="dxa"/>
          </w:tblCellMar>
        </w:tblPrEx>
        <w:trPr>
          <w:trHeight w:val="385" w:hRule="atLeast"/>
        </w:trPr>
        <w:tc>
          <w:tcPr>
            <w:tcW w:w="2161" w:type="pct"/>
            <w:tcBorders>
              <w:top w:val="nil"/>
              <w:left w:val="single" w:color="auto" w:sz="4" w:space="0"/>
              <w:bottom w:val="single" w:color="auto" w:sz="4" w:space="0"/>
              <w:right w:val="single" w:color="auto" w:sz="4" w:space="0"/>
            </w:tcBorders>
            <w:vAlign w:val="center"/>
          </w:tcPr>
          <w:p w14:paraId="6304654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sv-SE"/>
              </w:rPr>
              <w:t>冷冻水管道</w:t>
            </w:r>
          </w:p>
        </w:tc>
        <w:tc>
          <w:tcPr>
            <w:tcW w:w="1583" w:type="pct"/>
            <w:tcBorders>
              <w:top w:val="nil"/>
              <w:left w:val="nil"/>
              <w:bottom w:val="single" w:color="auto" w:sz="4" w:space="0"/>
              <w:right w:val="single" w:color="auto" w:sz="4" w:space="0"/>
            </w:tcBorders>
            <w:vAlign w:val="center"/>
          </w:tcPr>
          <w:p w14:paraId="33D2CE3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sv-SE"/>
              </w:rPr>
              <w:t>橡塑保温管</w:t>
            </w:r>
          </w:p>
        </w:tc>
        <w:tc>
          <w:tcPr>
            <w:tcW w:w="1255" w:type="pct"/>
            <w:tcBorders>
              <w:top w:val="nil"/>
              <w:left w:val="nil"/>
              <w:bottom w:val="single" w:color="auto" w:sz="4" w:space="0"/>
              <w:right w:val="single" w:color="auto" w:sz="4" w:space="0"/>
            </w:tcBorders>
            <w:vAlign w:val="center"/>
          </w:tcPr>
          <w:p w14:paraId="0265C17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10mm</w:t>
            </w:r>
          </w:p>
        </w:tc>
      </w:tr>
      <w:tr w14:paraId="44F047B2">
        <w:tblPrEx>
          <w:tblCellMar>
            <w:top w:w="0" w:type="dxa"/>
            <w:left w:w="108" w:type="dxa"/>
            <w:bottom w:w="0" w:type="dxa"/>
            <w:right w:w="108" w:type="dxa"/>
          </w:tblCellMar>
        </w:tblPrEx>
        <w:trPr>
          <w:trHeight w:val="396" w:hRule="atLeast"/>
        </w:trPr>
        <w:tc>
          <w:tcPr>
            <w:tcW w:w="2161" w:type="pct"/>
            <w:tcBorders>
              <w:top w:val="single" w:color="auto" w:sz="4" w:space="0"/>
              <w:left w:val="single" w:color="auto" w:sz="4" w:space="0"/>
              <w:bottom w:val="single" w:color="auto" w:sz="4" w:space="0"/>
              <w:right w:val="single" w:color="auto" w:sz="4" w:space="0"/>
            </w:tcBorders>
            <w:vAlign w:val="center"/>
          </w:tcPr>
          <w:p w14:paraId="5B7D036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热水管道</w:t>
            </w:r>
          </w:p>
        </w:tc>
        <w:tc>
          <w:tcPr>
            <w:tcW w:w="1583" w:type="pct"/>
            <w:tcBorders>
              <w:top w:val="single" w:color="auto" w:sz="4" w:space="0"/>
              <w:left w:val="nil"/>
              <w:bottom w:val="single" w:color="auto" w:sz="4" w:space="0"/>
              <w:right w:val="single" w:color="auto" w:sz="4" w:space="0"/>
            </w:tcBorders>
            <w:vAlign w:val="center"/>
          </w:tcPr>
          <w:p w14:paraId="1A3F883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sv-SE"/>
              </w:rPr>
              <w:t>岩棉或硅酸铝</w:t>
            </w:r>
          </w:p>
        </w:tc>
        <w:tc>
          <w:tcPr>
            <w:tcW w:w="1255" w:type="pct"/>
            <w:tcBorders>
              <w:top w:val="single" w:color="auto" w:sz="4" w:space="0"/>
              <w:left w:val="nil"/>
              <w:bottom w:val="single" w:color="auto" w:sz="4" w:space="0"/>
              <w:right w:val="single" w:color="auto" w:sz="4" w:space="0"/>
            </w:tcBorders>
            <w:vAlign w:val="center"/>
          </w:tcPr>
          <w:p w14:paraId="57D6D7C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50mm</w:t>
            </w:r>
          </w:p>
        </w:tc>
      </w:tr>
      <w:tr w14:paraId="38D414D8">
        <w:tblPrEx>
          <w:tblCellMar>
            <w:top w:w="0" w:type="dxa"/>
            <w:left w:w="108" w:type="dxa"/>
            <w:bottom w:w="0" w:type="dxa"/>
            <w:right w:w="108" w:type="dxa"/>
          </w:tblCellMar>
        </w:tblPrEx>
        <w:trPr>
          <w:trHeight w:val="378" w:hRule="atLeast"/>
        </w:trPr>
        <w:tc>
          <w:tcPr>
            <w:tcW w:w="2161" w:type="pct"/>
            <w:tcBorders>
              <w:top w:val="single" w:color="auto" w:sz="4" w:space="0"/>
              <w:left w:val="single" w:color="auto" w:sz="4" w:space="0"/>
              <w:bottom w:val="single" w:color="auto" w:sz="4" w:space="0"/>
              <w:right w:val="single" w:color="auto" w:sz="4" w:space="0"/>
            </w:tcBorders>
            <w:vAlign w:val="center"/>
          </w:tcPr>
          <w:p w14:paraId="3C89417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外包材料</w:t>
            </w:r>
          </w:p>
        </w:tc>
        <w:tc>
          <w:tcPr>
            <w:tcW w:w="1583" w:type="pct"/>
            <w:tcBorders>
              <w:top w:val="single" w:color="auto" w:sz="4" w:space="0"/>
              <w:left w:val="nil"/>
              <w:bottom w:val="single" w:color="auto" w:sz="4" w:space="0"/>
              <w:right w:val="single" w:color="auto" w:sz="4" w:space="0"/>
            </w:tcBorders>
            <w:vAlign w:val="center"/>
          </w:tcPr>
          <w:p w14:paraId="2E49DCD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val="sv-SE"/>
              </w:rPr>
            </w:pPr>
            <w:r>
              <w:rPr>
                <w:rFonts w:hint="eastAsia" w:ascii="宋体" w:hAnsi="宋体" w:eastAsia="宋体" w:cs="宋体"/>
                <w:color w:val="000000"/>
                <w:sz w:val="24"/>
                <w:szCs w:val="24"/>
                <w:lang w:val="sv-SE"/>
              </w:rPr>
              <w:t>镀锌钢板</w:t>
            </w:r>
          </w:p>
        </w:tc>
        <w:tc>
          <w:tcPr>
            <w:tcW w:w="1255" w:type="pct"/>
            <w:tcBorders>
              <w:top w:val="single" w:color="auto" w:sz="4" w:space="0"/>
              <w:left w:val="nil"/>
              <w:bottom w:val="single" w:color="auto" w:sz="4" w:space="0"/>
              <w:right w:val="single" w:color="auto" w:sz="4" w:space="0"/>
            </w:tcBorders>
            <w:vAlign w:val="center"/>
          </w:tcPr>
          <w:p w14:paraId="0C47D5C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0.3mm</w:t>
            </w:r>
          </w:p>
        </w:tc>
      </w:tr>
    </w:tbl>
    <w:p w14:paraId="6FB5BED0">
      <w:pPr>
        <w:pStyle w:val="3"/>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（二）、工作区域技术任务书</w:t>
      </w:r>
    </w:p>
    <w:p w14:paraId="1AED9248">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总体要求：</w:t>
      </w:r>
    </w:p>
    <w:p w14:paraId="488F2A8B">
      <w:pPr>
        <w:pStyle w:val="17"/>
        <w:keepNext w:val="0"/>
        <w:keepLines w:val="0"/>
        <w:pageBreakBefore w:val="0"/>
        <w:widowControl w:val="0"/>
        <w:numPr>
          <w:ilvl w:val="0"/>
          <w:numId w:val="6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lang w:val="de-DE" w:eastAsia="zh-CN"/>
        </w:rPr>
      </w:pPr>
      <w:r>
        <w:rPr>
          <w:rFonts w:hint="eastAsia" w:ascii="宋体" w:hAnsi="宋体" w:eastAsia="宋体" w:cs="宋体"/>
          <w:color w:val="000000"/>
          <w:sz w:val="24"/>
          <w:szCs w:val="24"/>
          <w:lang w:val="en-US" w:eastAsia="zh-CN"/>
        </w:rPr>
        <w:t>现状</w:t>
      </w:r>
      <w:r>
        <w:rPr>
          <w:rFonts w:hint="eastAsia" w:ascii="宋体" w:hAnsi="宋体" w:eastAsia="宋体" w:cs="宋体"/>
          <w:color w:val="000000"/>
          <w:sz w:val="24"/>
          <w:szCs w:val="24"/>
          <w:lang w:val="de-DE" w:eastAsia="zh-CN"/>
        </w:rPr>
        <w:t>：</w:t>
      </w:r>
    </w:p>
    <w:p w14:paraId="6A424395">
      <w:pPr>
        <w:pageBreakBefore w:val="0"/>
        <w:numPr>
          <w:ilvl w:val="0"/>
          <w:numId w:val="0"/>
        </w:numPr>
        <w:tabs>
          <w:tab w:val="left" w:pos="99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本项目为利旧改造项目，</w:t>
      </w:r>
      <w:r>
        <w:rPr>
          <w:rFonts w:hint="eastAsia" w:ascii="宋体" w:hAnsi="宋体" w:cs="宋体"/>
          <w:bCs/>
          <w:color w:val="000000" w:themeColor="text1"/>
          <w:sz w:val="24"/>
          <w:szCs w:val="24"/>
          <w:lang w:val="en-US" w:eastAsia="zh-CN"/>
          <w14:textFill>
            <w14:solidFill>
              <w14:schemeClr w14:val="tx1"/>
            </w14:solidFill>
          </w14:textFill>
        </w:rPr>
        <w:t>投标人</w:t>
      </w:r>
      <w:r>
        <w:rPr>
          <w:rFonts w:hint="eastAsia" w:ascii="宋体" w:hAnsi="宋体" w:eastAsia="宋体" w:cs="宋体"/>
          <w:bCs/>
          <w:color w:val="000000" w:themeColor="text1"/>
          <w:sz w:val="24"/>
          <w:szCs w:val="24"/>
          <w:lang w:val="en-US" w:eastAsia="zh-CN"/>
          <w14:textFill>
            <w14:solidFill>
              <w14:schemeClr w14:val="tx1"/>
            </w14:solidFill>
          </w14:textFill>
        </w:rPr>
        <w:t>应尽可能利旧现场设备(包含但不限于风机、灯箱、室体壁板、地下风道等)，无法利旧的设备可重新制作并按照，详细方案由</w:t>
      </w:r>
      <w:r>
        <w:rPr>
          <w:rFonts w:hint="eastAsia" w:ascii="宋体" w:hAnsi="宋体" w:cs="宋体"/>
          <w:bCs/>
          <w:color w:val="000000" w:themeColor="text1"/>
          <w:sz w:val="24"/>
          <w:szCs w:val="24"/>
          <w:lang w:val="en-US" w:eastAsia="zh-CN"/>
          <w14:textFill>
            <w14:solidFill>
              <w14:schemeClr w14:val="tx1"/>
            </w14:solidFill>
          </w14:textFill>
        </w:rPr>
        <w:t>投标人</w:t>
      </w:r>
      <w:r>
        <w:rPr>
          <w:rFonts w:hint="eastAsia" w:ascii="宋体" w:hAnsi="宋体" w:eastAsia="宋体" w:cs="宋体"/>
          <w:bCs/>
          <w:color w:val="000000" w:themeColor="text1"/>
          <w:sz w:val="24"/>
          <w:szCs w:val="24"/>
          <w:lang w:val="en-US" w:eastAsia="zh-CN"/>
          <w14:textFill>
            <w14:solidFill>
              <w14:schemeClr w14:val="tx1"/>
            </w14:solidFill>
          </w14:textFill>
        </w:rPr>
        <w:t>自行设计。</w:t>
      </w:r>
    </w:p>
    <w:tbl>
      <w:tblPr>
        <w:tblStyle w:val="45"/>
        <w:tblpPr w:leftFromText="180" w:rightFromText="180" w:vertAnchor="text" w:horzAnchor="page" w:tblpX="1327" w:tblpY="444"/>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735"/>
        <w:gridCol w:w="722"/>
        <w:gridCol w:w="797"/>
        <w:gridCol w:w="770"/>
        <w:gridCol w:w="957"/>
        <w:gridCol w:w="1058"/>
        <w:gridCol w:w="936"/>
        <w:gridCol w:w="1123"/>
        <w:gridCol w:w="793"/>
      </w:tblGrid>
      <w:tr w14:paraId="139F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7B63819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序号</w:t>
            </w:r>
          </w:p>
        </w:tc>
        <w:tc>
          <w:tcPr>
            <w:tcW w:w="903" w:type="pct"/>
            <w:vAlign w:val="center"/>
          </w:tcPr>
          <w:p w14:paraId="138AFD5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工艺段</w:t>
            </w:r>
          </w:p>
        </w:tc>
        <w:tc>
          <w:tcPr>
            <w:tcW w:w="378" w:type="pct"/>
            <w:vAlign w:val="center"/>
          </w:tcPr>
          <w:p w14:paraId="6750D32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净长</w:t>
            </w:r>
          </w:p>
        </w:tc>
        <w:tc>
          <w:tcPr>
            <w:tcW w:w="416" w:type="pct"/>
            <w:vAlign w:val="center"/>
          </w:tcPr>
          <w:p w14:paraId="2ADB929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净宽</w:t>
            </w:r>
          </w:p>
        </w:tc>
        <w:tc>
          <w:tcPr>
            <w:tcW w:w="403" w:type="pct"/>
            <w:vAlign w:val="center"/>
          </w:tcPr>
          <w:p w14:paraId="03318C4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净高</w:t>
            </w:r>
          </w:p>
        </w:tc>
        <w:tc>
          <w:tcPr>
            <w:tcW w:w="500" w:type="pct"/>
            <w:vAlign w:val="center"/>
          </w:tcPr>
          <w:p w14:paraId="193B265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风速或次数</w:t>
            </w:r>
          </w:p>
        </w:tc>
        <w:tc>
          <w:tcPr>
            <w:tcW w:w="552" w:type="pct"/>
            <w:vAlign w:val="center"/>
          </w:tcPr>
          <w:p w14:paraId="7F484E3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新风风量</w:t>
            </w:r>
          </w:p>
        </w:tc>
        <w:tc>
          <w:tcPr>
            <w:tcW w:w="447" w:type="pct"/>
            <w:vAlign w:val="center"/>
          </w:tcPr>
          <w:p w14:paraId="3BF4985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数量（套）</w:t>
            </w:r>
          </w:p>
        </w:tc>
        <w:tc>
          <w:tcPr>
            <w:tcW w:w="586" w:type="pct"/>
            <w:vAlign w:val="center"/>
          </w:tcPr>
          <w:p w14:paraId="65655F5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排风去向</w:t>
            </w:r>
          </w:p>
        </w:tc>
        <w:tc>
          <w:tcPr>
            <w:tcW w:w="414" w:type="pct"/>
            <w:vAlign w:val="center"/>
          </w:tcPr>
          <w:p w14:paraId="7E932C8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室体结构</w:t>
            </w:r>
          </w:p>
        </w:tc>
      </w:tr>
      <w:tr w14:paraId="5F99C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1124943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p>
        </w:tc>
        <w:tc>
          <w:tcPr>
            <w:tcW w:w="903" w:type="pct"/>
            <w:vAlign w:val="center"/>
          </w:tcPr>
          <w:p w14:paraId="6FA858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p>
        </w:tc>
        <w:tc>
          <w:tcPr>
            <w:tcW w:w="378" w:type="pct"/>
            <w:vAlign w:val="center"/>
          </w:tcPr>
          <w:p w14:paraId="1FEEF2F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L</w:t>
            </w:r>
          </w:p>
        </w:tc>
        <w:tc>
          <w:tcPr>
            <w:tcW w:w="416" w:type="pct"/>
            <w:vAlign w:val="center"/>
          </w:tcPr>
          <w:p w14:paraId="724806A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W</w:t>
            </w:r>
          </w:p>
        </w:tc>
        <w:tc>
          <w:tcPr>
            <w:tcW w:w="403" w:type="pct"/>
            <w:vAlign w:val="center"/>
          </w:tcPr>
          <w:p w14:paraId="590D748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H</w:t>
            </w:r>
          </w:p>
        </w:tc>
        <w:tc>
          <w:tcPr>
            <w:tcW w:w="500" w:type="pct"/>
            <w:vAlign w:val="center"/>
          </w:tcPr>
          <w:p w14:paraId="48A50C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p>
        </w:tc>
        <w:tc>
          <w:tcPr>
            <w:tcW w:w="552" w:type="pct"/>
            <w:vAlign w:val="center"/>
          </w:tcPr>
          <w:p w14:paraId="09E1B03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m3/hr</w:t>
            </w:r>
          </w:p>
        </w:tc>
        <w:tc>
          <w:tcPr>
            <w:tcW w:w="447" w:type="pct"/>
            <w:vAlign w:val="center"/>
          </w:tcPr>
          <w:p w14:paraId="6BA5F7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p>
        </w:tc>
        <w:tc>
          <w:tcPr>
            <w:tcW w:w="586" w:type="pct"/>
            <w:vAlign w:val="center"/>
          </w:tcPr>
          <w:p w14:paraId="55E961B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p>
        </w:tc>
        <w:tc>
          <w:tcPr>
            <w:tcW w:w="414" w:type="pct"/>
            <w:vAlign w:val="center"/>
          </w:tcPr>
          <w:p w14:paraId="0DC4C4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p>
        </w:tc>
      </w:tr>
      <w:tr w14:paraId="4D5F9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58F555F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903" w:type="pct"/>
            <w:vAlign w:val="center"/>
          </w:tcPr>
          <w:p w14:paraId="7BCB495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底漆检查</w:t>
            </w:r>
          </w:p>
        </w:tc>
        <w:tc>
          <w:tcPr>
            <w:tcW w:w="378" w:type="pct"/>
            <w:vAlign w:val="center"/>
          </w:tcPr>
          <w:p w14:paraId="0067CB2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416" w:type="pct"/>
            <w:vAlign w:val="center"/>
          </w:tcPr>
          <w:p w14:paraId="417A995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403" w:type="pct"/>
            <w:vAlign w:val="center"/>
          </w:tcPr>
          <w:p w14:paraId="72A036B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A28AB5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1000</w:t>
            </w:r>
          </w:p>
        </w:tc>
        <w:tc>
          <w:tcPr>
            <w:tcW w:w="552" w:type="pct"/>
            <w:vAlign w:val="center"/>
          </w:tcPr>
          <w:p w14:paraId="6A9C96B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7000</w:t>
            </w:r>
          </w:p>
        </w:tc>
        <w:tc>
          <w:tcPr>
            <w:tcW w:w="447" w:type="pct"/>
            <w:vAlign w:val="center"/>
          </w:tcPr>
          <w:p w14:paraId="4D6EDA1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0F8078C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44DF560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42CE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78772B5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w:t>
            </w:r>
          </w:p>
        </w:tc>
        <w:tc>
          <w:tcPr>
            <w:tcW w:w="903" w:type="pct"/>
            <w:vAlign w:val="center"/>
          </w:tcPr>
          <w:p w14:paraId="065FB7C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密封工位1</w:t>
            </w:r>
          </w:p>
        </w:tc>
        <w:tc>
          <w:tcPr>
            <w:tcW w:w="378" w:type="pct"/>
            <w:vAlign w:val="center"/>
          </w:tcPr>
          <w:p w14:paraId="61EEAF1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43</w:t>
            </w:r>
          </w:p>
        </w:tc>
        <w:tc>
          <w:tcPr>
            <w:tcW w:w="416" w:type="pct"/>
            <w:vAlign w:val="center"/>
          </w:tcPr>
          <w:p w14:paraId="080F731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403" w:type="pct"/>
            <w:vAlign w:val="center"/>
          </w:tcPr>
          <w:p w14:paraId="68583C3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22DA193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1000</w:t>
            </w:r>
          </w:p>
        </w:tc>
        <w:tc>
          <w:tcPr>
            <w:tcW w:w="552" w:type="pct"/>
            <w:vAlign w:val="center"/>
          </w:tcPr>
          <w:p w14:paraId="26889B3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43000</w:t>
            </w:r>
          </w:p>
        </w:tc>
        <w:tc>
          <w:tcPr>
            <w:tcW w:w="447" w:type="pct"/>
            <w:vAlign w:val="center"/>
          </w:tcPr>
          <w:p w14:paraId="70D15BA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006B125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7A9319E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6E91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1538F57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903" w:type="pct"/>
            <w:vAlign w:val="center"/>
          </w:tcPr>
          <w:p w14:paraId="3DE76CF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遮蔽工位</w:t>
            </w:r>
          </w:p>
        </w:tc>
        <w:tc>
          <w:tcPr>
            <w:tcW w:w="378" w:type="pct"/>
            <w:vAlign w:val="center"/>
          </w:tcPr>
          <w:p w14:paraId="2836860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7.5</w:t>
            </w:r>
          </w:p>
        </w:tc>
        <w:tc>
          <w:tcPr>
            <w:tcW w:w="416" w:type="pct"/>
            <w:vAlign w:val="center"/>
          </w:tcPr>
          <w:p w14:paraId="0E591F2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6F094E5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37E44E8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552" w:type="pct"/>
            <w:vAlign w:val="center"/>
          </w:tcPr>
          <w:p w14:paraId="01398C4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6000</w:t>
            </w:r>
          </w:p>
        </w:tc>
        <w:tc>
          <w:tcPr>
            <w:tcW w:w="447" w:type="pct"/>
            <w:vAlign w:val="center"/>
          </w:tcPr>
          <w:p w14:paraId="2FE59C8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5806B52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17E69D5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2D8A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0B662D5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903" w:type="pct"/>
            <w:vAlign w:val="center"/>
          </w:tcPr>
          <w:p w14:paraId="1D14B55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UBS</w:t>
            </w:r>
          </w:p>
        </w:tc>
        <w:tc>
          <w:tcPr>
            <w:tcW w:w="378" w:type="pct"/>
            <w:vAlign w:val="center"/>
          </w:tcPr>
          <w:p w14:paraId="6778526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7.5</w:t>
            </w:r>
          </w:p>
        </w:tc>
        <w:tc>
          <w:tcPr>
            <w:tcW w:w="416" w:type="pct"/>
            <w:vAlign w:val="center"/>
          </w:tcPr>
          <w:p w14:paraId="347FA98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7AF1136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54D5937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0.15</w:t>
            </w:r>
          </w:p>
        </w:tc>
        <w:tc>
          <w:tcPr>
            <w:tcW w:w="552" w:type="pct"/>
            <w:vAlign w:val="center"/>
          </w:tcPr>
          <w:p w14:paraId="410320A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22275</w:t>
            </w:r>
          </w:p>
        </w:tc>
        <w:tc>
          <w:tcPr>
            <w:tcW w:w="447" w:type="pct"/>
            <w:vAlign w:val="center"/>
          </w:tcPr>
          <w:p w14:paraId="2CE06EC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7DAC794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40B1F41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29C1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5A0BB7D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903" w:type="pct"/>
            <w:vAlign w:val="center"/>
          </w:tcPr>
          <w:p w14:paraId="7F5487F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检查工位</w:t>
            </w:r>
          </w:p>
        </w:tc>
        <w:tc>
          <w:tcPr>
            <w:tcW w:w="378" w:type="pct"/>
            <w:vAlign w:val="center"/>
          </w:tcPr>
          <w:p w14:paraId="229DDFC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7.5</w:t>
            </w:r>
          </w:p>
        </w:tc>
        <w:tc>
          <w:tcPr>
            <w:tcW w:w="416" w:type="pct"/>
            <w:vAlign w:val="center"/>
          </w:tcPr>
          <w:p w14:paraId="7DEE380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120599B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546D95A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0.15</w:t>
            </w:r>
          </w:p>
        </w:tc>
        <w:tc>
          <w:tcPr>
            <w:tcW w:w="552" w:type="pct"/>
            <w:vAlign w:val="center"/>
          </w:tcPr>
          <w:p w14:paraId="4B189DB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22275</w:t>
            </w:r>
          </w:p>
        </w:tc>
        <w:tc>
          <w:tcPr>
            <w:tcW w:w="447" w:type="pct"/>
            <w:vAlign w:val="center"/>
          </w:tcPr>
          <w:p w14:paraId="7DEC39F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5B8763A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63E68EA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32B7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37BAEBD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903" w:type="pct"/>
            <w:vAlign w:val="center"/>
          </w:tcPr>
          <w:p w14:paraId="1A37301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UBC</w:t>
            </w:r>
          </w:p>
        </w:tc>
        <w:tc>
          <w:tcPr>
            <w:tcW w:w="378" w:type="pct"/>
            <w:vAlign w:val="center"/>
          </w:tcPr>
          <w:p w14:paraId="1545F9E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7.5</w:t>
            </w:r>
          </w:p>
        </w:tc>
        <w:tc>
          <w:tcPr>
            <w:tcW w:w="416" w:type="pct"/>
            <w:vAlign w:val="center"/>
          </w:tcPr>
          <w:p w14:paraId="5363D68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4ECA474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6572FFD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0.15</w:t>
            </w:r>
          </w:p>
        </w:tc>
        <w:tc>
          <w:tcPr>
            <w:tcW w:w="552" w:type="pct"/>
            <w:vAlign w:val="center"/>
          </w:tcPr>
          <w:p w14:paraId="0704267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22275</w:t>
            </w:r>
          </w:p>
        </w:tc>
        <w:tc>
          <w:tcPr>
            <w:tcW w:w="447" w:type="pct"/>
            <w:vAlign w:val="center"/>
          </w:tcPr>
          <w:p w14:paraId="7309E55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3975015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76EC949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308F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2C03AD2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903" w:type="pct"/>
            <w:vAlign w:val="center"/>
          </w:tcPr>
          <w:p w14:paraId="6EF8F11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补喷</w:t>
            </w:r>
          </w:p>
        </w:tc>
        <w:tc>
          <w:tcPr>
            <w:tcW w:w="378" w:type="pct"/>
            <w:vAlign w:val="center"/>
          </w:tcPr>
          <w:p w14:paraId="1F54A53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416" w:type="pct"/>
            <w:vAlign w:val="center"/>
          </w:tcPr>
          <w:p w14:paraId="3AFADB9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52C1395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37245B5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0.15</w:t>
            </w:r>
          </w:p>
        </w:tc>
        <w:tc>
          <w:tcPr>
            <w:tcW w:w="552" w:type="pct"/>
            <w:vAlign w:val="center"/>
          </w:tcPr>
          <w:p w14:paraId="6AFB50A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20790</w:t>
            </w:r>
          </w:p>
        </w:tc>
        <w:tc>
          <w:tcPr>
            <w:tcW w:w="447" w:type="pct"/>
            <w:vAlign w:val="center"/>
          </w:tcPr>
          <w:p w14:paraId="6F7968A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498DF2D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16A8356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1997B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2907011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903" w:type="pct"/>
            <w:vAlign w:val="center"/>
          </w:tcPr>
          <w:p w14:paraId="52D5B8F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胶擦净</w:t>
            </w:r>
          </w:p>
        </w:tc>
        <w:tc>
          <w:tcPr>
            <w:tcW w:w="378" w:type="pct"/>
            <w:vAlign w:val="center"/>
          </w:tcPr>
          <w:p w14:paraId="36A566F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7.5</w:t>
            </w:r>
          </w:p>
        </w:tc>
        <w:tc>
          <w:tcPr>
            <w:tcW w:w="416" w:type="pct"/>
            <w:vAlign w:val="center"/>
          </w:tcPr>
          <w:p w14:paraId="71A4E1F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53B2D5F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3F28C76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1000</w:t>
            </w:r>
          </w:p>
        </w:tc>
        <w:tc>
          <w:tcPr>
            <w:tcW w:w="552" w:type="pct"/>
            <w:vAlign w:val="center"/>
          </w:tcPr>
          <w:p w14:paraId="31E4751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7500</w:t>
            </w:r>
          </w:p>
        </w:tc>
        <w:tc>
          <w:tcPr>
            <w:tcW w:w="447" w:type="pct"/>
            <w:vAlign w:val="center"/>
          </w:tcPr>
          <w:p w14:paraId="046072A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2D808A6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2ADFF77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03FF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10CB74A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9</w:t>
            </w:r>
          </w:p>
        </w:tc>
        <w:tc>
          <w:tcPr>
            <w:tcW w:w="903" w:type="pct"/>
            <w:vAlign w:val="center"/>
          </w:tcPr>
          <w:p w14:paraId="3B1845B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胶AUDIT</w:t>
            </w:r>
          </w:p>
        </w:tc>
        <w:tc>
          <w:tcPr>
            <w:tcW w:w="378" w:type="pct"/>
            <w:vAlign w:val="center"/>
          </w:tcPr>
          <w:p w14:paraId="6F8A149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416" w:type="pct"/>
            <w:vAlign w:val="center"/>
          </w:tcPr>
          <w:p w14:paraId="66D26F2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19CE175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6BAE7EB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552" w:type="pct"/>
            <w:vAlign w:val="center"/>
          </w:tcPr>
          <w:p w14:paraId="30F5C3F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5600</w:t>
            </w:r>
          </w:p>
        </w:tc>
        <w:tc>
          <w:tcPr>
            <w:tcW w:w="447" w:type="pct"/>
            <w:vAlign w:val="center"/>
          </w:tcPr>
          <w:p w14:paraId="15E0972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6E216B3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2FA548D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233A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6A455B0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903" w:type="pct"/>
            <w:vAlign w:val="center"/>
          </w:tcPr>
          <w:p w14:paraId="7F0761E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底漆打磨室1</w:t>
            </w:r>
          </w:p>
        </w:tc>
        <w:tc>
          <w:tcPr>
            <w:tcW w:w="378" w:type="pct"/>
            <w:vAlign w:val="center"/>
          </w:tcPr>
          <w:p w14:paraId="73614FD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18</w:t>
            </w:r>
          </w:p>
        </w:tc>
        <w:tc>
          <w:tcPr>
            <w:tcW w:w="416" w:type="pct"/>
            <w:vAlign w:val="center"/>
          </w:tcPr>
          <w:p w14:paraId="2ED37C9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08A8AB8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3333B15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42E3A1E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21600</w:t>
            </w:r>
          </w:p>
        </w:tc>
        <w:tc>
          <w:tcPr>
            <w:tcW w:w="447" w:type="pct"/>
            <w:vAlign w:val="center"/>
          </w:tcPr>
          <w:p w14:paraId="001D0FB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43D439C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2163226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22713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0C04AAF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11</w:t>
            </w:r>
          </w:p>
        </w:tc>
        <w:tc>
          <w:tcPr>
            <w:tcW w:w="903" w:type="pct"/>
            <w:vAlign w:val="center"/>
          </w:tcPr>
          <w:p w14:paraId="6A60B57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底漆打磨室2</w:t>
            </w:r>
          </w:p>
        </w:tc>
        <w:tc>
          <w:tcPr>
            <w:tcW w:w="378" w:type="pct"/>
            <w:vAlign w:val="center"/>
          </w:tcPr>
          <w:p w14:paraId="31792F9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17</w:t>
            </w:r>
          </w:p>
        </w:tc>
        <w:tc>
          <w:tcPr>
            <w:tcW w:w="416" w:type="pct"/>
            <w:vAlign w:val="center"/>
          </w:tcPr>
          <w:p w14:paraId="307586F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41501C2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470836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1A9F5E6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20400</w:t>
            </w:r>
          </w:p>
        </w:tc>
        <w:tc>
          <w:tcPr>
            <w:tcW w:w="447" w:type="pct"/>
            <w:vAlign w:val="center"/>
          </w:tcPr>
          <w:p w14:paraId="7031A67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604FADC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4C524D7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6F91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0C9A1B8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w:t>
            </w:r>
          </w:p>
        </w:tc>
        <w:tc>
          <w:tcPr>
            <w:tcW w:w="903" w:type="pct"/>
            <w:vAlign w:val="center"/>
          </w:tcPr>
          <w:p w14:paraId="6D90E41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离线钣金</w:t>
            </w:r>
          </w:p>
        </w:tc>
        <w:tc>
          <w:tcPr>
            <w:tcW w:w="378" w:type="pct"/>
            <w:vAlign w:val="center"/>
          </w:tcPr>
          <w:p w14:paraId="0C3F28C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416" w:type="pct"/>
            <w:vAlign w:val="center"/>
          </w:tcPr>
          <w:p w14:paraId="6AA9899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1054988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12CF9D0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1000</w:t>
            </w:r>
          </w:p>
        </w:tc>
        <w:tc>
          <w:tcPr>
            <w:tcW w:w="552" w:type="pct"/>
            <w:vAlign w:val="center"/>
          </w:tcPr>
          <w:p w14:paraId="01DA3C8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7000</w:t>
            </w:r>
          </w:p>
        </w:tc>
        <w:tc>
          <w:tcPr>
            <w:tcW w:w="447" w:type="pct"/>
            <w:vAlign w:val="center"/>
          </w:tcPr>
          <w:p w14:paraId="0AF718B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3B32E5C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7540270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15F46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3314335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13</w:t>
            </w:r>
          </w:p>
        </w:tc>
        <w:tc>
          <w:tcPr>
            <w:tcW w:w="903" w:type="pct"/>
            <w:vAlign w:val="center"/>
          </w:tcPr>
          <w:p w14:paraId="408D083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离线打磨</w:t>
            </w:r>
          </w:p>
        </w:tc>
        <w:tc>
          <w:tcPr>
            <w:tcW w:w="378" w:type="pct"/>
            <w:vAlign w:val="center"/>
          </w:tcPr>
          <w:p w14:paraId="16F2CB8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416" w:type="pct"/>
            <w:vAlign w:val="center"/>
          </w:tcPr>
          <w:p w14:paraId="09715AB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40C0635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50899D0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293A5D7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8400</w:t>
            </w:r>
          </w:p>
        </w:tc>
        <w:tc>
          <w:tcPr>
            <w:tcW w:w="447" w:type="pct"/>
            <w:vAlign w:val="center"/>
          </w:tcPr>
          <w:p w14:paraId="7A2086D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6C8423C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35B10A6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333B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6FF4B37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14</w:t>
            </w:r>
          </w:p>
        </w:tc>
        <w:tc>
          <w:tcPr>
            <w:tcW w:w="903" w:type="pct"/>
            <w:vAlign w:val="center"/>
          </w:tcPr>
          <w:p w14:paraId="66E2451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漆前编组</w:t>
            </w:r>
          </w:p>
        </w:tc>
        <w:tc>
          <w:tcPr>
            <w:tcW w:w="795" w:type="pct"/>
            <w:gridSpan w:val="2"/>
            <w:vAlign w:val="center"/>
          </w:tcPr>
          <w:p w14:paraId="1625C83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403" w:type="pct"/>
            <w:vAlign w:val="center"/>
          </w:tcPr>
          <w:p w14:paraId="62C9D04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AAE714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552" w:type="pct"/>
            <w:vAlign w:val="center"/>
          </w:tcPr>
          <w:p w14:paraId="590DDD1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7200</w:t>
            </w:r>
          </w:p>
        </w:tc>
        <w:tc>
          <w:tcPr>
            <w:tcW w:w="447" w:type="pct"/>
            <w:vAlign w:val="center"/>
          </w:tcPr>
          <w:p w14:paraId="315D02C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6213FD2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704988A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3865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3B8F897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15</w:t>
            </w:r>
          </w:p>
        </w:tc>
        <w:tc>
          <w:tcPr>
            <w:tcW w:w="903" w:type="pct"/>
            <w:vAlign w:val="center"/>
          </w:tcPr>
          <w:p w14:paraId="5AE79CE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黑灰背板检查隧道</w:t>
            </w:r>
          </w:p>
        </w:tc>
        <w:tc>
          <w:tcPr>
            <w:tcW w:w="378" w:type="pct"/>
            <w:vAlign w:val="center"/>
          </w:tcPr>
          <w:p w14:paraId="793B5E0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15</w:t>
            </w:r>
          </w:p>
        </w:tc>
        <w:tc>
          <w:tcPr>
            <w:tcW w:w="416" w:type="pct"/>
            <w:vAlign w:val="center"/>
          </w:tcPr>
          <w:p w14:paraId="325DFDE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58294A9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65CCCD7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552" w:type="pct"/>
            <w:vAlign w:val="center"/>
          </w:tcPr>
          <w:p w14:paraId="097A502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12000</w:t>
            </w:r>
          </w:p>
        </w:tc>
        <w:tc>
          <w:tcPr>
            <w:tcW w:w="447" w:type="pct"/>
            <w:vAlign w:val="center"/>
          </w:tcPr>
          <w:p w14:paraId="552219B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2F7D8BB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5441208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20ED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1B2C282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16</w:t>
            </w:r>
          </w:p>
        </w:tc>
        <w:tc>
          <w:tcPr>
            <w:tcW w:w="903" w:type="pct"/>
            <w:vAlign w:val="center"/>
          </w:tcPr>
          <w:p w14:paraId="2434633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抛光修饰室</w:t>
            </w:r>
          </w:p>
        </w:tc>
        <w:tc>
          <w:tcPr>
            <w:tcW w:w="378" w:type="pct"/>
            <w:vAlign w:val="center"/>
          </w:tcPr>
          <w:p w14:paraId="00C23CD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30</w:t>
            </w:r>
          </w:p>
        </w:tc>
        <w:tc>
          <w:tcPr>
            <w:tcW w:w="416" w:type="pct"/>
            <w:vAlign w:val="center"/>
          </w:tcPr>
          <w:p w14:paraId="2C42AE1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212D2C9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C3EC24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789F5C4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36000</w:t>
            </w:r>
          </w:p>
        </w:tc>
        <w:tc>
          <w:tcPr>
            <w:tcW w:w="447" w:type="pct"/>
            <w:vAlign w:val="center"/>
          </w:tcPr>
          <w:p w14:paraId="2B72B62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24FF79B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2642F6E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28A01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17192DB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17</w:t>
            </w:r>
          </w:p>
        </w:tc>
        <w:tc>
          <w:tcPr>
            <w:tcW w:w="903" w:type="pct"/>
            <w:vAlign w:val="center"/>
          </w:tcPr>
          <w:p w14:paraId="18EE798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小修室1</w:t>
            </w:r>
          </w:p>
        </w:tc>
        <w:tc>
          <w:tcPr>
            <w:tcW w:w="378" w:type="pct"/>
            <w:vAlign w:val="center"/>
          </w:tcPr>
          <w:p w14:paraId="25AFE84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15</w:t>
            </w:r>
          </w:p>
        </w:tc>
        <w:tc>
          <w:tcPr>
            <w:tcW w:w="416" w:type="pct"/>
            <w:vAlign w:val="center"/>
          </w:tcPr>
          <w:p w14:paraId="62E5103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3CB1F26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18BEEDA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0.2</w:t>
            </w:r>
          </w:p>
        </w:tc>
        <w:tc>
          <w:tcPr>
            <w:tcW w:w="552" w:type="pct"/>
            <w:vAlign w:val="center"/>
          </w:tcPr>
          <w:p w14:paraId="651A623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54000</w:t>
            </w:r>
          </w:p>
        </w:tc>
        <w:tc>
          <w:tcPr>
            <w:tcW w:w="447" w:type="pct"/>
            <w:vAlign w:val="center"/>
          </w:tcPr>
          <w:p w14:paraId="20B39A7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2CDA0BB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3FCE76A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60C2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7DC34D7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18</w:t>
            </w:r>
          </w:p>
        </w:tc>
        <w:tc>
          <w:tcPr>
            <w:tcW w:w="903" w:type="pct"/>
            <w:vAlign w:val="center"/>
          </w:tcPr>
          <w:p w14:paraId="2DAC2B6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小修室2</w:t>
            </w:r>
          </w:p>
        </w:tc>
        <w:tc>
          <w:tcPr>
            <w:tcW w:w="378" w:type="pct"/>
            <w:vAlign w:val="center"/>
          </w:tcPr>
          <w:p w14:paraId="075BDDC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16</w:t>
            </w:r>
          </w:p>
        </w:tc>
        <w:tc>
          <w:tcPr>
            <w:tcW w:w="416" w:type="pct"/>
            <w:vAlign w:val="center"/>
          </w:tcPr>
          <w:p w14:paraId="17CEA18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4D64F19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2F0AC0B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0.2</w:t>
            </w:r>
          </w:p>
        </w:tc>
        <w:tc>
          <w:tcPr>
            <w:tcW w:w="552" w:type="pct"/>
            <w:vAlign w:val="center"/>
          </w:tcPr>
          <w:p w14:paraId="5BC12C4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57600</w:t>
            </w:r>
          </w:p>
        </w:tc>
        <w:tc>
          <w:tcPr>
            <w:tcW w:w="447" w:type="pct"/>
            <w:vAlign w:val="center"/>
          </w:tcPr>
          <w:p w14:paraId="58F86A7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130B2EB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691D1FB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1AC8C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2A47C6E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19</w:t>
            </w:r>
          </w:p>
        </w:tc>
        <w:tc>
          <w:tcPr>
            <w:tcW w:w="903" w:type="pct"/>
            <w:vAlign w:val="center"/>
          </w:tcPr>
          <w:p w14:paraId="34DD1A8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大返修</w:t>
            </w:r>
          </w:p>
        </w:tc>
        <w:tc>
          <w:tcPr>
            <w:tcW w:w="378" w:type="pct"/>
            <w:vAlign w:val="center"/>
          </w:tcPr>
          <w:p w14:paraId="5951E2E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416" w:type="pct"/>
            <w:vAlign w:val="center"/>
          </w:tcPr>
          <w:p w14:paraId="42E2F15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5A5C961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99C786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13397F4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9600</w:t>
            </w:r>
          </w:p>
        </w:tc>
        <w:tc>
          <w:tcPr>
            <w:tcW w:w="447" w:type="pct"/>
            <w:vAlign w:val="center"/>
          </w:tcPr>
          <w:p w14:paraId="5ADBAB6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5D29782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5E82B68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3A801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7A87807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20</w:t>
            </w:r>
          </w:p>
        </w:tc>
        <w:tc>
          <w:tcPr>
            <w:tcW w:w="903" w:type="pct"/>
            <w:vAlign w:val="center"/>
          </w:tcPr>
          <w:p w14:paraId="6671C6C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面漆AUDIT</w:t>
            </w:r>
          </w:p>
        </w:tc>
        <w:tc>
          <w:tcPr>
            <w:tcW w:w="378" w:type="pct"/>
            <w:vAlign w:val="center"/>
          </w:tcPr>
          <w:p w14:paraId="671B561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416" w:type="pct"/>
            <w:vAlign w:val="center"/>
          </w:tcPr>
          <w:p w14:paraId="4470287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39BC52C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3FE28B5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552" w:type="pct"/>
            <w:vAlign w:val="center"/>
          </w:tcPr>
          <w:p w14:paraId="2E34BCF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6400</w:t>
            </w:r>
          </w:p>
        </w:tc>
        <w:tc>
          <w:tcPr>
            <w:tcW w:w="447" w:type="pct"/>
            <w:vAlign w:val="center"/>
          </w:tcPr>
          <w:p w14:paraId="2CF0D72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63C3143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27A7227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57B29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7573936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21</w:t>
            </w:r>
          </w:p>
        </w:tc>
        <w:tc>
          <w:tcPr>
            <w:tcW w:w="903" w:type="pct"/>
            <w:vAlign w:val="center"/>
          </w:tcPr>
          <w:p w14:paraId="1FEBEE4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终检报交</w:t>
            </w:r>
          </w:p>
        </w:tc>
        <w:tc>
          <w:tcPr>
            <w:tcW w:w="378" w:type="pct"/>
            <w:vAlign w:val="center"/>
          </w:tcPr>
          <w:p w14:paraId="6D87F34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40</w:t>
            </w:r>
          </w:p>
        </w:tc>
        <w:tc>
          <w:tcPr>
            <w:tcW w:w="416" w:type="pct"/>
            <w:vAlign w:val="center"/>
          </w:tcPr>
          <w:p w14:paraId="4CC062A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7083D02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17BD0D4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552" w:type="pct"/>
            <w:vAlign w:val="center"/>
          </w:tcPr>
          <w:p w14:paraId="6016B04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32000</w:t>
            </w:r>
          </w:p>
        </w:tc>
        <w:tc>
          <w:tcPr>
            <w:tcW w:w="447" w:type="pct"/>
            <w:vAlign w:val="center"/>
          </w:tcPr>
          <w:p w14:paraId="280E9FE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122F5D4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6A45250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3E77D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6E8D21F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22</w:t>
            </w:r>
          </w:p>
        </w:tc>
        <w:tc>
          <w:tcPr>
            <w:tcW w:w="903" w:type="pct"/>
            <w:vAlign w:val="center"/>
          </w:tcPr>
          <w:p w14:paraId="64FE63F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套色遮蔽</w:t>
            </w:r>
          </w:p>
        </w:tc>
        <w:tc>
          <w:tcPr>
            <w:tcW w:w="378" w:type="pct"/>
            <w:vAlign w:val="center"/>
          </w:tcPr>
          <w:p w14:paraId="53845BE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21</w:t>
            </w:r>
          </w:p>
        </w:tc>
        <w:tc>
          <w:tcPr>
            <w:tcW w:w="416" w:type="pct"/>
            <w:vAlign w:val="center"/>
          </w:tcPr>
          <w:p w14:paraId="623DEC1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58027E7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5D0269A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800</w:t>
            </w:r>
          </w:p>
        </w:tc>
        <w:tc>
          <w:tcPr>
            <w:tcW w:w="552" w:type="pct"/>
            <w:vAlign w:val="center"/>
          </w:tcPr>
          <w:p w14:paraId="3F215C4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16800</w:t>
            </w:r>
          </w:p>
        </w:tc>
        <w:tc>
          <w:tcPr>
            <w:tcW w:w="447" w:type="pct"/>
            <w:vAlign w:val="center"/>
          </w:tcPr>
          <w:p w14:paraId="657A5098">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5B61E30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溢车间</w:t>
            </w:r>
          </w:p>
        </w:tc>
        <w:tc>
          <w:tcPr>
            <w:tcW w:w="414" w:type="pct"/>
            <w:vAlign w:val="center"/>
          </w:tcPr>
          <w:p w14:paraId="4F3D99C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敞开</w:t>
            </w:r>
          </w:p>
        </w:tc>
      </w:tr>
      <w:tr w14:paraId="47F63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7A936A5D">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23</w:t>
            </w:r>
          </w:p>
        </w:tc>
        <w:tc>
          <w:tcPr>
            <w:tcW w:w="903" w:type="pct"/>
            <w:vAlign w:val="center"/>
          </w:tcPr>
          <w:p w14:paraId="1818803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套色打磨</w:t>
            </w:r>
          </w:p>
        </w:tc>
        <w:tc>
          <w:tcPr>
            <w:tcW w:w="378" w:type="pct"/>
            <w:vAlign w:val="center"/>
          </w:tcPr>
          <w:p w14:paraId="466F52D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21</w:t>
            </w:r>
          </w:p>
        </w:tc>
        <w:tc>
          <w:tcPr>
            <w:tcW w:w="416" w:type="pct"/>
            <w:vAlign w:val="center"/>
          </w:tcPr>
          <w:p w14:paraId="2593D86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403" w:type="pct"/>
            <w:vAlign w:val="center"/>
          </w:tcPr>
          <w:p w14:paraId="34C6453B">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FAEB37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3857E9E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25200</w:t>
            </w:r>
          </w:p>
        </w:tc>
        <w:tc>
          <w:tcPr>
            <w:tcW w:w="447" w:type="pct"/>
            <w:vAlign w:val="center"/>
          </w:tcPr>
          <w:p w14:paraId="4E82733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33D66793">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66DDB5E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3FB9D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050383A0">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24</w:t>
            </w:r>
          </w:p>
        </w:tc>
        <w:tc>
          <w:tcPr>
            <w:tcW w:w="903" w:type="pct"/>
            <w:vAlign w:val="center"/>
          </w:tcPr>
          <w:p w14:paraId="732F371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注腊室</w:t>
            </w:r>
          </w:p>
        </w:tc>
        <w:tc>
          <w:tcPr>
            <w:tcW w:w="378" w:type="pct"/>
            <w:vAlign w:val="center"/>
          </w:tcPr>
          <w:p w14:paraId="0DBF831E">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15</w:t>
            </w:r>
          </w:p>
        </w:tc>
        <w:tc>
          <w:tcPr>
            <w:tcW w:w="416" w:type="pct"/>
            <w:vAlign w:val="center"/>
          </w:tcPr>
          <w:p w14:paraId="7D8E41A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5.5</w:t>
            </w:r>
          </w:p>
        </w:tc>
        <w:tc>
          <w:tcPr>
            <w:tcW w:w="403" w:type="pct"/>
            <w:vAlign w:val="center"/>
          </w:tcPr>
          <w:p w14:paraId="19FB3452">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500" w:type="pct"/>
            <w:vAlign w:val="center"/>
          </w:tcPr>
          <w:p w14:paraId="72602985">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1200</w:t>
            </w:r>
          </w:p>
        </w:tc>
        <w:tc>
          <w:tcPr>
            <w:tcW w:w="552" w:type="pct"/>
            <w:vAlign w:val="center"/>
          </w:tcPr>
          <w:p w14:paraId="01B5BA9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18000</w:t>
            </w:r>
          </w:p>
        </w:tc>
        <w:tc>
          <w:tcPr>
            <w:tcW w:w="447" w:type="pct"/>
            <w:vAlign w:val="center"/>
          </w:tcPr>
          <w:p w14:paraId="1409DB31">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1490FAA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排废气</w:t>
            </w:r>
          </w:p>
        </w:tc>
        <w:tc>
          <w:tcPr>
            <w:tcW w:w="414" w:type="pct"/>
            <w:vAlign w:val="center"/>
          </w:tcPr>
          <w:p w14:paraId="33A51354">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封闭</w:t>
            </w:r>
          </w:p>
        </w:tc>
      </w:tr>
      <w:tr w14:paraId="6B7E5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2B6F8DE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25</w:t>
            </w:r>
          </w:p>
        </w:tc>
        <w:tc>
          <w:tcPr>
            <w:tcW w:w="903" w:type="pct"/>
            <w:vAlign w:val="center"/>
          </w:tcPr>
          <w:p w14:paraId="0D062809">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滑橇清洗间及维修间</w:t>
            </w:r>
          </w:p>
        </w:tc>
        <w:tc>
          <w:tcPr>
            <w:tcW w:w="795" w:type="pct"/>
            <w:gridSpan w:val="2"/>
            <w:vAlign w:val="center"/>
          </w:tcPr>
          <w:p w14:paraId="51627077">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w:t>
            </w:r>
          </w:p>
        </w:tc>
        <w:tc>
          <w:tcPr>
            <w:tcW w:w="403" w:type="pct"/>
            <w:vAlign w:val="center"/>
          </w:tcPr>
          <w:p w14:paraId="52E5FC0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4</w:t>
            </w:r>
          </w:p>
        </w:tc>
        <w:tc>
          <w:tcPr>
            <w:tcW w:w="500" w:type="pct"/>
            <w:vAlign w:val="center"/>
          </w:tcPr>
          <w:p w14:paraId="6365CD0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60</w:t>
            </w:r>
          </w:p>
        </w:tc>
        <w:tc>
          <w:tcPr>
            <w:tcW w:w="552" w:type="pct"/>
            <w:vAlign w:val="center"/>
          </w:tcPr>
          <w:p w14:paraId="542C645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auto"/>
                <w:kern w:val="0"/>
                <w:sz w:val="24"/>
                <w:szCs w:val="24"/>
                <w:u w:val="none"/>
                <w:lang w:val="en-US" w:eastAsia="zh-CN" w:bidi="ar"/>
              </w:rPr>
              <w:t>24000</w:t>
            </w:r>
          </w:p>
        </w:tc>
        <w:tc>
          <w:tcPr>
            <w:tcW w:w="447" w:type="pct"/>
            <w:vAlign w:val="center"/>
          </w:tcPr>
          <w:p w14:paraId="1C289CA6">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w:t>
            </w:r>
          </w:p>
        </w:tc>
        <w:tc>
          <w:tcPr>
            <w:tcW w:w="586" w:type="pct"/>
            <w:vAlign w:val="center"/>
          </w:tcPr>
          <w:p w14:paraId="5C10DAAC">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出天直排</w:t>
            </w:r>
          </w:p>
        </w:tc>
        <w:tc>
          <w:tcPr>
            <w:tcW w:w="414" w:type="pct"/>
            <w:vAlign w:val="center"/>
          </w:tcPr>
          <w:p w14:paraId="5DD0F9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提资</w:t>
            </w:r>
          </w:p>
        </w:tc>
      </w:tr>
      <w:tr w14:paraId="69DE9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7" w:type="pct"/>
            <w:vAlign w:val="center"/>
          </w:tcPr>
          <w:p w14:paraId="5EF80A3A">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26</w:t>
            </w:r>
          </w:p>
        </w:tc>
        <w:tc>
          <w:tcPr>
            <w:tcW w:w="903" w:type="pct"/>
            <w:vAlign w:val="center"/>
          </w:tcPr>
          <w:p w14:paraId="03087AFF">
            <w:pPr>
              <w:keepNext w:val="0"/>
              <w:keepLines w:val="0"/>
              <w:pageBreakBefore w:val="0"/>
              <w:widowControl/>
              <w:suppressLineNumbers w:val="0"/>
              <w:kinsoku/>
              <w:wordWrap/>
              <w:topLinePunct w:val="0"/>
              <w:bidi w:val="0"/>
              <w:adjustRightInd w:val="0"/>
              <w:snapToGrid w:val="0"/>
              <w:spacing w:afterAutospacing="0" w:line="240" w:lineRule="auto"/>
              <w:ind w:left="0" w:leftChars="0" w:firstLine="0" w:firstLineChars="0"/>
              <w:jc w:val="center"/>
              <w:textAlignment w:val="center"/>
              <w:rPr>
                <w:rFonts w:hint="eastAsia" w:ascii="宋体" w:hAnsi="宋体" w:eastAsia="宋体" w:cs="宋体"/>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输调漆间</w:t>
            </w:r>
          </w:p>
        </w:tc>
        <w:tc>
          <w:tcPr>
            <w:tcW w:w="3698" w:type="pct"/>
            <w:gridSpan w:val="8"/>
            <w:vAlign w:val="center"/>
          </w:tcPr>
          <w:p w14:paraId="202D6B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设备全部利旧(含送排风等)</w:t>
            </w:r>
          </w:p>
        </w:tc>
      </w:tr>
    </w:tbl>
    <w:p w14:paraId="66F9173A">
      <w:pPr>
        <w:pStyle w:val="17"/>
        <w:keepNext w:val="0"/>
        <w:keepLines w:val="0"/>
        <w:pageBreakBefore w:val="0"/>
        <w:widowControl w:val="0"/>
        <w:numPr>
          <w:ilvl w:val="0"/>
          <w:numId w:val="6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lang w:val="de-DE"/>
        </w:rPr>
      </w:pPr>
      <w:r>
        <w:rPr>
          <w:rFonts w:hint="eastAsia" w:ascii="宋体" w:hAnsi="宋体" w:eastAsia="宋体" w:cs="宋体"/>
          <w:color w:val="000000"/>
          <w:sz w:val="24"/>
          <w:szCs w:val="24"/>
          <w:lang w:val="en-US" w:eastAsia="zh-CN"/>
        </w:rPr>
        <w:t>改造</w:t>
      </w:r>
      <w:r>
        <w:rPr>
          <w:rFonts w:hint="eastAsia" w:ascii="宋体" w:hAnsi="宋体" w:eastAsia="宋体" w:cs="宋体"/>
          <w:color w:val="000000"/>
          <w:sz w:val="24"/>
          <w:szCs w:val="24"/>
          <w:lang w:val="de-DE"/>
        </w:rPr>
        <w:t>内容：</w:t>
      </w:r>
    </w:p>
    <w:p w14:paraId="070B7443">
      <w:pPr>
        <w:pageBreakBefore w:val="0"/>
        <w:tabs>
          <w:tab w:val="left" w:pos="99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以上参数表中工位参数为初步确定方案，后续方案更新在平面布置图优化过程中详细确定。本项目为总承包交钥匙工程项目，</w:t>
      </w:r>
      <w:r>
        <w:rPr>
          <w:rFonts w:hint="eastAsia" w:ascii="宋体" w:hAnsi="宋体" w:cs="宋体"/>
          <w:b w:val="0"/>
          <w:bCs w:val="0"/>
          <w:color w:val="000000"/>
          <w:kern w:val="2"/>
          <w:sz w:val="24"/>
          <w:szCs w:val="24"/>
          <w:lang w:val="en-US" w:eastAsia="zh-CN" w:bidi="ar-SA"/>
        </w:rPr>
        <w:t>投标人</w:t>
      </w:r>
      <w:r>
        <w:rPr>
          <w:rFonts w:hint="eastAsia" w:ascii="宋体" w:hAnsi="宋体" w:eastAsia="宋体" w:cs="宋体"/>
          <w:b w:val="0"/>
          <w:bCs w:val="0"/>
          <w:color w:val="000000"/>
          <w:kern w:val="2"/>
          <w:sz w:val="24"/>
          <w:szCs w:val="24"/>
          <w:lang w:val="en-US" w:eastAsia="zh-CN" w:bidi="ar-SA"/>
        </w:rPr>
        <w:t>同意，根据</w:t>
      </w:r>
      <w:r>
        <w:rPr>
          <w:rFonts w:hint="eastAsia" w:ascii="宋体" w:hAnsi="宋体" w:cs="宋体"/>
          <w:b w:val="0"/>
          <w:bCs w:val="0"/>
          <w:color w:val="000000"/>
          <w:kern w:val="2"/>
          <w:sz w:val="24"/>
          <w:szCs w:val="24"/>
          <w:lang w:val="en-US" w:eastAsia="zh-CN" w:bidi="ar-SA"/>
        </w:rPr>
        <w:t>招标人</w:t>
      </w:r>
      <w:r>
        <w:rPr>
          <w:rFonts w:hint="eastAsia" w:ascii="宋体" w:hAnsi="宋体" w:eastAsia="宋体" w:cs="宋体"/>
          <w:b w:val="0"/>
          <w:bCs w:val="0"/>
          <w:color w:val="000000"/>
          <w:kern w:val="2"/>
          <w:sz w:val="24"/>
          <w:szCs w:val="24"/>
          <w:lang w:val="en-US" w:eastAsia="zh-CN" w:bidi="ar-SA"/>
        </w:rPr>
        <w:t>的技术规范和商定的工艺数据，全面承担整个涂装车间技改期间的管理责任。</w:t>
      </w:r>
    </w:p>
    <w:p w14:paraId="570C791D">
      <w:pPr>
        <w:pStyle w:val="17"/>
        <w:keepNext w:val="0"/>
        <w:keepLines w:val="0"/>
        <w:pageBreakBefore w:val="0"/>
        <w:widowControl w:val="0"/>
        <w:numPr>
          <w:ilvl w:val="0"/>
          <w:numId w:val="6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封闭室体操作工位：底漆打磨室、底漆离线打磨室、喷涂PVC胶室、面漆前擦净室、点修补室、喷蜡室、打磨套色室、修饰线包含工位照明及维修照明等。封闭室体操作工位具体要求如下：</w:t>
      </w:r>
    </w:p>
    <w:p w14:paraId="281FCE68">
      <w:pPr>
        <w:pStyle w:val="17"/>
        <w:keepNext w:val="0"/>
        <w:keepLines w:val="0"/>
        <w:pageBreakBefore w:val="0"/>
        <w:widowControl w:val="0"/>
        <w:numPr>
          <w:ilvl w:val="0"/>
          <w:numId w:val="6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封闭操作工位设供风系统，风管外置，风嘴设在车身两侧的上方，设有百叶，每个风嘴的风量、风向要求可调，调后可锁定（按照空调厂家设计在室体开孔即可，所有风嘴、风管等均有空调厂家安装到位）。</w:t>
      </w:r>
    </w:p>
    <w:p w14:paraId="21800453">
      <w:pPr>
        <w:pStyle w:val="17"/>
        <w:keepNext w:val="0"/>
        <w:keepLines w:val="0"/>
        <w:pageBreakBefore w:val="0"/>
        <w:widowControl w:val="0"/>
        <w:numPr>
          <w:ilvl w:val="0"/>
          <w:numId w:val="6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封闭操作工位设排风系统，风管内置，吸风口设在与接水盘相交的方向，吸风口处设有百叶，排风管上设有风量调节阀，每个排风管的风量要求可调，调后可锁定，具体数量尺寸</w:t>
      </w:r>
      <w:r>
        <w:rPr>
          <w:rFonts w:hint="eastAsia" w:ascii="宋体" w:hAnsi="宋体" w:cs="宋体"/>
          <w:color w:val="000000"/>
          <w:lang w:eastAsia="zh-CN"/>
        </w:rPr>
        <w:t>投标人</w:t>
      </w:r>
      <w:r>
        <w:rPr>
          <w:rFonts w:hint="eastAsia" w:ascii="宋体" w:hAnsi="宋体" w:eastAsia="宋体" w:cs="宋体"/>
          <w:color w:val="000000"/>
        </w:rPr>
        <w:t>依据签字版设备流程图风量计算得出。</w:t>
      </w:r>
    </w:p>
    <w:p w14:paraId="40DB3195">
      <w:pPr>
        <w:pStyle w:val="17"/>
        <w:keepNext w:val="0"/>
        <w:keepLines w:val="0"/>
        <w:pageBreakBefore w:val="0"/>
        <w:widowControl w:val="0"/>
        <w:numPr>
          <w:ilvl w:val="0"/>
          <w:numId w:val="6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封闭室体壁板采用镀锌板和镀锌壁板嵌玻璃窗封闭结构，全部封闭到地面，紧固标准件采用镀锌件。</w:t>
      </w:r>
    </w:p>
    <w:p w14:paraId="541964A9">
      <w:pPr>
        <w:pStyle w:val="17"/>
        <w:keepNext w:val="0"/>
        <w:keepLines w:val="0"/>
        <w:pageBreakBefore w:val="0"/>
        <w:widowControl w:val="0"/>
        <w:numPr>
          <w:ilvl w:val="0"/>
          <w:numId w:val="6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封闭室体的骨架采用镀锌板翻边制成的自承重的结构，室体内平整；PVC喷胶室室体均采用</w:t>
      </w:r>
      <w:r>
        <w:rPr>
          <w:rFonts w:hint="eastAsia" w:ascii="宋体" w:hAnsi="宋体" w:eastAsia="宋体" w:cs="宋体"/>
          <w:lang w:val="en-US" w:eastAsia="zh-CN"/>
        </w:rPr>
        <w:t xml:space="preserve">H型钢做机械化支撑 </w:t>
      </w:r>
      <w:r>
        <w:rPr>
          <w:rFonts w:hint="eastAsia" w:ascii="宋体" w:hAnsi="宋体" w:eastAsia="宋体" w:cs="宋体"/>
          <w:color w:val="000000"/>
          <w:lang w:eastAsia="zh-CN"/>
        </w:rPr>
        <w:t>，</w:t>
      </w:r>
      <w:r>
        <w:rPr>
          <w:rFonts w:hint="eastAsia" w:ascii="宋体" w:hAnsi="宋体" w:eastAsia="宋体" w:cs="宋体"/>
          <w:color w:val="000000"/>
        </w:rPr>
        <w:t>喷蜡室</w:t>
      </w:r>
      <w:r>
        <w:rPr>
          <w:rFonts w:hint="eastAsia" w:ascii="宋体" w:hAnsi="宋体" w:eastAsia="宋体" w:cs="宋体"/>
          <w:color w:val="000000"/>
          <w:lang w:eastAsia="zh-CN"/>
        </w:rPr>
        <w:t>均采用</w:t>
      </w:r>
      <w:r>
        <w:rPr>
          <w:rFonts w:hint="eastAsia" w:ascii="宋体" w:hAnsi="宋体" w:eastAsia="宋体" w:cs="宋体"/>
          <w:lang w:val="en-US" w:eastAsia="zh-CN"/>
        </w:rPr>
        <w:t>镀锌C型钢</w:t>
      </w:r>
      <w:r>
        <w:rPr>
          <w:rFonts w:hint="eastAsia" w:ascii="宋体" w:hAnsi="宋体" w:eastAsia="宋体" w:cs="宋体"/>
          <w:color w:val="000000"/>
        </w:rPr>
        <w:t>。</w:t>
      </w:r>
    </w:p>
    <w:p w14:paraId="6A9B93CE">
      <w:pPr>
        <w:pStyle w:val="17"/>
        <w:keepNext w:val="0"/>
        <w:keepLines w:val="0"/>
        <w:pageBreakBefore w:val="0"/>
        <w:widowControl w:val="0"/>
        <w:numPr>
          <w:ilvl w:val="0"/>
          <w:numId w:val="6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室体内操作地面采用镀锌格栅板和平钢板，要求车间封闭地面的格栅板的尺寸尽量保持在一个尺寸，所有格栅板均要采用防滑结构。</w:t>
      </w:r>
    </w:p>
    <w:p w14:paraId="547E201D">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格栅板支撑横骨架梁的梁上设有限位挡块，防止格栅板滑落，确保安全，其支撑梁的强度要够。</w:t>
      </w:r>
    </w:p>
    <w:p w14:paraId="18776A3A">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格栅下两侧设排风风道及</w:t>
      </w:r>
      <w:r>
        <w:rPr>
          <w:rFonts w:hint="eastAsia" w:ascii="宋体" w:hAnsi="宋体" w:eastAsia="宋体" w:cs="宋体"/>
          <w:color w:val="000000" w:themeColor="text1"/>
          <w14:textFill>
            <w14:solidFill>
              <w14:schemeClr w14:val="tx1"/>
            </w14:solidFill>
          </w14:textFill>
        </w:rPr>
        <w:t>接水盘</w:t>
      </w:r>
      <w:r>
        <w:rPr>
          <w:rFonts w:hint="eastAsia" w:ascii="宋体" w:hAnsi="宋体" w:eastAsia="宋体" w:cs="宋体"/>
          <w:color w:val="000000"/>
        </w:rPr>
        <w:t>（</w:t>
      </w:r>
      <w:r>
        <w:rPr>
          <w:rFonts w:hint="eastAsia" w:ascii="宋体" w:hAnsi="宋体" w:eastAsia="宋体" w:cs="宋体"/>
          <w:lang w:eastAsia="zh-CN"/>
        </w:rPr>
        <w:t>点修补、打磨、</w:t>
      </w:r>
      <w:r>
        <w:rPr>
          <w:rFonts w:hint="eastAsia" w:ascii="宋体" w:hAnsi="宋体" w:eastAsia="宋体" w:cs="宋体"/>
          <w:color w:val="000000" w:themeColor="text1"/>
          <w14:textFill>
            <w14:solidFill>
              <w14:schemeClr w14:val="tx1"/>
            </w14:solidFill>
          </w14:textFill>
        </w:rPr>
        <w:t>套色遮蔽打磨室</w:t>
      </w:r>
      <w:r>
        <w:rPr>
          <w:rFonts w:hint="eastAsia" w:ascii="宋体" w:hAnsi="宋体" w:eastAsia="宋体" w:cs="宋体"/>
          <w:lang w:eastAsia="zh-CN"/>
        </w:rPr>
        <w:t>接水盘材料为不锈钢</w:t>
      </w:r>
      <w:r>
        <w:rPr>
          <w:rFonts w:hint="eastAsia" w:ascii="宋体" w:hAnsi="宋体" w:eastAsia="宋体" w:cs="宋体"/>
          <w:color w:val="000000"/>
        </w:rPr>
        <w:t>修饰、预清理、擦净、终检、注蜡、换夹具</w:t>
      </w:r>
      <w:r>
        <w:rPr>
          <w:rFonts w:hint="eastAsia" w:ascii="宋体" w:hAnsi="宋体" w:eastAsia="宋体" w:cs="宋体"/>
          <w:color w:val="000000" w:themeColor="text1"/>
          <w14:textFill>
            <w14:solidFill>
              <w14:schemeClr w14:val="tx1"/>
            </w14:solidFill>
          </w14:textFill>
        </w:rPr>
        <w:t>室</w:t>
      </w:r>
      <w:r>
        <w:rPr>
          <w:rFonts w:hint="eastAsia" w:ascii="宋体" w:hAnsi="宋体" w:eastAsia="宋体" w:cs="宋体"/>
          <w:color w:val="000000" w:themeColor="text1"/>
          <w:lang w:eastAsia="zh-CN"/>
          <w14:textFill>
            <w14:solidFill>
              <w14:schemeClr w14:val="tx1"/>
            </w14:solidFill>
          </w14:textFill>
        </w:rPr>
        <w:t>接水盘材料为镀锌板</w:t>
      </w:r>
      <w:r>
        <w:rPr>
          <w:rFonts w:hint="eastAsia" w:ascii="宋体" w:hAnsi="宋体" w:eastAsia="宋体" w:cs="宋体"/>
          <w:color w:val="000000"/>
        </w:rPr>
        <w:t>），在风管和接水盘之间要做好密封。排风管的吸风口设在与接水盘相交的方向，吸风口处做百叶。接水盘内的水最浅的部位不小于30mm。在接水盘的端头设有自来水进水管和阀门，在接水盘的每侧中部设3个不锈钢的排水口，排水口处设可更换清洗的过滤罩，进、排水管均采用可拆装的管件连接。</w:t>
      </w:r>
    </w:p>
    <w:p w14:paraId="3D452AED">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封闭室体内照度，按照会签版设备流程图确定</w:t>
      </w:r>
    </w:p>
    <w:p w14:paraId="741C9453">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w:t>
      </w:r>
      <w:r>
        <w:rPr>
          <w:rFonts w:hint="eastAsia" w:ascii="宋体" w:hAnsi="宋体" w:eastAsia="宋体" w:cs="宋体"/>
          <w:color w:val="000000"/>
          <w:lang w:eastAsia="zh-CN"/>
        </w:rPr>
        <w:t>新增</w:t>
      </w:r>
      <w:r>
        <w:rPr>
          <w:rFonts w:hint="eastAsia" w:ascii="宋体" w:hAnsi="宋体" w:eastAsia="宋体" w:cs="宋体"/>
          <w:color w:val="000000"/>
        </w:rPr>
        <w:t>封闭室的门采用</w:t>
      </w:r>
      <w:r>
        <w:rPr>
          <w:rFonts w:hint="eastAsia" w:ascii="宋体" w:hAnsi="宋体" w:eastAsia="宋体" w:cs="宋体"/>
          <w:color w:val="000000" w:themeColor="text1"/>
          <w14:textFill>
            <w14:solidFill>
              <w14:schemeClr w14:val="tx1"/>
            </w14:solidFill>
          </w14:textFill>
        </w:rPr>
        <w:t>10mm钢化玻璃</w:t>
      </w:r>
      <w:r>
        <w:rPr>
          <w:rFonts w:hint="eastAsia" w:ascii="宋体" w:hAnsi="宋体" w:eastAsia="宋体" w:cs="宋体"/>
          <w:color w:val="000000"/>
        </w:rPr>
        <w:t>制成，尺寸建议要求如下：净高：2000 mm；净宽：800 mm。门内外设有手柄，门的铰链与门及门框为螺栓装配式，门框装铰链部位的座板必须加强、焊牢，待门装上后不变形、不下沉，要耐用，铰链板要厚，其强度要达到不变形、不下沉，门与下门口之间的间隙不小于15 mm ，并设闭门器。</w:t>
      </w:r>
    </w:p>
    <w:p w14:paraId="00482127">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封闭室体凡有碳钢材质部分均要除锈，再涂一层防腐底漆及二层面漆。</w:t>
      </w:r>
    </w:p>
    <w:p w14:paraId="4D47D638">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操作工位的操作地面有高位、中位和低位，需要根据不同操作的要求进行设计。</w:t>
      </w:r>
    </w:p>
    <w:p w14:paraId="16CF2357">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电泳打磨到擦净室入口全线封闭</w:t>
      </w:r>
      <w:r>
        <w:rPr>
          <w:rFonts w:hint="eastAsia" w:ascii="宋体" w:hAnsi="宋体" w:eastAsia="宋体" w:cs="宋体"/>
          <w:color w:val="000000"/>
          <w:lang w:eastAsia="zh-CN"/>
        </w:rPr>
        <w:t>（以实际图纸为准）</w:t>
      </w:r>
      <w:r>
        <w:rPr>
          <w:rFonts w:hint="eastAsia" w:ascii="宋体" w:hAnsi="宋体" w:eastAsia="宋体" w:cs="宋体"/>
          <w:color w:val="000000"/>
        </w:rPr>
        <w:t xml:space="preserve">，并配有照明满足300Lux。 </w:t>
      </w:r>
    </w:p>
    <w:p w14:paraId="677C6859">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压缩空气送到使用点气动单元上（含气动单元），带快速接头，纯水管路接到所有打磨工位及修饰工位，工位区设不锈钢水槽，槽上设溢流管、排水管、自来水和纯水加注管、不锈钢球阀，进、排水管均采用可拆装的管件连接。压缩空气及水管布置数量以设备流程图签字确定</w:t>
      </w:r>
    </w:p>
    <w:p w14:paraId="220007F1">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施工结束后所有生产线、工位、辅助区段和所有功能件按施工流程图上的名称、编号配备中、英文对照的标牌，要求标牌准确、固定牢靠、美观、易于辨认、不易污染。</w:t>
      </w:r>
    </w:p>
    <w:p w14:paraId="10370FB2">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工作所有动能管路外表面均要求涂色标，车间内各种介质输送管路系统均要按照国家涂色标准进行涂漆。</w:t>
      </w:r>
    </w:p>
    <w:p w14:paraId="5FEF8CC8">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所有空气过滤棉、</w:t>
      </w:r>
      <w:r>
        <w:rPr>
          <w:rFonts w:hint="eastAsia" w:ascii="宋体" w:hAnsi="宋体" w:eastAsia="宋体" w:cs="宋体"/>
          <w:color w:val="000000" w:themeColor="text1"/>
          <w14:textFill>
            <w14:solidFill>
              <w14:schemeClr w14:val="tx1"/>
            </w14:solidFill>
          </w14:textFill>
        </w:rPr>
        <w:t>过滤器</w:t>
      </w:r>
      <w:r>
        <w:rPr>
          <w:rFonts w:hint="eastAsia" w:ascii="宋体" w:hAnsi="宋体" w:eastAsia="宋体" w:cs="宋体"/>
          <w:color w:val="000000" w:themeColor="text1"/>
          <w:lang w:val="en-US" w:eastAsia="zh-CN"/>
          <w14:textFill>
            <w14:solidFill>
              <w14:schemeClr w14:val="tx1"/>
            </w14:solidFill>
          </w14:textFill>
        </w:rPr>
        <w:t>提供两套全新（其中1套用于调试）</w:t>
      </w:r>
      <w:r>
        <w:rPr>
          <w:rFonts w:hint="eastAsia" w:ascii="宋体" w:hAnsi="宋体" w:eastAsia="宋体" w:cs="宋体"/>
          <w:color w:val="000000" w:themeColor="text1"/>
          <w14:textFill>
            <w14:solidFill>
              <w14:schemeClr w14:val="tx1"/>
            </w14:solidFill>
          </w14:textFill>
        </w:rPr>
        <w:t>。</w:t>
      </w:r>
    </w:p>
    <w:p w14:paraId="6E57112F">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敞开工位有：粗密封、细密封、上/卸遮蔽、胶Audit（评价室）间、</w:t>
      </w:r>
      <w:r>
        <w:rPr>
          <w:rFonts w:hint="eastAsia" w:ascii="宋体" w:hAnsi="宋体" w:eastAsia="宋体" w:cs="宋体"/>
          <w:color w:val="auto"/>
        </w:rPr>
        <w:t>面漆Audit（评价室）室</w:t>
      </w:r>
      <w:r>
        <w:rPr>
          <w:rFonts w:hint="eastAsia" w:ascii="宋体" w:hAnsi="宋体" w:eastAsia="宋体" w:cs="宋体"/>
          <w:color w:val="auto"/>
          <w:lang w:eastAsia="zh-CN"/>
        </w:rPr>
        <w:t>、</w:t>
      </w:r>
      <w:r>
        <w:rPr>
          <w:rFonts w:hint="eastAsia" w:ascii="宋体" w:hAnsi="宋体" w:eastAsia="宋体" w:cs="宋体"/>
          <w:color w:val="000000"/>
        </w:rPr>
        <w:t>备品备件打胶室、终检换夹具室。</w:t>
      </w:r>
    </w:p>
    <w:p w14:paraId="27DBC738">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敞开操作工位由框架和灯箱组成，框架材质为碳钢，敞开工位的骨架结构要求采用螺栓装配式结构，所有装配连接用螺栓、螺母等的标准件必须采用镀锌件，具有可拆装性。框架两侧的上部可作为公用管道支架。框架两侧及顶部设置照明，照明灯分段控制。钢平台下部周边封严。</w:t>
      </w:r>
    </w:p>
    <w:p w14:paraId="2C550210">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敞开操作工位的操作地板采用</w:t>
      </w:r>
      <w:r>
        <w:rPr>
          <w:rFonts w:hint="eastAsia" w:ascii="宋体" w:hAnsi="宋体" w:eastAsia="宋体" w:cs="宋体"/>
          <w:color w:val="000000"/>
          <w:lang w:val="en-US" w:eastAsia="zh-CN"/>
        </w:rPr>
        <w:t>平钢板</w:t>
      </w:r>
      <w:r>
        <w:rPr>
          <w:rFonts w:hint="eastAsia" w:ascii="宋体" w:hAnsi="宋体" w:eastAsia="宋体" w:cs="宋体"/>
          <w:color w:val="000000"/>
        </w:rPr>
        <w:t>，均要采用防滑结构。</w:t>
      </w:r>
    </w:p>
    <w:p w14:paraId="11EF03BB">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敞开操作工位设供风系统，风管在室体的顶部，设有带百叶的风嘴在车身两侧的上方，每个风嘴的风量、风向要求可调，调后可锁定。</w:t>
      </w:r>
    </w:p>
    <w:p w14:paraId="3D20124F">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敞开操作工位内的照度根据不同的工序的要求进行设计。</w:t>
      </w:r>
    </w:p>
    <w:p w14:paraId="6CD3EED1">
      <w:pPr>
        <w:pStyle w:val="17"/>
        <w:pageBreakBefore w:val="0"/>
        <w:numPr>
          <w:ilvl w:val="0"/>
          <w:numId w:val="6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敞开操作工位凡有碳钢材质部分均要除锈，再涂一层防腐底漆及二层面漆。</w:t>
      </w:r>
      <w:bookmarkStart w:id="89" w:name="_Toc32766_WPSOffice_Level2"/>
    </w:p>
    <w:bookmarkEnd w:id="89"/>
    <w:p w14:paraId="54037DC7">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bookmarkStart w:id="90" w:name="_Toc22337_WPSOffice_Level2"/>
      <w:r>
        <w:rPr>
          <w:rFonts w:hint="eastAsia" w:ascii="宋体" w:hAnsi="宋体" w:eastAsia="宋体" w:cs="宋体"/>
          <w:b/>
          <w:bCs/>
          <w:sz w:val="24"/>
          <w:szCs w:val="24"/>
          <w:lang w:val="en-US" w:eastAsia="zh-CN"/>
        </w:rPr>
        <w:t>粗密封室：</w:t>
      </w:r>
      <w:bookmarkEnd w:id="90"/>
    </w:p>
    <w:p w14:paraId="63F225EF">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粗密封是个敞开室体，工位由框架和灯箱组成，框架材质为碳钢，敞开工位的骨架结构要求采用螺栓装配式结构，所有装配连接用螺栓、螺母等的标准件必须采用镀锌件，具有可拆装性。框架两侧的上部可作为公用管道支架。框架两侧及顶部设置照明，照明灯分段控制，钢平台下部周边封严室体内平整。</w:t>
      </w:r>
    </w:p>
    <w:p w14:paraId="700E1AC2">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室体两端每侧均设有安全栏杆及踏台。</w:t>
      </w:r>
    </w:p>
    <w:p w14:paraId="29C59597">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粗密封工位尺寸以图纸设计为准。</w:t>
      </w:r>
    </w:p>
    <w:p w14:paraId="0407C1BE">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操作平台均采用</w:t>
      </w:r>
      <w:r>
        <w:rPr>
          <w:rFonts w:hint="eastAsia" w:ascii="宋体" w:hAnsi="宋体" w:eastAsia="宋体" w:cs="宋体"/>
          <w:color w:val="000000"/>
          <w:lang w:val="en-US" w:eastAsia="zh-CN"/>
        </w:rPr>
        <w:t>平钢板</w:t>
      </w:r>
      <w:r>
        <w:rPr>
          <w:rFonts w:hint="eastAsia" w:ascii="宋体" w:hAnsi="宋体" w:eastAsia="宋体" w:cs="宋体"/>
          <w:color w:val="000000"/>
        </w:rPr>
        <w:t>，钢平台要涂聚氨酯耐磨涂料。</w:t>
      </w:r>
    </w:p>
    <w:p w14:paraId="12ADDF98">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钢板与格栅下部的骨架采用镀锌螺栓连接，并具有可拆性。</w:t>
      </w:r>
    </w:p>
    <w:p w14:paraId="06581781">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rPr>
        <w:t>在粗密封工位设沥青板及堵件存放台，</w:t>
      </w:r>
      <w:r>
        <w:rPr>
          <w:rFonts w:hint="eastAsia" w:ascii="宋体" w:hAnsi="宋体" w:eastAsia="宋体" w:cs="宋体"/>
          <w:color w:val="000000" w:themeColor="text1"/>
          <w14:textFill>
            <w14:solidFill>
              <w14:schemeClr w14:val="tx1"/>
            </w14:solidFill>
          </w14:textFill>
        </w:rPr>
        <w:t>沥青板存放台设三层，每个2m长，每侧设2个，堵件存放台每侧设2个。</w:t>
      </w:r>
    </w:p>
    <w:p w14:paraId="0AB7CB1A">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在粗密封工位设存放门钩、支杆的工装，工装要求轻巧，使用方便，每侧设两个（具体式样设计时确定）。</w:t>
      </w:r>
    </w:p>
    <w:p w14:paraId="6D55E662">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lang w:val="en-US" w:eastAsia="zh-CN"/>
          <w14:textFill>
            <w14:solidFill>
              <w14:schemeClr w14:val="tx1"/>
            </w14:solidFill>
          </w14:textFill>
        </w:rPr>
        <w:t>新增</w:t>
      </w:r>
      <w:r>
        <w:rPr>
          <w:rFonts w:hint="eastAsia" w:ascii="宋体" w:hAnsi="宋体" w:eastAsia="宋体" w:cs="宋体"/>
          <w:color w:val="000000" w:themeColor="text1"/>
          <w14:textFill>
            <w14:solidFill>
              <w14:schemeClr w14:val="tx1"/>
            </w14:solidFill>
          </w14:textFill>
        </w:rPr>
        <w:t>灯管采用LED灯管。灯光照度为≥800Lux，照度要均匀，在任何方向和部位要达到，照明灯设成竖向</w:t>
      </w:r>
      <w:r>
        <w:rPr>
          <w:rFonts w:hint="eastAsia" w:ascii="宋体" w:hAnsi="宋体" w:eastAsia="宋体" w:cs="宋体"/>
          <w:color w:val="000000"/>
        </w:rPr>
        <w:t>，工位设有灯箱支架和带玻璃的照明灯箱，所有灯具采用立式外挂式灯具，顶部在两风嘴之间设一排照明。</w:t>
      </w:r>
    </w:p>
    <w:p w14:paraId="6A021416">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粗密封工位照明的开关，采用分段控制，</w:t>
      </w:r>
      <w:r>
        <w:rPr>
          <w:rFonts w:hint="eastAsia" w:ascii="宋体" w:hAnsi="宋体" w:eastAsia="宋体" w:cs="宋体"/>
          <w:color w:val="000000" w:themeColor="text1"/>
          <w14:textFill>
            <w14:solidFill>
              <w14:schemeClr w14:val="tx1"/>
            </w14:solidFill>
          </w14:textFill>
        </w:rPr>
        <w:t>每12m设一个回路</w:t>
      </w:r>
      <w:r>
        <w:rPr>
          <w:rFonts w:hint="eastAsia" w:ascii="宋体" w:hAnsi="宋体" w:eastAsia="宋体" w:cs="宋体"/>
          <w:color w:val="000000"/>
        </w:rPr>
        <w:t>，照明灯的开关设在粗密封工位的出入口的两个端头，两头的开关都可全部控制整个工位的照明。</w:t>
      </w:r>
    </w:p>
    <w:p w14:paraId="6009E1F0">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两侧主风管在入口处设有风量调节控制阀，具有调节风量的功能（供风量按800 m3/h/m供给）。</w:t>
      </w:r>
    </w:p>
    <w:p w14:paraId="46F0F777">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送风风源采用封闭室体排风回用，供风管上每隔2m长设一个风嘴，具备调节风向和风量的功能，基本风向吹向车身两侧工人操作位置上，调节后要能锁牢，并便于操作工人操作。（负责按照空调厂家设计在室体开孔即可，所有风嘴、风管等均由空调厂家安装到位）。</w:t>
      </w:r>
    </w:p>
    <w:p w14:paraId="57FCD1EE">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粗密封工位每隔7.5m两侧均设有调压、过滤的压缩空气（气动单元）使用点，每套设两个用于软管的快速接头及阀。</w:t>
      </w:r>
    </w:p>
    <w:p w14:paraId="7F9842CD">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粗密封工位两侧每侧顶上方各设一根C型轨及吊轮组，用于吊粗密封胶管，其长度按涂胶工位长度确定。</w:t>
      </w:r>
    </w:p>
    <w:p w14:paraId="1D18A776">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两侧每隔7.5m分别设1个物料板，板宽为400mm，长为600mm，1mm厚的不锈钢板翻边30mm厚制成，在室体内每侧顶部装有C型轨道及多个吊轮组，物料板吊在C型轨道及多个吊轮组上可移动，物料板与壁板之间要做防摩擦装置。</w:t>
      </w:r>
    </w:p>
    <w:p w14:paraId="1E4618A6">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粗密封每个枪站工位要设有不锈钢的带门锁的枪保护盒安装位置（具体位置由输调漆厂家提供）、胶枪架物料架、工具箱及其物料盒等。</w:t>
      </w:r>
    </w:p>
    <w:p w14:paraId="7A394DAE">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设有涂胶和喷胶枪站及带调压器、稳压器、压力表的供胶管路及支管安装位置（具体位置由输调漆厂家提供）线尾最后两个枪站为细密封枪站。</w:t>
      </w:r>
    </w:p>
    <w:p w14:paraId="664E6444">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预留空调电源插座六个，设220V防水插座六个</w:t>
      </w:r>
      <w:r>
        <w:rPr>
          <w:rFonts w:hint="eastAsia" w:ascii="宋体" w:hAnsi="宋体" w:eastAsia="宋体" w:cs="宋体"/>
          <w:lang w:eastAsia="zh-CN"/>
        </w:rPr>
        <w:t>（</w:t>
      </w:r>
      <w:r>
        <w:rPr>
          <w:rFonts w:hint="eastAsia" w:ascii="宋体" w:hAnsi="宋体" w:eastAsia="宋体" w:cs="宋体"/>
          <w:lang w:val="en-US" w:eastAsia="zh-CN"/>
        </w:rPr>
        <w:t>具体位置、数量以图纸为准</w:t>
      </w:r>
      <w:r>
        <w:rPr>
          <w:rFonts w:hint="eastAsia" w:ascii="宋体" w:hAnsi="宋体" w:eastAsia="宋体" w:cs="宋体"/>
          <w:lang w:eastAsia="zh-CN"/>
        </w:rPr>
        <w:t>）</w:t>
      </w:r>
      <w:r>
        <w:rPr>
          <w:rFonts w:hint="eastAsia" w:ascii="宋体" w:hAnsi="宋体" w:eastAsia="宋体" w:cs="宋体"/>
          <w:color w:val="000000"/>
        </w:rPr>
        <w:t>。</w:t>
      </w:r>
    </w:p>
    <w:p w14:paraId="2EE83140">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bookmarkStart w:id="91" w:name="_Toc28825_WPSOffice_Level2"/>
      <w:r>
        <w:rPr>
          <w:rFonts w:hint="eastAsia" w:ascii="宋体" w:hAnsi="宋体" w:eastAsia="宋体" w:cs="宋体"/>
          <w:color w:val="000000"/>
        </w:rPr>
        <w:t>细密封室的操作工位要设高位和低位，具体的高位的高度按车型最高车身尺寸进行确定。</w:t>
      </w:r>
    </w:p>
    <w:p w14:paraId="580DCA45">
      <w:pPr>
        <w:pStyle w:val="17"/>
        <w:pageBreakBefore w:val="0"/>
        <w:numPr>
          <w:ilvl w:val="0"/>
          <w:numId w:val="6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顶棚打胶工位为高工位，车身两侧设人机工程硬防护和软防护，避免员工操作接触车身，并在车身上方左右两侧设置一根C型轨及吊轮组，用于吊细密封胶管和胶枪，同时具备胶枪自动收缩功能，其长度按涂胶工位长度确定。</w:t>
      </w:r>
    </w:p>
    <w:bookmarkEnd w:id="91"/>
    <w:p w14:paraId="7309C1D6">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PVC胶喷涂室：</w:t>
      </w:r>
    </w:p>
    <w:p w14:paraId="18E5A2F5">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PVC胶喷涂室分为：上遮蔽工位、自动喷涂UBS、检查补胶段、自动喷涂UBC、卸遮蔽、检修工位、上遮蔽、裙边胶、卸遮蔽室等；UBS、UBC及对应上、卸遮蔽同用一个封闭室体（格栅下部封闭至楼板地面），壁板采用整体镀锌板翻边制成（带安全玻璃窗）。分别在遮蔽室进口和卸遮蔽出口设长为2m踏板和一个45度的梯子。（工位分布设计为准）其中上、卸遮蔽为敞开室体，骨架、照明等均按敞开工位结构方式进行安装。</w:t>
      </w:r>
    </w:p>
    <w:p w14:paraId="2CE81C00">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操作面采用镀锌格栅板，格栅板的尺寸要统一。</w:t>
      </w:r>
    </w:p>
    <w:p w14:paraId="6054D123">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格栅板支撑横骨架梁的梁上设有限位挡块，防止格栅板滑落，确保安全，其支撑梁的强度要够。</w:t>
      </w:r>
    </w:p>
    <w:p w14:paraId="53D340B2">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格栅下部的骨架采用镀锌螺栓连接，并具有可拆性。</w:t>
      </w:r>
    </w:p>
    <w:p w14:paraId="6EB38F75">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在上、卸遮蔽工位要求格栅上面的高度与吊具下部高度为1800mm，在车身的下部要设高200～400 mm的操作台，宽度为800～1000 mm，操作台采用钢骨架，台面设格栅板；格栅板支撑横骨架梁的梁上设有限位挡块，防止格栅板滑落，确保安全，其支撑梁的强度要够。</w:t>
      </w:r>
    </w:p>
    <w:p w14:paraId="3393B457">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送风风源来自空调机组（与喷胶室共用一个空调机组），供风管上每隔2m长设一个带百叶风口，具备调节风向和风量的功能，基本风向吹向车身两侧顶位置，调节后要锁牢，并便于操作工人操作，机器人喷涂段风速不低于0.2m/s；（按照空调厂家设计在室体开孔即可，所有风嘴、风管等均由空调厂家安装到位）。</w:t>
      </w:r>
    </w:p>
    <w:p w14:paraId="01B7FC8D">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下部设排风，室内排风管设在两侧底部，管上设有排风口，排风口设有过滤板G3，并设有调节镀锌风阀。排风机设有减震器，并设有耐久的软连接，同时设有排水口及排水管。排风管道为1.5mm厚镀锌板制作，设置风帽、防风绳等，风管高度出屋面3 m，满足国家、地方性法规要求。</w:t>
      </w:r>
    </w:p>
    <w:p w14:paraId="5D8F3566">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排风风机应容易维修、保养、清洁，并设有检修门、排水孔，轴承连续使用寿命应大于20万小时，工况条件下转速应不大于极限转速的70%，电机采用进口品牌。皮带为进口品牌，皮带罩为全封闭式，要求在不拆开叶轮的情况下可更换轴承。风机应配有底座、减震器、软接头等。为了安装、维修风机采用的提升装置及轨道也是供货范围。</w:t>
      </w:r>
    </w:p>
    <w:p w14:paraId="32B82430">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在两侧设照明装置，</w:t>
      </w:r>
      <w:r>
        <w:rPr>
          <w:rFonts w:hint="eastAsia" w:ascii="宋体" w:hAnsi="宋体" w:eastAsia="宋体" w:cs="宋体"/>
          <w:color w:val="000000"/>
          <w:lang w:val="en-US" w:eastAsia="zh-CN"/>
        </w:rPr>
        <w:t>新增</w:t>
      </w:r>
      <w:r>
        <w:rPr>
          <w:rFonts w:hint="eastAsia" w:ascii="宋体" w:hAnsi="宋体" w:eastAsia="宋体" w:cs="宋体"/>
          <w:color w:val="000000" w:themeColor="text1"/>
          <w14:textFill>
            <w14:solidFill>
              <w14:schemeClr w14:val="tx1"/>
            </w14:solidFill>
          </w14:textFill>
        </w:rPr>
        <w:t>灯管采用LED</w:t>
      </w:r>
      <w:r>
        <w:rPr>
          <w:rFonts w:hint="eastAsia" w:ascii="宋体" w:hAnsi="宋体" w:eastAsia="宋体" w:cs="宋体"/>
          <w:color w:val="000000"/>
        </w:rPr>
        <w:t>，灯光照度为≥800Lux，照度要均匀，在室体内任何方向和部位要达到要求的，灯箱表面要求光滑平整。照明灯设两个回路控制，灯的开关设在钢梯与工位的交接处。</w:t>
      </w:r>
    </w:p>
    <w:p w14:paraId="7D1C56E2">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在上遮蔽工位格栅下部，空滑橇的上部设一个接脱落堵件的镀锌板，板向两侧斜，要求脱落堵件在一处集中收集。</w:t>
      </w:r>
    </w:p>
    <w:p w14:paraId="0943C8DC">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rPr>
        <w:t>每个室体两端下设挡板，上设仿形门，两端每侧设带闭门器、</w:t>
      </w:r>
      <w:r>
        <w:rPr>
          <w:rFonts w:hint="eastAsia" w:ascii="宋体" w:hAnsi="宋体" w:eastAsia="宋体" w:cs="宋体"/>
          <w:color w:val="000000" w:themeColor="text1"/>
          <w14:textFill>
            <w14:solidFill>
              <w14:schemeClr w14:val="tx1"/>
            </w14:solidFill>
          </w14:textFill>
        </w:rPr>
        <w:t>内外带手柄的10mm钢化玻璃门</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新增部分按照此标准执行</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t>
      </w:r>
    </w:p>
    <w:p w14:paraId="5D30782E">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在UBS和UBC进出口设置10mm钢化玻璃人行门。玻璃门上</w:t>
      </w:r>
      <w:r>
        <w:rPr>
          <w:rFonts w:hint="eastAsia" w:ascii="宋体" w:hAnsi="宋体" w:eastAsia="宋体" w:cs="宋体"/>
          <w:color w:val="000000"/>
        </w:rPr>
        <w:t>考虑安装机器人安全装置的位置</w:t>
      </w:r>
      <w:r>
        <w:rPr>
          <w:rFonts w:hint="eastAsia" w:ascii="宋体" w:hAnsi="宋体" w:eastAsia="宋体" w:cs="宋体"/>
          <w:color w:val="000000"/>
          <w:lang w:eastAsia="zh-CN"/>
        </w:rPr>
        <w:t>。</w:t>
      </w:r>
    </w:p>
    <w:p w14:paraId="72868FC0">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要求格栅上面的高度与吊具下部高度为1800mm，在车身的下部要设两道与车身行走方向一样的DN100mm两个高为1500 mm的安全栏杆，栏杆的中心宽度为1200 mm，安全栏杆座在支载格栅的骨架上，防止工件脱落，威胁人身安全。</w:t>
      </w:r>
    </w:p>
    <w:p w14:paraId="5F680A21">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车身吊具两侧安装挡板，挡板与车身之间有自上而下及宽度方向间隙调整、锁紧机构，要求底部喷胶时，PVC胶雾不得飞溅到车身外表面上。</w:t>
      </w:r>
    </w:p>
    <w:p w14:paraId="32B38EF8">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预留安装喷胶机器人的工位，根据实际机器人数量预留压缩空气、供电等接口。</w:t>
      </w:r>
    </w:p>
    <w:p w14:paraId="7DBB9AD1">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卸遮蔽工位要设卸下的遮蔽纸、堵件集中回收的装置，在卸遮蔽工位端头每侧设一个集中收集的小车，以便集中处理及外运，在车身的下部设有带格栅板的平台。</w:t>
      </w:r>
    </w:p>
    <w:p w14:paraId="03676E47">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预留空调电源插座，具体数量现场确定，每个工位有两个220V防水插座。</w:t>
      </w:r>
    </w:p>
    <w:p w14:paraId="3E5F88E1">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每个工位根据车身实际高度情况配备塔台若干，满足员工实际生产需要。</w:t>
      </w:r>
    </w:p>
    <w:p w14:paraId="0D2EB193">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检修工位左右两侧设维修照明即可，灯光照度为≥500Lux。</w:t>
      </w:r>
    </w:p>
    <w:p w14:paraId="2B3D2134">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卸遮蔽工位为敞开工位。</w:t>
      </w:r>
    </w:p>
    <w:p w14:paraId="6A4D73B9">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工位的骨架采用镀锌板翻边制成的自承重的结构。</w:t>
      </w:r>
    </w:p>
    <w:p w14:paraId="76266233">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地面铺镀锌格栅板，所有格栅板均要采用防滑结构。</w:t>
      </w:r>
    </w:p>
    <w:p w14:paraId="60F62F75">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设供风系统，风管在矩形钢的顶部，设有带百叶的风嘴在车身两侧的上方，每个风嘴的风量、风向要求可调，调后可锁定；通风量800 m3/h/m。（所有风嘴、风管等均由空调厂家安装到位）。</w:t>
      </w:r>
    </w:p>
    <w:p w14:paraId="2ADB940D">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裙裙边胶工位设有涂胶和喷胶枪站及带调压器、稳压器、压力表的供胶管路及支管安装位置（具体位置由</w:t>
      </w:r>
      <w:r>
        <w:rPr>
          <w:rFonts w:hint="eastAsia" w:ascii="宋体" w:hAnsi="宋体" w:cs="宋体"/>
          <w:color w:val="000000"/>
          <w:lang w:eastAsia="zh-CN"/>
        </w:rPr>
        <w:t>投标人</w:t>
      </w:r>
      <w:r>
        <w:rPr>
          <w:rFonts w:hint="eastAsia" w:ascii="宋体" w:hAnsi="宋体" w:eastAsia="宋体" w:cs="宋体"/>
          <w:color w:val="000000"/>
        </w:rPr>
        <w:t>设计）。</w:t>
      </w:r>
    </w:p>
    <w:p w14:paraId="0E14A8C7">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灯管采用LED。灯光照度为≥800Lux，照度要均匀，在任何方向和部位要达到，照明灯设成竖向，工位设有灯箱支架和带玻璃的照明灯箱，所有灯具采用立式外挂式灯具</w:t>
      </w:r>
      <w:r>
        <w:rPr>
          <w:rFonts w:hint="eastAsia" w:ascii="宋体" w:hAnsi="宋体" w:eastAsia="宋体" w:cs="宋体"/>
          <w:color w:val="000000"/>
          <w:lang w:eastAsia="zh-CN"/>
        </w:rPr>
        <w:t>（</w:t>
      </w:r>
      <w:r>
        <w:rPr>
          <w:rFonts w:hint="eastAsia" w:ascii="宋体" w:hAnsi="宋体" w:eastAsia="宋体" w:cs="宋体"/>
          <w:color w:val="000000"/>
          <w:lang w:val="en-US" w:eastAsia="zh-CN"/>
        </w:rPr>
        <w:t>根据实际情况确认安装方式</w:t>
      </w:r>
      <w:r>
        <w:rPr>
          <w:rFonts w:hint="eastAsia" w:ascii="宋体" w:hAnsi="宋体" w:eastAsia="宋体" w:cs="宋体"/>
          <w:color w:val="000000"/>
          <w:lang w:eastAsia="zh-CN"/>
        </w:rPr>
        <w:t>）</w:t>
      </w:r>
      <w:r>
        <w:rPr>
          <w:rFonts w:hint="eastAsia" w:ascii="宋体" w:hAnsi="宋体" w:eastAsia="宋体" w:cs="宋体"/>
          <w:color w:val="000000"/>
        </w:rPr>
        <w:t>。</w:t>
      </w:r>
    </w:p>
    <w:p w14:paraId="2CEB549D">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每个工位照明的开关设一个回路，照明灯的开关设在工位的出入口的两个端头，两头的开关都可全部控制整个工位的照明。</w:t>
      </w:r>
    </w:p>
    <w:p w14:paraId="628CFA49">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每个工位有两个220V防水插座。</w:t>
      </w:r>
      <w:r>
        <w:rPr>
          <w:rFonts w:hint="eastAsia" w:ascii="宋体" w:hAnsi="宋体" w:eastAsia="宋体" w:cs="宋体"/>
          <w:color w:val="000000"/>
          <w:lang w:eastAsia="zh-CN"/>
        </w:rPr>
        <w:t>（</w:t>
      </w:r>
      <w:r>
        <w:rPr>
          <w:rFonts w:hint="eastAsia" w:ascii="宋体" w:hAnsi="宋体" w:eastAsia="宋体" w:cs="宋体"/>
          <w:color w:val="000000"/>
          <w:lang w:val="en-US" w:eastAsia="zh-CN"/>
        </w:rPr>
        <w:t>具体位置、数量以图纸为准</w:t>
      </w:r>
      <w:r>
        <w:rPr>
          <w:rFonts w:hint="eastAsia" w:ascii="宋体" w:hAnsi="宋体" w:eastAsia="宋体" w:cs="宋体"/>
          <w:color w:val="000000"/>
          <w:lang w:eastAsia="zh-CN"/>
        </w:rPr>
        <w:t>）</w:t>
      </w:r>
    </w:p>
    <w:p w14:paraId="6FF94B07">
      <w:pPr>
        <w:pStyle w:val="17"/>
        <w:pageBreakBefore w:val="0"/>
        <w:numPr>
          <w:ilvl w:val="0"/>
          <w:numId w:val="6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两侧分别设1个物料板，板宽为400mm，长为600mm，1mm厚的不锈钢板翻边30mm厚制成，在室体内每侧顶部装有C型轨道及多个吊轮组，物料板吊在C型轨道及多个吊轮组上可移动，物料板与壁板之间要做防摩擦装置。</w:t>
      </w:r>
    </w:p>
    <w:p w14:paraId="1F3ED527">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胶audit室：</w:t>
      </w:r>
    </w:p>
    <w:p w14:paraId="430AB528">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是个敞开室体，工位由框架和灯箱组成，框架材质为碳钢，敞开工位的骨架结构要求采用螺栓装配式结构，所有装配连接用螺栓、螺母等的标准件必须采用镀锌件，具有可拆装性。框架两侧的上部可作为公用管道支架。框架两侧及顶部设置照明，照明灯分段控制，钢平台下部周边封严室体内平整。</w:t>
      </w:r>
    </w:p>
    <w:p w14:paraId="046A0ED4">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工位的滑橇输送机两侧所有地板铺平钢板并刷涂聚氨酯耐磨涂料。在室体的两端两侧均设有带镀锌格栅的踏步及安全栏杆（具体位置待设计时确定）。</w:t>
      </w:r>
    </w:p>
    <w:p w14:paraId="47CBDBA7">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通风量为800 m</w:t>
      </w:r>
      <w:r>
        <w:rPr>
          <w:rFonts w:hint="eastAsia" w:ascii="宋体" w:hAnsi="宋体" w:eastAsia="宋体" w:cs="宋体"/>
          <w:color w:val="000000"/>
          <w:vertAlign w:val="superscript"/>
        </w:rPr>
        <w:t>3</w:t>
      </w:r>
      <w:r>
        <w:rPr>
          <w:rFonts w:hint="eastAsia" w:ascii="宋体" w:hAnsi="宋体" w:eastAsia="宋体" w:cs="宋体"/>
          <w:color w:val="000000"/>
        </w:rPr>
        <w:t>/h/m。</w:t>
      </w:r>
    </w:p>
    <w:p w14:paraId="18BC7E39">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val="en-US" w:eastAsia="zh-CN"/>
        </w:rPr>
        <w:t>新增</w:t>
      </w:r>
      <w:r>
        <w:rPr>
          <w:rFonts w:hint="eastAsia" w:ascii="宋体" w:hAnsi="宋体" w:eastAsia="宋体" w:cs="宋体"/>
          <w:color w:val="000000"/>
        </w:rPr>
        <w:t>灯管采用</w:t>
      </w:r>
      <w:r>
        <w:rPr>
          <w:rFonts w:hint="eastAsia" w:ascii="宋体" w:hAnsi="宋体" w:eastAsia="宋体" w:cs="宋体"/>
          <w:color w:val="000000" w:themeColor="text1"/>
          <w14:textFill>
            <w14:solidFill>
              <w14:schemeClr w14:val="tx1"/>
            </w14:solidFill>
          </w14:textFill>
        </w:rPr>
        <w:t>LED</w:t>
      </w:r>
      <w:r>
        <w:rPr>
          <w:rFonts w:hint="eastAsia" w:ascii="宋体" w:hAnsi="宋体" w:eastAsia="宋体" w:cs="宋体"/>
          <w:color w:val="000000"/>
        </w:rPr>
        <w:t>。灯光照度为≥800Lux，照度要均匀，在任何方向和部位要达到；顶部在两风嘴之间设一排照明，工位设有灯箱支架和带玻璃的照明灯箱，所有灯具采用立式外挂式灯具；在室体内平台两侧各安装地灯两组，使用钢化玻璃进行密封，并保证玻璃密封面与平台表面平齐，满足人行承载能力，在工位出入口的两个端头设照明灯的开关，两头的开关都可全部控制整个工位的照明。</w:t>
      </w:r>
    </w:p>
    <w:p w14:paraId="450778A1">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工位设有两个220V防水插座。</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具体位置、数量以图纸为准</w:t>
      </w:r>
      <w:r>
        <w:rPr>
          <w:rFonts w:hint="eastAsia" w:ascii="宋体" w:hAnsi="宋体" w:eastAsia="宋体" w:cs="宋体"/>
          <w:color w:val="000000" w:themeColor="text1"/>
          <w:lang w:eastAsia="zh-CN"/>
          <w14:textFill>
            <w14:solidFill>
              <w14:schemeClr w14:val="tx1"/>
            </w14:solidFill>
          </w14:textFill>
        </w:rPr>
        <w:t>）</w:t>
      </w:r>
    </w:p>
    <w:p w14:paraId="5C6FC218">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该工位设有叉式举升机，及安全防护装置，以便进行车身底部的检查和修补。</w:t>
      </w:r>
    </w:p>
    <w:p w14:paraId="6CDF3138">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备品备件打胶室</w:t>
      </w:r>
      <w:r>
        <w:rPr>
          <w:rFonts w:hint="eastAsia" w:ascii="宋体" w:hAnsi="宋体" w:eastAsia="宋体" w:cs="宋体"/>
          <w:color w:val="000000"/>
          <w:lang w:val="en-US" w:eastAsia="zh-CN"/>
        </w:rPr>
        <w:t>设计位置</w:t>
      </w:r>
      <w:r>
        <w:rPr>
          <w:rFonts w:hint="eastAsia" w:ascii="宋体" w:hAnsi="宋体" w:eastAsia="宋体" w:cs="宋体"/>
          <w:color w:val="000000"/>
        </w:rPr>
        <w:t>，</w:t>
      </w:r>
      <w:r>
        <w:rPr>
          <w:rFonts w:hint="eastAsia" w:ascii="宋体" w:hAnsi="宋体" w:eastAsia="宋体" w:cs="宋体"/>
          <w:color w:val="000000"/>
          <w:lang w:val="en-US" w:eastAsia="zh-CN"/>
        </w:rPr>
        <w:t>胶泵利旧，</w:t>
      </w:r>
      <w:r>
        <w:rPr>
          <w:rFonts w:hint="eastAsia" w:ascii="宋体" w:hAnsi="宋体" w:eastAsia="宋体" w:cs="宋体"/>
          <w:color w:val="000000"/>
        </w:rPr>
        <w:t>尺寸以设计为准。</w:t>
      </w:r>
    </w:p>
    <w:p w14:paraId="3D623241">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工位的骨架采用矩形钢，矩形钢要除锈后涂防锈底漆及两道面漆。</w:t>
      </w:r>
    </w:p>
    <w:p w14:paraId="0DD6D2DD">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地板采用镀锌格栅板，所有格栅板均要采用防滑结构（部分铺平钢板）。</w:t>
      </w:r>
    </w:p>
    <w:p w14:paraId="1665078F">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设供风系统，风管在矩形钢的顶部，设有带百叶的风嘴在车身两侧的上方，每个风嘴的风量、风向要求可调，调后可锁定；（所有风嘴、风管等均有空调厂家安装到位）。</w:t>
      </w:r>
    </w:p>
    <w:p w14:paraId="672395A9">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设有涂胶和喷胶枪站及带调压器、稳压器、压力表的供胶管路及支管安装位置（具体位置由输调漆厂家提供）。</w:t>
      </w:r>
    </w:p>
    <w:p w14:paraId="1E1BE870">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灯管采用LED。灯光照度为≥800Lux，照度要均匀，在任何方向和部位要达到，照明灯设成竖向，工位设有灯箱支架和带玻璃的照明灯箱，立式外挂式灯具</w:t>
      </w:r>
      <w:r>
        <w:rPr>
          <w:rFonts w:hint="eastAsia" w:ascii="宋体" w:hAnsi="宋体" w:eastAsia="宋体" w:cs="宋体"/>
          <w:color w:val="000000"/>
          <w:lang w:eastAsia="zh-CN"/>
        </w:rPr>
        <w:t>（</w:t>
      </w:r>
      <w:r>
        <w:rPr>
          <w:rFonts w:hint="eastAsia" w:ascii="宋体" w:hAnsi="宋体" w:eastAsia="宋体" w:cs="宋体"/>
          <w:color w:val="000000"/>
          <w:lang w:val="en-US" w:eastAsia="zh-CN"/>
        </w:rPr>
        <w:t>根据实际情况确认安装方式</w:t>
      </w:r>
      <w:r>
        <w:rPr>
          <w:rFonts w:hint="eastAsia" w:ascii="宋体" w:hAnsi="宋体" w:eastAsia="宋体" w:cs="宋体"/>
          <w:color w:val="000000"/>
          <w:lang w:eastAsia="zh-CN"/>
        </w:rPr>
        <w:t>）</w:t>
      </w:r>
      <w:r>
        <w:rPr>
          <w:rFonts w:hint="eastAsia" w:ascii="宋体" w:hAnsi="宋体" w:eastAsia="宋体" w:cs="宋体"/>
          <w:color w:val="000000"/>
        </w:rPr>
        <w:t>。</w:t>
      </w:r>
    </w:p>
    <w:p w14:paraId="3EE14257">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工位照明的开关设一个回路，照明灯的开关设在工位的出入口的两个端头，两头的开关都可全部控制整个工位的照明。</w:t>
      </w:r>
    </w:p>
    <w:p w14:paraId="28762C3B">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设有两个220V防水插座</w:t>
      </w:r>
      <w:r>
        <w:rPr>
          <w:rFonts w:hint="eastAsia" w:ascii="宋体" w:hAnsi="宋体" w:eastAsia="宋体" w:cs="宋体"/>
          <w:color w:val="000000"/>
          <w:lang w:eastAsia="zh-CN"/>
        </w:rPr>
        <w:t>（</w:t>
      </w:r>
      <w:r>
        <w:rPr>
          <w:rFonts w:hint="eastAsia" w:ascii="宋体" w:hAnsi="宋体" w:eastAsia="宋体" w:cs="宋体"/>
          <w:color w:val="000000"/>
          <w:lang w:val="en-US" w:eastAsia="zh-CN"/>
        </w:rPr>
        <w:t>具体位置、数量以图纸为准</w:t>
      </w:r>
      <w:r>
        <w:rPr>
          <w:rFonts w:hint="eastAsia" w:ascii="宋体" w:hAnsi="宋体" w:eastAsia="宋体" w:cs="宋体"/>
          <w:color w:val="000000"/>
          <w:lang w:eastAsia="zh-CN"/>
        </w:rPr>
        <w:t>）</w:t>
      </w:r>
      <w:r>
        <w:rPr>
          <w:rFonts w:hint="eastAsia" w:ascii="宋体" w:hAnsi="宋体" w:eastAsia="宋体" w:cs="宋体"/>
          <w:color w:val="000000"/>
        </w:rPr>
        <w:t>；</w:t>
      </w:r>
    </w:p>
    <w:p w14:paraId="27241337">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工位两侧均设有调压、过滤的压缩空气（气动单元）使用点2处，每套设两个用于软管的快速接头及阀。</w:t>
      </w:r>
    </w:p>
    <w:p w14:paraId="7C05F0BB">
      <w:pPr>
        <w:pStyle w:val="17"/>
        <w:pageBreakBefore w:val="0"/>
        <w:numPr>
          <w:ilvl w:val="0"/>
          <w:numId w:val="7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两侧分别设1个物料板，板宽为400mm，长为600mm，1mm厚的不锈钢板翻边30mm厚制成，在室体内每侧顶部装有C型轨道及多个吊轮组，物料板吊在C型轨道及多个吊轮组上可移动，物料板与壁板之间要做防摩擦装置。</w:t>
      </w:r>
    </w:p>
    <w:p w14:paraId="7DA99F60">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bookmarkStart w:id="92" w:name="_Toc13847_WPSOffice_Level2"/>
      <w:r>
        <w:rPr>
          <w:rFonts w:hint="eastAsia" w:ascii="宋体" w:hAnsi="宋体" w:eastAsia="宋体" w:cs="宋体"/>
          <w:b/>
          <w:bCs/>
          <w:sz w:val="24"/>
          <w:szCs w:val="24"/>
          <w:lang w:val="en-US" w:eastAsia="zh-CN"/>
        </w:rPr>
        <w:t>电泳底漆打磨（含电泳离线打磨室）+套色线：</w:t>
      </w:r>
      <w:bookmarkEnd w:id="92"/>
    </w:p>
    <w:p w14:paraId="2C0DA9D6">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打磨室（含电泳离线打磨室、套色线，以下简称打磨室）的室体采用镀锌板翻边制成的自承重的结构，室体内平整。两侧设有连续的大玻璃窗，其高度按规范进行设计，要求高度在人视野中。</w:t>
      </w:r>
    </w:p>
    <w:p w14:paraId="1E7679CA">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内照明原则上在车身两侧的壁板大玻璃窗外及室内，侧面灯竖排，顶部设两排灯管，整体做成四排，按照仿形门结构，灯管采用LED。灯光照度为≥1200Lux，照度要均匀，在任何方向和部位要达到；采用分段控制，每12m设一个回路，照明灯的开关设在打磨室的出入口的两个端头，两头的开关都可全部控制整个工位的照明。</w:t>
      </w:r>
    </w:p>
    <w:p w14:paraId="14CCF276">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打磨室室体两侧设夹胶大玻璃</w:t>
      </w:r>
      <w:r>
        <w:rPr>
          <w:rFonts w:hint="eastAsia" w:ascii="宋体" w:hAnsi="宋体" w:eastAsia="宋体" w:cs="宋体"/>
          <w:lang w:eastAsia="zh-CN"/>
        </w:rPr>
        <w:t>（</w:t>
      </w:r>
      <w:r>
        <w:rPr>
          <w:rFonts w:hint="eastAsia" w:ascii="宋体" w:hAnsi="宋体" w:eastAsia="宋体" w:cs="宋体"/>
          <w:lang w:val="en-US" w:eastAsia="zh-CN"/>
        </w:rPr>
        <w:t>利旧改造</w:t>
      </w:r>
      <w:r>
        <w:rPr>
          <w:rFonts w:hint="eastAsia" w:ascii="宋体" w:hAnsi="宋体" w:eastAsia="宋体" w:cs="宋体"/>
          <w:lang w:eastAsia="zh-CN"/>
        </w:rPr>
        <w:t>）</w:t>
      </w:r>
      <w:r>
        <w:rPr>
          <w:rFonts w:hint="eastAsia" w:ascii="宋体" w:hAnsi="宋体" w:eastAsia="宋体" w:cs="宋体"/>
          <w:color w:val="000000"/>
        </w:rPr>
        <w:t>，暗螺钉固定玻璃，玻璃框上部两主柱之间壁板采用镀锌钢板翻边制成。壁板采用镀锌板翻边制成，室体内平整。</w:t>
      </w:r>
    </w:p>
    <w:p w14:paraId="55347187">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室体内两侧每隔6 m分别设1个物料板，板宽为400mm，长为600mm，1mm厚的不锈钢板翻边30mm厚制成</w:t>
      </w:r>
      <w:r>
        <w:rPr>
          <w:rFonts w:hint="eastAsia" w:ascii="宋体" w:hAnsi="宋体" w:eastAsia="宋体" w:cs="宋体"/>
          <w:color w:val="000000"/>
        </w:rPr>
        <w:t>，在室体内每侧顶部装有C型轨道及多个吊轮组，物料板吊在C型轨道及多个吊轮组上可移动，物料板与壁板之间要做防摩擦装置。</w:t>
      </w:r>
    </w:p>
    <w:p w14:paraId="164B14E9">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室体内操作地面采用镀锌格栅板，要求打磨室操作地面的格栅板的尺寸尽量保持在一个尺寸。</w:t>
      </w:r>
    </w:p>
    <w:p w14:paraId="709E22E2">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格栅板支撑横骨架梁的梁上设有限位挡块，防止格栅板滑落，确保安全，其支撑梁的强度要够。</w:t>
      </w:r>
    </w:p>
    <w:p w14:paraId="17D55316">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格栅下部的骨架采用镀锌螺栓连接，并具有可拆性。</w:t>
      </w:r>
    </w:p>
    <w:p w14:paraId="214EF328">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外设有供风管，送风风源来自空调机组，供风管布置在室外顶部两侧，供风管下部每隔2m长设一个出风嘴，具备调节风向和风量的功能，基本风向，吹向车身两侧顶及操作的位置，调节后要锁牢，并便于操作工人操作（风量1000 m</w:t>
      </w:r>
      <w:r>
        <w:rPr>
          <w:rFonts w:hint="eastAsia" w:ascii="宋体" w:hAnsi="宋体" w:eastAsia="宋体" w:cs="宋体"/>
          <w:color w:val="000000"/>
          <w:vertAlign w:val="superscript"/>
        </w:rPr>
        <w:t>3</w:t>
      </w:r>
      <w:r>
        <w:rPr>
          <w:rFonts w:hint="eastAsia" w:ascii="宋体" w:hAnsi="宋体" w:eastAsia="宋体" w:cs="宋体"/>
          <w:color w:val="000000"/>
        </w:rPr>
        <w:t>/h/m）。室体两侧主风管在入口处设有风量调节控制阀，具有调节风量的功能。（按照空调厂家设计在室体开孔即可，所有风嘴、风管等均由空调厂家安装到位）。</w:t>
      </w:r>
    </w:p>
    <w:p w14:paraId="31E75E57">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室体下部设排风，室内排风管设在两侧底部，管上设有排风口，排风口设有过滤板（G3），并设有调节镀锌风阀。排风管道为1.5mm厚镀锌板制作，设置风帽、防风绳等，风管高度出屋面3 m，满足国家、地方性法规要求。可调风管用镀锌钢板制作，排风机设有减震器，并设有耐久的软连接，同时设有排水口及排水管。</w:t>
      </w:r>
    </w:p>
    <w:p w14:paraId="2794125E">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格栅下两侧设</w:t>
      </w:r>
      <w:r>
        <w:rPr>
          <w:rFonts w:hint="eastAsia" w:ascii="宋体" w:hAnsi="宋体" w:eastAsia="宋体" w:cs="宋体"/>
          <w:color w:val="000000" w:themeColor="text1"/>
          <w14:textFill>
            <w14:solidFill>
              <w14:schemeClr w14:val="tx1"/>
            </w14:solidFill>
          </w14:textFill>
        </w:rPr>
        <w:t>接水盘</w:t>
      </w:r>
      <w:r>
        <w:rPr>
          <w:rFonts w:hint="eastAsia" w:ascii="宋体" w:hAnsi="宋体" w:eastAsia="宋体" w:cs="宋体"/>
          <w:color w:val="000000"/>
        </w:rPr>
        <w:t>（</w:t>
      </w:r>
      <w:r>
        <w:rPr>
          <w:rFonts w:hint="eastAsia" w:ascii="宋体" w:hAnsi="宋体" w:eastAsia="宋体" w:cs="宋体"/>
          <w:lang w:eastAsia="zh-CN"/>
        </w:rPr>
        <w:t>点修补、打磨、</w:t>
      </w:r>
      <w:r>
        <w:rPr>
          <w:rFonts w:hint="eastAsia" w:ascii="宋体" w:hAnsi="宋体" w:eastAsia="宋体" w:cs="宋体"/>
          <w:color w:val="000000" w:themeColor="text1"/>
          <w14:textFill>
            <w14:solidFill>
              <w14:schemeClr w14:val="tx1"/>
            </w14:solidFill>
          </w14:textFill>
        </w:rPr>
        <w:t>套色遮蔽打磨室</w:t>
      </w:r>
      <w:r>
        <w:rPr>
          <w:rFonts w:hint="eastAsia" w:ascii="宋体" w:hAnsi="宋体" w:eastAsia="宋体" w:cs="宋体"/>
          <w:lang w:eastAsia="zh-CN"/>
        </w:rPr>
        <w:t>接水盘材料为不锈钢</w:t>
      </w:r>
      <w:r>
        <w:rPr>
          <w:rFonts w:hint="eastAsia" w:ascii="宋体" w:hAnsi="宋体" w:eastAsia="宋体" w:cs="宋体"/>
          <w:color w:val="000000"/>
        </w:rPr>
        <w:t>修饰、预清理、擦净、终检、注蜡、换夹具</w:t>
      </w:r>
      <w:r>
        <w:rPr>
          <w:rFonts w:hint="eastAsia" w:ascii="宋体" w:hAnsi="宋体" w:eastAsia="宋体" w:cs="宋体"/>
          <w:color w:val="000000" w:themeColor="text1"/>
          <w14:textFill>
            <w14:solidFill>
              <w14:schemeClr w14:val="tx1"/>
            </w14:solidFill>
          </w14:textFill>
        </w:rPr>
        <w:t>室</w:t>
      </w:r>
      <w:r>
        <w:rPr>
          <w:rFonts w:hint="eastAsia" w:ascii="宋体" w:hAnsi="宋体" w:eastAsia="宋体" w:cs="宋体"/>
          <w:color w:val="000000" w:themeColor="text1"/>
          <w:lang w:eastAsia="zh-CN"/>
          <w14:textFill>
            <w14:solidFill>
              <w14:schemeClr w14:val="tx1"/>
            </w14:solidFill>
          </w14:textFill>
        </w:rPr>
        <w:t>接水盘材料为镀锌板</w:t>
      </w:r>
      <w:r>
        <w:rPr>
          <w:rFonts w:hint="eastAsia" w:ascii="宋体" w:hAnsi="宋体" w:eastAsia="宋体" w:cs="宋体"/>
          <w:color w:val="000000"/>
        </w:rPr>
        <w:t>）</w:t>
      </w:r>
      <w:r>
        <w:rPr>
          <w:rFonts w:hint="eastAsia" w:ascii="宋体" w:hAnsi="宋体" w:eastAsia="宋体" w:cs="宋体"/>
          <w:color w:val="FF0000"/>
        </w:rPr>
        <w:t>，</w:t>
      </w:r>
      <w:r>
        <w:rPr>
          <w:rFonts w:hint="eastAsia" w:ascii="宋体" w:hAnsi="宋体" w:eastAsia="宋体" w:cs="宋体"/>
          <w:color w:val="000000"/>
        </w:rPr>
        <w:t>接水盘内的格栅下两侧设排风风道及不锈钢接水盘，水盘的宽度设计时确定，接水盘是3mm SUS 304不锈钢制成，翻边高度100 mm，在风管和接水盘之间要做好密封。排风管的吸风口设在与接水盘相交的方向，吸风口处做百叶。接水盘内的水最浅的部位不小于30mm。在接水盘的端头设有自来水进水管和阀门，在接水盘的每侧中部设3 个不锈钢的排水口，排水口处设可更换清洗的过滤罩，进、排水管均采用可拆装的管件连接，并将废液引入积水坑。</w:t>
      </w:r>
    </w:p>
    <w:p w14:paraId="6A00C124">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每6m分别有1个水池，分别供应纯水及工业水。纯水槽和工业水槽做成一个整体，中间使用挡板进行隔离，槽下部设排水阀，距槽底100mm高处设活动的过滤网，网孔为φ10，槽子是SUS 304不锈钢，包括龙头和管路及排水管路，并将槽子进行固定，尺寸设计确定。</w:t>
      </w:r>
    </w:p>
    <w:p w14:paraId="43C6EA96">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打磨室用的纯水和自来水接到使用点不锈钢水槽上，并带阀门，管径按干管DN25，纯水槽的支管按1/2″。</w:t>
      </w:r>
    </w:p>
    <w:p w14:paraId="4316D165">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所有的工作平台每隔6m配有两个供气动工具的压缩空气接口，设压缩空气及气动二联件，同时要设有管路、阀门及快插接头，需保证车间尺寸、品牌统一。</w:t>
      </w:r>
    </w:p>
    <w:p w14:paraId="73CC085D">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各设八个220V防水插座和空调插座</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具体数量、位置以图纸为准</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t>
      </w:r>
    </w:p>
    <w:p w14:paraId="2E6A2253">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打磨室最后一个工位每侧要设压缩空气吹净管及吹净枪。</w:t>
      </w:r>
    </w:p>
    <w:p w14:paraId="155F72F6">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打磨室的操作工位要设高位和低位，具体的高位的高度按车型最高车身尺寸进行确定。</w:t>
      </w:r>
    </w:p>
    <w:p w14:paraId="3297C5D2">
      <w:pPr>
        <w:pStyle w:val="17"/>
        <w:pageBreakBefore w:val="0"/>
        <w:numPr>
          <w:ilvl w:val="0"/>
          <w:numId w:val="7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打磨室内设有可移动的、带轨道、可锁定的踏台，具体样式设计与</w:t>
      </w:r>
      <w:r>
        <w:rPr>
          <w:rFonts w:hint="eastAsia" w:ascii="宋体" w:hAnsi="宋体" w:cs="宋体"/>
          <w:color w:val="000000"/>
          <w:lang w:eastAsia="zh-CN"/>
        </w:rPr>
        <w:t>招标人</w:t>
      </w:r>
      <w:r>
        <w:rPr>
          <w:rFonts w:hint="eastAsia" w:ascii="宋体" w:hAnsi="宋体" w:eastAsia="宋体" w:cs="宋体"/>
          <w:color w:val="000000"/>
        </w:rPr>
        <w:t>确定。</w:t>
      </w:r>
    </w:p>
    <w:p w14:paraId="78716FC5">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bookmarkStart w:id="93" w:name="_Toc31923_WPSOffice_Level2"/>
      <w:r>
        <w:rPr>
          <w:rFonts w:hint="eastAsia" w:ascii="宋体" w:hAnsi="宋体" w:eastAsia="宋体" w:cs="宋体"/>
          <w:b/>
          <w:bCs/>
          <w:sz w:val="24"/>
          <w:szCs w:val="24"/>
          <w:lang w:val="en-US" w:eastAsia="zh-CN"/>
        </w:rPr>
        <w:t>修饰线：</w:t>
      </w:r>
      <w:bookmarkEnd w:id="93"/>
    </w:p>
    <w:p w14:paraId="794783A1">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修饰室是封闭工位，室体尺寸以设计为准，室体采用镀锌板翻边制成的自承重的结构，室体内平整。两侧设有连续的大玻璃窗，其高度按规范进行设计，要求高度在人视野共认中。所有灯具采用立式外挂式灯具，灯要设在大玻璃窗处。</w:t>
      </w:r>
    </w:p>
    <w:p w14:paraId="75AEF63F">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LED灯管，三管布置，照度要均匀，在室体内任何方向和部位要达到1200Lux，照度要均匀，在任何方向和部位要达到，室内照明原则上在车身两侧的壁板大玻璃窗外及室内上方，侧面灯竖排，顶部设两排灯管，整体做成四排，按照仿形门结构；采用分段控制，每12m设一个回路，照明灯的开关设在修饰室的出入口的两个端头，两头的开关都可全部控制整个工位的照明。</w:t>
      </w:r>
    </w:p>
    <w:p w14:paraId="72698BF8">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修饰室室体两侧设夹胶大玻璃，暗螺钉固定玻璃，玻璃框上部两主柱之间壁板采用镀锌钢板翻边制成。</w:t>
      </w:r>
    </w:p>
    <w:p w14:paraId="6CA539BF">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壁板采用镀锌板翻边制成的自承重结构，室体内平整。室体两端每侧均设有钢化玻璃并带有闭门器的门，门外设安全栏杆及踏台。</w:t>
      </w:r>
    </w:p>
    <w:p w14:paraId="391FFC13">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两侧每隔6m分别设1个物料板，板宽为400mm，长为600mm，1mm厚的不锈钢板翻边30mm厚制成，在室体内每侧顶部装有C型轨道及多个吊轮组，物料板吊在C型轨道及多个吊轮组上可移动，物料板与壁板之间要做防摩擦装置。</w:t>
      </w:r>
    </w:p>
    <w:p w14:paraId="6884CECD">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室体内操作地面采用镀锌格栅板，要求车间修饰线操作地面的格栅板的尺寸尽量保持在一个尺寸。</w:t>
      </w:r>
    </w:p>
    <w:p w14:paraId="779B6555">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格栅板支撑横骨架梁的梁上设有限位挡块，防止格栅板滑落，确保安全，其支撑梁的强度要够。</w:t>
      </w:r>
    </w:p>
    <w:p w14:paraId="16047E84">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格栅下部的骨架采用镀锌螺栓连接，并具有可拆性。</w:t>
      </w:r>
    </w:p>
    <w:p w14:paraId="16412AC4">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外设有供风管，送风风源来自空调机组，供风管布置在室外顶部两侧，供风管下部每隔2m长设一个出风嘴，具备调节风向和风量的功能，基本风向，吹向车身两侧顶及操作的位置，调节后要锁牢，并便于操作工人操作（供风量 ＞800m</w:t>
      </w:r>
      <w:r>
        <w:rPr>
          <w:rFonts w:hint="eastAsia" w:ascii="宋体" w:hAnsi="宋体" w:eastAsia="宋体" w:cs="宋体"/>
          <w:color w:val="000000"/>
          <w:vertAlign w:val="superscript"/>
        </w:rPr>
        <w:t>3</w:t>
      </w:r>
      <w:r>
        <w:rPr>
          <w:rFonts w:hint="eastAsia" w:ascii="宋体" w:hAnsi="宋体" w:eastAsia="宋体" w:cs="宋体"/>
          <w:color w:val="000000"/>
        </w:rPr>
        <w:t>/h/m）。室体两侧主风管在入口处设有风量调节控制阀，具有调节风量的功能。（按照空调厂家设计在室体开孔即可，所有风嘴、风管等均由空调厂家安装到位）。</w:t>
      </w:r>
    </w:p>
    <w:p w14:paraId="0757054F">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下部设排风，室内排风管设在两侧底部，管上设有排风口，排风口设有过滤板（G3），并设有调节镀锌风阀。排风管道为1.5mm厚镀锌板制作，设置风帽、防风绳等，风管高度出屋面3m，满足国家、地方法规要求。可调风管用镀锌钢板制作，排风机设有减震器，并设有耐久的软连接，同时设有排水口及排水管。</w:t>
      </w:r>
    </w:p>
    <w:p w14:paraId="47ED00FA">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格栅下两侧设不锈钢接水盘，接水盘内的格栅下两侧设排风风道及不锈钢接水盘，水盘的宽度设计时确定，接水盘是2mm 304不锈钢制成，翻边高度100 mm，在风管和接水盘之间要做好密封。排风管的吸风口设在与接水盘相交的方向，吸风口处做百叶。接水盘内的水最浅的部位不小于30mm。在接水盘的端头设有自来水进水管和阀门，在接水盘的每侧中部设3 个不锈钢的排水口，排水口处设可更换清洗的过滤罩，进、排水管均采用可拆装的管件连接，并将废液引入地漏。</w:t>
      </w:r>
    </w:p>
    <w:p w14:paraId="4EF4D5B3">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按工位需求，两侧设置水池，分别供应纯水及工业水。纯水槽和工业水槽做成一个整体，中间使用挡板进行隔离，槽下部设排水阀，距槽底100mm高处设活动的过滤网，网孔为φ10，槽子是SUS304不锈钢的，包括龙头和管路及排水管路，并将槽子进行固定。修饰室用的纯水和自来水接到使用点不锈钢水槽上，并带阀门，管径按干管DN25，纯水槽的支管按1/2″。</w:t>
      </w:r>
      <w:r>
        <w:rPr>
          <w:rFonts w:hint="eastAsia" w:ascii="宋体" w:hAnsi="宋体" w:cs="宋体"/>
          <w:color w:val="000000"/>
          <w:lang w:eastAsia="zh-CN"/>
        </w:rPr>
        <w:t>投标人</w:t>
      </w:r>
      <w:r>
        <w:rPr>
          <w:rFonts w:hint="eastAsia" w:ascii="宋体" w:hAnsi="宋体" w:eastAsia="宋体" w:cs="宋体"/>
          <w:color w:val="000000"/>
        </w:rPr>
        <w:t>满足</w:t>
      </w:r>
      <w:r>
        <w:rPr>
          <w:rFonts w:hint="eastAsia" w:ascii="宋体" w:hAnsi="宋体" w:cs="宋体"/>
          <w:color w:val="000000"/>
          <w:lang w:eastAsia="zh-CN"/>
        </w:rPr>
        <w:t>招标人</w:t>
      </w:r>
      <w:r>
        <w:rPr>
          <w:rFonts w:hint="eastAsia" w:ascii="宋体" w:hAnsi="宋体" w:eastAsia="宋体" w:cs="宋体"/>
          <w:color w:val="000000"/>
        </w:rPr>
        <w:t>水池技术要求、发图样式，给</w:t>
      </w:r>
      <w:r>
        <w:rPr>
          <w:rFonts w:hint="eastAsia" w:ascii="宋体" w:hAnsi="宋体" w:cs="宋体"/>
          <w:color w:val="000000"/>
          <w:lang w:eastAsia="zh-CN"/>
        </w:rPr>
        <w:t>招标人</w:t>
      </w:r>
      <w:r>
        <w:rPr>
          <w:rFonts w:hint="eastAsia" w:ascii="宋体" w:hAnsi="宋体" w:eastAsia="宋体" w:cs="宋体"/>
          <w:color w:val="000000"/>
        </w:rPr>
        <w:t>确定样式，方可现场安装。</w:t>
      </w:r>
    </w:p>
    <w:p w14:paraId="57C8B3C8">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所有的工作平台按工位需求，配有供气动工具的压缩空气接口，每个工位每一边提供二个接口，设压缩空气及气动二联件，同时要设有管路、阀门及快插接头，需保证车间尺寸、品牌统一。</w:t>
      </w:r>
    </w:p>
    <w:p w14:paraId="131F6AF4">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修饰室的操作工位要设高位和低位，具体的高位的高度按车型最高车身尺寸进行确定。</w:t>
      </w:r>
    </w:p>
    <w:p w14:paraId="1012E4E4">
      <w:pPr>
        <w:pStyle w:val="17"/>
        <w:pageBreakBefore w:val="0"/>
        <w:numPr>
          <w:ilvl w:val="0"/>
          <w:numId w:val="7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修饰室内各预留六个空调电源插座和220V防水插座。</w:t>
      </w:r>
    </w:p>
    <w:p w14:paraId="71E4CE6B">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bookmarkStart w:id="94" w:name="_Toc11724_WPSOffice_Level2"/>
      <w:r>
        <w:rPr>
          <w:rFonts w:hint="eastAsia" w:ascii="宋体" w:hAnsi="宋体" w:eastAsia="宋体" w:cs="宋体"/>
          <w:b/>
          <w:bCs/>
          <w:sz w:val="24"/>
          <w:szCs w:val="24"/>
          <w:lang w:val="en-US" w:eastAsia="zh-CN"/>
        </w:rPr>
        <w:t>终检/换夹具及套色遮蔽打磨室：</w:t>
      </w:r>
      <w:bookmarkEnd w:id="94"/>
    </w:p>
    <w:p w14:paraId="37F40345">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终检/换夹具工位是敞开室体，套色遮蔽打磨室为封闭室体；工位由框架和灯箱组成，框架材质为碳钢，敞开工位的骨架结构要求采用螺栓装配式结构，所有装配连接用螺栓、螺母等的标准件必须采用镀锌件，具有可拆装性。框架两侧的上部可作为公用管道支架。框架两侧及顶部设置照明，照明灯分段控制，钢平台下部周边封严。</w:t>
      </w:r>
    </w:p>
    <w:p w14:paraId="5C99462F">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val="en-US" w:eastAsia="zh-CN"/>
        </w:rPr>
        <w:t>新增部分采用</w:t>
      </w:r>
      <w:r>
        <w:rPr>
          <w:rFonts w:hint="eastAsia" w:ascii="宋体" w:hAnsi="宋体" w:eastAsia="宋体" w:cs="宋体"/>
          <w:color w:val="000000"/>
        </w:rPr>
        <w:t>LED灯管，灯光照度为≥800Lux，照度要均匀，在任何方向和部位要达到；顶部在两风嘴之间设一排照明，工位设有灯箱支架和带玻璃的照明灯箱，所有灯具采用立式</w:t>
      </w:r>
      <w:r>
        <w:rPr>
          <w:rFonts w:hint="eastAsia" w:ascii="宋体" w:hAnsi="宋体" w:eastAsia="宋体" w:cs="宋体"/>
          <w:color w:val="000000"/>
          <w:lang w:eastAsia="zh-CN"/>
        </w:rPr>
        <w:t>（</w:t>
      </w:r>
      <w:r>
        <w:rPr>
          <w:rFonts w:hint="eastAsia" w:ascii="宋体" w:hAnsi="宋体" w:eastAsia="宋体" w:cs="宋体"/>
          <w:color w:val="000000"/>
          <w:lang w:val="en-US" w:eastAsia="zh-CN"/>
        </w:rPr>
        <w:t>根据实际情况确认安装方式</w:t>
      </w:r>
      <w:r>
        <w:rPr>
          <w:rFonts w:hint="eastAsia" w:ascii="宋体" w:hAnsi="宋体" w:eastAsia="宋体" w:cs="宋体"/>
          <w:color w:val="000000"/>
          <w:lang w:eastAsia="zh-CN"/>
        </w:rPr>
        <w:t>）</w:t>
      </w:r>
      <w:r>
        <w:rPr>
          <w:rFonts w:hint="eastAsia" w:ascii="宋体" w:hAnsi="宋体" w:eastAsia="宋体" w:cs="宋体"/>
          <w:color w:val="000000"/>
        </w:rPr>
        <w:t>。</w:t>
      </w:r>
    </w:p>
    <w:p w14:paraId="0E2DA258">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外挂式灯具；在室体内平台两侧各安装地灯两组，使用钢化玻璃进行密封，并保证玻璃密封面与平台表面平齐，满足人行承载能力，在工位出入口的两个端头设照明灯的开关，两头的开关都可全部控制整个工位的照明。</w:t>
      </w:r>
    </w:p>
    <w:p w14:paraId="3BF8B8AA">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室体两端每侧均设有安全栏杆及踏台。</w:t>
      </w:r>
    </w:p>
    <w:p w14:paraId="4443502A">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两侧每隔6m分别设1个物料板，板宽为400mm，长为600mm，1mm厚的不锈钢板翻边30mm厚制成，在室体内每侧顶部装有C型轨道及多个吊轮组，物料板吊在C型轨道及多个吊轮组上可移动，物料板与壁板之间要做防摩擦装置。</w:t>
      </w:r>
    </w:p>
    <w:p w14:paraId="50D8A850">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室体内操作地面采用镀锌格栅板</w:t>
      </w:r>
      <w:r>
        <w:rPr>
          <w:rFonts w:hint="eastAsia" w:ascii="宋体" w:hAnsi="宋体" w:eastAsia="宋体" w:cs="宋体"/>
          <w:color w:val="000000"/>
          <w:lang w:eastAsia="zh-CN"/>
        </w:rPr>
        <w:t>（</w:t>
      </w:r>
      <w:r>
        <w:rPr>
          <w:rFonts w:hint="eastAsia" w:ascii="宋体" w:hAnsi="宋体" w:eastAsia="宋体" w:cs="宋体"/>
          <w:lang w:val="en-US" w:eastAsia="zh-CN"/>
        </w:rPr>
        <w:t>敞开工位操作地板建议改为平钢板）</w:t>
      </w:r>
      <w:r>
        <w:rPr>
          <w:rFonts w:hint="eastAsia" w:ascii="宋体" w:hAnsi="宋体" w:eastAsia="宋体" w:cs="宋体"/>
          <w:color w:val="000000"/>
        </w:rPr>
        <w:t>，要求操作地面的格栅板的尺寸尽量保持在一个尺寸。</w:t>
      </w:r>
    </w:p>
    <w:p w14:paraId="4DF0645D">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格栅板支撑横骨架梁的梁上设有限位挡块，防止格栅板滑落，确保安全，其支撑梁的强度要够。</w:t>
      </w:r>
    </w:p>
    <w:p w14:paraId="73F7B8E8">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格栅下部的骨架采用镀锌螺栓连接，并具有可拆性。</w:t>
      </w:r>
    </w:p>
    <w:p w14:paraId="3530C5C3">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外设有供风管，送风风源来自来自封闭室体排风回用，套色打磨室风源来自空调机组。供风管布置在室外顶部两侧，供风管下部每隔2m长设一个出风嘴，具备调节风向和风量的功能，基本风向，吹向车身两侧顶及操作的位置，调节后要锁牢，并便于操作工人操作（供风量 ＞800 m</w:t>
      </w:r>
      <w:r>
        <w:rPr>
          <w:rFonts w:hint="eastAsia" w:ascii="宋体" w:hAnsi="宋体" w:eastAsia="宋体" w:cs="宋体"/>
          <w:color w:val="000000"/>
          <w:vertAlign w:val="superscript"/>
        </w:rPr>
        <w:t>3</w:t>
      </w:r>
      <w:r>
        <w:rPr>
          <w:rFonts w:hint="eastAsia" w:ascii="宋体" w:hAnsi="宋体" w:eastAsia="宋体" w:cs="宋体"/>
          <w:color w:val="000000"/>
        </w:rPr>
        <w:t>/h/m）。室体两侧主风管在入口处设有风量调节控制阀，具有调节风量的功能。（按照空调厂家设计在室体开孔即可，所有风嘴、风管等均由空调厂家安装到位）。</w:t>
      </w:r>
    </w:p>
    <w:p w14:paraId="35EF030D">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格栅下两侧设不锈钢接水盘，接水盘内的格栅下两侧设排风风道及不锈钢接水盘，水盘的宽度设计时确定，接水盘是2mm SUS304不锈钢制成，翻边高度100 mm，在风管和接水盘之间要做好密封。排风管的吸风口设在与接水盘相交的方向，吸风口处做百叶。接水盘内的水最浅的部位不小于30mm。在接水盘的端头设有自来水进水管和阀门，在接水盘的每侧中部设3 个不锈钢的排水口，排水口处设可更换清洗的过滤罩，进、排水管均采用可拆装的管件连接，并将废液引入地漏。</w:t>
      </w:r>
    </w:p>
    <w:p w14:paraId="2BD0444F">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6m分别有1个水池，分别供应纯水及工业水。纯水槽和工业水槽做成一个整体，中间使用挡板进行隔离，槽下部设排水阀，距槽底100mm高处设活动的过滤网，网孔为φ10，槽子是SUS304不锈钢的，包括龙头和管路及排水管路，并将槽子进行固定。</w:t>
      </w:r>
    </w:p>
    <w:p w14:paraId="164F0A32">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用的纯水和自来水接到使用点不锈钢水槽上，并带阀门，管径按干管DN25，纯水槽的支管按1/2″。</w:t>
      </w:r>
    </w:p>
    <w:p w14:paraId="2B976A40">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所有的工作平台每隔7m配有两个供气动工具的压缩空气接口，每个工位每一边提供二个接口，设压缩空气及气动二联件，同时要设有管路、阀门及快插接头，需保证车间尺寸、品牌统一。</w:t>
      </w:r>
    </w:p>
    <w:p w14:paraId="6DEAD806">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操作工位要设高位和低位，具体的高位的高度按车型最高车身尺寸进行确定。</w:t>
      </w:r>
    </w:p>
    <w:p w14:paraId="0B455FBF">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每个工位有两个220V防水插座，室内预留空调电源插座，具体以现场确定为准。</w:t>
      </w:r>
    </w:p>
    <w:p w14:paraId="777FA86B">
      <w:pPr>
        <w:pStyle w:val="17"/>
        <w:pageBreakBefore w:val="0"/>
        <w:numPr>
          <w:ilvl w:val="0"/>
          <w:numId w:val="7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两个室体内上设有物料盒、物料台、工具箱（其数量、式样另提）。</w:t>
      </w:r>
    </w:p>
    <w:p w14:paraId="74DE9DF4">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bookmarkStart w:id="95" w:name="_Toc16756_WPSOffice_Level2"/>
      <w:r>
        <w:rPr>
          <w:rFonts w:hint="eastAsia" w:ascii="宋体" w:hAnsi="宋体" w:eastAsia="宋体" w:cs="宋体"/>
          <w:b/>
          <w:bCs/>
          <w:sz w:val="24"/>
          <w:szCs w:val="24"/>
          <w:lang w:val="en-US" w:eastAsia="zh-CN"/>
        </w:rPr>
        <w:t>喷蜡室</w:t>
      </w:r>
      <w:bookmarkEnd w:id="95"/>
      <w:r>
        <w:rPr>
          <w:rFonts w:hint="eastAsia" w:ascii="宋体" w:hAnsi="宋体" w:eastAsia="宋体" w:cs="宋体"/>
          <w:b/>
          <w:bCs/>
          <w:sz w:val="24"/>
          <w:szCs w:val="24"/>
          <w:lang w:val="en-US" w:eastAsia="zh-CN"/>
        </w:rPr>
        <w:t>：</w:t>
      </w:r>
    </w:p>
    <w:p w14:paraId="678A8807">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rPr>
        <w:t>喷蜡室体为密闭室体，</w:t>
      </w:r>
      <w:r>
        <w:rPr>
          <w:rFonts w:hint="eastAsia" w:ascii="宋体" w:hAnsi="宋体" w:eastAsia="宋体" w:cs="宋体"/>
          <w:color w:val="000000"/>
        </w:rPr>
        <w:t>喷蜡室室体采用镀锌板翻边制成的自承重的结构，壁板为1.5mm厚镀锌钢板和3+3 mm厚夹胶玻璃构成，镀锌板之间采用折边螺栓连接，内壁光滑，外壁也需用镀锌板封闭成光滑表面，支撑框架采用热镀锌材料。</w:t>
      </w:r>
    </w:p>
    <w:p w14:paraId="6E145334">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操作台靠输送两侧采用铺镀锌格栅板，格栅板的尺寸要统一，格栅板支撑横骨架梁上设有限位挡块，防止格栅板滑落，确保安全，其支撑梁的强度要够。格栅下两侧设接蜡盘，接水盘是2mm 镀锌钢板制成，翻边高度50 mm，在风管和接蜡盘之间要做好密封。并额外提供20%备用格栅板。</w:t>
      </w:r>
    </w:p>
    <w:p w14:paraId="73B57F6C">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的送风风源来自空调机组，供风管上每隔2m长设一个带百叶风口，风口设在下部和靠近车身方身向的一面。采用长条可调风量的风口，具备调节风向、风量的功能，基本风向，吹向车身两侧顶位置，调节后要锁牢，并便于操作工人操作（供风量按2000 m</w:t>
      </w:r>
      <w:r>
        <w:rPr>
          <w:rFonts w:hint="eastAsia" w:ascii="宋体" w:hAnsi="宋体" w:eastAsia="宋体" w:cs="宋体"/>
          <w:color w:val="000000"/>
          <w:vertAlign w:val="superscript"/>
        </w:rPr>
        <w:t>3</w:t>
      </w:r>
      <w:r>
        <w:rPr>
          <w:rFonts w:hint="eastAsia" w:ascii="宋体" w:hAnsi="宋体" w:eastAsia="宋体" w:cs="宋体"/>
          <w:color w:val="000000"/>
        </w:rPr>
        <w:t>/h/m供给，上堵件工位及擦净工位内供风量按800 m</w:t>
      </w:r>
      <w:r>
        <w:rPr>
          <w:rFonts w:hint="eastAsia" w:ascii="宋体" w:hAnsi="宋体" w:eastAsia="宋体" w:cs="宋体"/>
          <w:color w:val="000000"/>
          <w:vertAlign w:val="superscript"/>
        </w:rPr>
        <w:t>3</w:t>
      </w:r>
      <w:r>
        <w:rPr>
          <w:rFonts w:hint="eastAsia" w:ascii="宋体" w:hAnsi="宋体" w:eastAsia="宋体" w:cs="宋体"/>
          <w:color w:val="000000"/>
        </w:rPr>
        <w:t>/h/m供给），（负责按照空调厂家设计在室体开孔即可，所有风嘴、风管等均由空调厂家安装到位）。</w:t>
      </w:r>
    </w:p>
    <w:p w14:paraId="0FDD3ECC">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所有车身表面要有800Lux光照，灯管采用LED，灯光要均匀。</w:t>
      </w:r>
    </w:p>
    <w:p w14:paraId="080EE01F">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内操作面下设两排排风管，风管内置，在内置风管上设有风量调节阀排风通过过滤后排到屋顶外，过滤器为G3，可调风管用镀锌钢板制作，排风机设有减震器，并设有耐久的软连接，同时设有排水口及排水管。排风管为1.5mm厚镀锌板制作，设置风帽、防风绳等，风管高度出屋面3m，满足国家、地方法规要求。</w:t>
      </w:r>
    </w:p>
    <w:p w14:paraId="3774B112">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 xml:space="preserve">各设有四个220V防爆插座和空调电源插座。  </w:t>
      </w:r>
    </w:p>
    <w:p w14:paraId="0545EDC7">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室体内的灯光等设施需考虑防爆要求。</w:t>
      </w:r>
    </w:p>
    <w:p w14:paraId="0C039A89">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每个工位及工位的两侧灯光要独立控制。在工位出入口的两个端头设照明灯的开关，两头的开关都可全部控制整个工位的照明。</w:t>
      </w:r>
    </w:p>
    <w:p w14:paraId="1808BDF4">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喷蜡室内的压缩空气管及其元件设计并安装到位，室内两侧需安装蜡枪支架、带门锁存放蜡枪不锈钢工具盒、随车辅具盒、蜡管吊架及C型滑轨等（具体数量另定）。</w:t>
      </w:r>
    </w:p>
    <w:p w14:paraId="630A0811">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室体两端每侧均设有钢化玻璃并带有闭门器的门，门外设安全栏杆及踏台在喷蜡室的。</w:t>
      </w:r>
    </w:p>
    <w:p w14:paraId="229E40D1">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喷蜡线出口设有镀锌板接蜡盘。</w:t>
      </w:r>
    </w:p>
    <w:p w14:paraId="7F30E3C1">
      <w:pPr>
        <w:pStyle w:val="17"/>
        <w:pageBreakBefore w:val="0"/>
        <w:numPr>
          <w:ilvl w:val="0"/>
          <w:numId w:val="7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充分考虑高低工位设计，喷蜡人员操作更人性化。</w:t>
      </w:r>
    </w:p>
    <w:p w14:paraId="4D78E3EB">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bookmarkStart w:id="96" w:name="_Toc7629_WPSOffice_Level2"/>
      <w:r>
        <w:rPr>
          <w:rFonts w:hint="eastAsia" w:ascii="宋体" w:hAnsi="宋体" w:eastAsia="宋体" w:cs="宋体"/>
          <w:b/>
          <w:bCs/>
          <w:sz w:val="24"/>
          <w:szCs w:val="24"/>
          <w:lang w:val="en-US" w:eastAsia="zh-CN"/>
        </w:rPr>
        <w:t>点修补室</w:t>
      </w:r>
      <w:bookmarkEnd w:id="96"/>
      <w:r>
        <w:rPr>
          <w:rFonts w:hint="eastAsia" w:ascii="宋体" w:hAnsi="宋体" w:eastAsia="宋体" w:cs="宋体"/>
          <w:b/>
          <w:bCs/>
          <w:sz w:val="24"/>
          <w:szCs w:val="24"/>
          <w:lang w:val="en-US" w:eastAsia="zh-CN"/>
        </w:rPr>
        <w:t>：</w:t>
      </w:r>
    </w:p>
    <w:p w14:paraId="63CECB1D">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点修补室是个封闭室体，室体采用镀锌板翻边制成的自承重的结构，室体内平整。两侧设有连续的大玻璃窗，其高度按规范进行设计，要求高度在人视野共认中。所有灯具采用立式外挂式灯具，灯要设在大玻璃窗处。</w:t>
      </w:r>
    </w:p>
    <w:p w14:paraId="4D17D4C4">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LED灯管，三管布置，在室体内任何方向和部位要达到1200Lux，照度要均匀，在任何方向和部位要达到，室内照明原则上在车身两侧的壁板大玻璃窗外及室内上方，侧面灯竖排，顶部设一排灯管，整体做成三排</w:t>
      </w:r>
      <w:r>
        <w:rPr>
          <w:rFonts w:hint="eastAsia" w:ascii="宋体" w:hAnsi="宋体" w:eastAsia="宋体" w:cs="宋体"/>
          <w:color w:val="000000"/>
          <w:lang w:eastAsia="zh-CN"/>
        </w:rPr>
        <w:t>（具体按安装图纸确定）</w:t>
      </w:r>
      <w:r>
        <w:rPr>
          <w:rFonts w:hint="eastAsia" w:ascii="宋体" w:hAnsi="宋体" w:eastAsia="宋体" w:cs="宋体"/>
          <w:color w:val="000000"/>
        </w:rPr>
        <w:t>；采用分段控制，照明灯的开关设在修饰室的出入口的两个端头，两头的开关都可全部控制整个工位的照明。采用防爆插座、插头及防爆开关。</w:t>
      </w:r>
    </w:p>
    <w:p w14:paraId="7B06D6AF">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每个室体内设四个防爆插座，插座的功率要大于每个点修补烤灯的功率。</w:t>
      </w:r>
    </w:p>
    <w:p w14:paraId="56D8C118">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室体两侧设夹胶大玻璃，暗螺钉固定玻璃，玻璃框上部两主柱之间壁板采用镀锌钢板翻边制成。</w:t>
      </w:r>
    </w:p>
    <w:p w14:paraId="18A9C5D8">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室体壁板采用镀锌板翻边制成。室体两端每侧均设有钢化玻璃并带有闭门器的门，门外设安全栏杆及踏台。</w:t>
      </w:r>
    </w:p>
    <w:p w14:paraId="21AF3FC3">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两侧每侧每6m分别设1个物料板，板宽为400mm，长为600mm，1mm厚的不锈钢板翻边30mm厚制成，在室体内每侧顶部装有C型轨道及多个吊轮组，物料板吊在C型轨道及多个吊轮组上可移动，物料板与壁板之间要做防摩擦装置。</w:t>
      </w:r>
    </w:p>
    <w:p w14:paraId="5F38B784">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室体左右分别有2个水池，分别供应纯水及工业水。纯水槽和工业水槽做成一个整体，中间使用挡板进行隔离，槽下部设排水阀，距槽底100mm高处设活动的过滤网，网孔为φ10，槽子是SUS304不锈钢的，包括龙头和管路及排水管路，并将槽子进行固定。</w:t>
      </w:r>
      <w:r>
        <w:rPr>
          <w:rFonts w:hint="eastAsia" w:ascii="宋体" w:hAnsi="宋体" w:cs="宋体"/>
          <w:color w:val="000000"/>
          <w:lang w:eastAsia="zh-CN"/>
        </w:rPr>
        <w:t>投标人</w:t>
      </w:r>
      <w:r>
        <w:rPr>
          <w:rFonts w:hint="eastAsia" w:ascii="宋体" w:hAnsi="宋体" w:eastAsia="宋体" w:cs="宋体"/>
          <w:color w:val="000000"/>
        </w:rPr>
        <w:t>满足</w:t>
      </w:r>
      <w:r>
        <w:rPr>
          <w:rFonts w:hint="eastAsia" w:ascii="宋体" w:hAnsi="宋体" w:cs="宋体"/>
          <w:color w:val="000000"/>
          <w:lang w:eastAsia="zh-CN"/>
        </w:rPr>
        <w:t>招标人</w:t>
      </w:r>
      <w:r>
        <w:rPr>
          <w:rFonts w:hint="eastAsia" w:ascii="宋体" w:hAnsi="宋体" w:eastAsia="宋体" w:cs="宋体"/>
          <w:color w:val="000000"/>
        </w:rPr>
        <w:t>水池技术要求、发图样式，给</w:t>
      </w:r>
      <w:r>
        <w:rPr>
          <w:rFonts w:hint="eastAsia" w:ascii="宋体" w:hAnsi="宋体" w:cs="宋体"/>
          <w:color w:val="000000"/>
          <w:lang w:eastAsia="zh-CN"/>
        </w:rPr>
        <w:t>招标人</w:t>
      </w:r>
      <w:r>
        <w:rPr>
          <w:rFonts w:hint="eastAsia" w:ascii="宋体" w:hAnsi="宋体" w:eastAsia="宋体" w:cs="宋体"/>
          <w:color w:val="000000"/>
        </w:rPr>
        <w:t>确定样式，方可现场安装。</w:t>
      </w:r>
    </w:p>
    <w:p w14:paraId="7A5BFCE4">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修补室用的纯水和自来水接到使用点不锈钢水槽上，并带阀门，管径按干管DN25，纯水槽的支管按1/2″。</w:t>
      </w:r>
    </w:p>
    <w:p w14:paraId="4E2138C9">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点修补室每个室体要设四处压缩空气及气动二联件，同时要设有管路、阀门及快插接头，需保证车间尺寸、品牌统一。</w:t>
      </w:r>
    </w:p>
    <w:p w14:paraId="18AFECCC">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室体内操作地面采用镀锌格栅板和钢平板，车身下部为格栅，存放烤灯及烤灯移动区域为钢平板，平板区域需刷涂聚氨酯耐磨涂料，要求点修补室操作地面所有格栅板的尺寸保持在一个尺寸。</w:t>
      </w:r>
    </w:p>
    <w:p w14:paraId="3A8E3DFD">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格栅板支撑横骨架梁的梁上设有限位档块，防止格栅板滑落，确保安全，其支撑梁的强度要够。</w:t>
      </w:r>
    </w:p>
    <w:p w14:paraId="1A2CF454">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格栅下部的骨架采用镀锌螺栓连接，并具有可拆性。</w:t>
      </w:r>
    </w:p>
    <w:p w14:paraId="757D9D32">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点修补室送风采用空调送风，送风风速度为≥0.2m/s，点修补室进风口从点修补室一端进入，在入口处设风量调节阀。</w:t>
      </w:r>
    </w:p>
    <w:p w14:paraId="2E34F226">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点修补顶部过滤棉及过滤装置要求同喷漆室内的静压室要求一致。</w:t>
      </w:r>
    </w:p>
    <w:p w14:paraId="384AC361">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在每个点修补的进风室的壁板上设有向内开的、带压紧、压严、内外设手柄的密封检修门。门的净尺寸不小于高900mm X 宽700mm（只设在带走道的一侧）。</w:t>
      </w:r>
    </w:p>
    <w:p w14:paraId="366A3968">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格栅下两侧设不锈钢接水盘，接水盘内的格栅下两侧设排风风道及不锈钢接水盘，水盘的宽度设计时确定，接水盘是3mm SUS304不锈钢制成，翻边高度100 mm，在风管和接水盘之间要做好密封。排风管的吸风口设在与接水盘相交的方向，吸风口处做百叶。接水盘内的水最浅的部位不小于30mm。在接水盘的端头设有自来水进水管和阀门，在接水盘的每侧中部设3 个不锈钢的排水口，排水口处设可更换清洗的过滤罩，进、排水管均采用可拆装的管件连接，并将废液引入地漏。</w:t>
      </w:r>
    </w:p>
    <w:p w14:paraId="63393794">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内操作面下设两排排风管，风管内置，在内置风管上设有风量调节阀，排风通过排风口的过滤板（G4）及活性炭吸附过滤后排到屋顶外，排风管道为1.5mm厚镀锌板制作，设置风帽、防风绳等，风管高度出屋面3m，满足国家、地方法规要求。可调风管用镀锌钢板制作，排风机设有减震器，并设有耐久的软连接，同时设有排水口及排水管。</w:t>
      </w:r>
    </w:p>
    <w:p w14:paraId="2AE7C3ED">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lang w:val="en-US" w:eastAsia="zh-CN"/>
          <w14:textFill>
            <w14:solidFill>
              <w14:schemeClr w14:val="tx1"/>
            </w14:solidFill>
          </w14:textFill>
        </w:rPr>
        <w:t>两</w:t>
      </w:r>
      <w:r>
        <w:rPr>
          <w:rFonts w:hint="eastAsia" w:ascii="宋体" w:hAnsi="宋体" w:eastAsia="宋体" w:cs="宋体"/>
          <w:color w:val="000000" w:themeColor="text1"/>
          <w14:textFill>
            <w14:solidFill>
              <w14:schemeClr w14:val="tx1"/>
            </w14:solidFill>
          </w14:textFill>
        </w:rPr>
        <w:t>个点修补室配</w:t>
      </w:r>
      <w:r>
        <w:rPr>
          <w:rFonts w:hint="eastAsia" w:ascii="宋体" w:hAnsi="宋体" w:eastAsia="宋体" w:cs="宋体"/>
          <w:color w:val="000000" w:themeColor="text1"/>
          <w:lang w:val="en-US" w:eastAsia="zh-CN"/>
          <w14:textFill>
            <w14:solidFill>
              <w14:schemeClr w14:val="tx1"/>
            </w14:solidFill>
          </w14:textFill>
        </w:rPr>
        <w:t>4</w:t>
      </w:r>
      <w:r>
        <w:rPr>
          <w:rFonts w:hint="eastAsia" w:ascii="宋体" w:hAnsi="宋体" w:eastAsia="宋体" w:cs="宋体"/>
          <w:color w:val="000000" w:themeColor="text1"/>
          <w14:textFill>
            <w14:solidFill>
              <w14:schemeClr w14:val="tx1"/>
            </w14:solidFill>
          </w14:textFill>
        </w:rPr>
        <w:t>台红外线烤灯</w:t>
      </w:r>
      <w:r>
        <w:rPr>
          <w:rFonts w:hint="eastAsia" w:ascii="宋体" w:hAnsi="宋体" w:eastAsia="宋体" w:cs="宋体"/>
          <w:color w:val="000000"/>
        </w:rPr>
        <w:t>。（烤灯带温度设定，功率分档可调，自动控制，烤灯灯头位置、方向可随意调整并自动锁紧），另其中每个室体配备壁挂式可多方位移动烤灯2台，分别位于室体顶部和侧面。</w:t>
      </w:r>
    </w:p>
    <w:p w14:paraId="799FDD88">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室体设计时顶部需考虑将来安装轨道式烤灯的承重。</w:t>
      </w:r>
    </w:p>
    <w:p w14:paraId="4A3D579E">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烤灯烘烤时间可以在0～2h内任意设置，加热温度可在50～180℃内任意设定，通过温度控制及反馈系统可显示实时的工件表面烘烤温度，温度控制精度为±3℃，并可以按预设的温度曲线进行加温。</w:t>
      </w:r>
    </w:p>
    <w:p w14:paraId="5172BFB4">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红外烤灯增加距离传感器，距离车身最佳的烘烤距离才能进行烘烤。</w:t>
      </w:r>
    </w:p>
    <w:p w14:paraId="01BE296D">
      <w:pPr>
        <w:pStyle w:val="17"/>
        <w:pageBreakBefore w:val="0"/>
        <w:numPr>
          <w:ilvl w:val="0"/>
          <w:numId w:val="7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每个点补室内的所有设备应考虑到防爆。</w:t>
      </w:r>
      <w:bookmarkStart w:id="97" w:name="_Toc2575_WPSOffice_Level2"/>
    </w:p>
    <w:p w14:paraId="64ECFEA7">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面漆Audit 室</w:t>
      </w:r>
      <w:bookmarkEnd w:id="97"/>
      <w:r>
        <w:rPr>
          <w:rFonts w:hint="eastAsia" w:ascii="宋体" w:hAnsi="宋体" w:eastAsia="宋体" w:cs="宋体"/>
          <w:b/>
          <w:bCs/>
          <w:sz w:val="24"/>
          <w:szCs w:val="24"/>
          <w:lang w:val="en-US" w:eastAsia="zh-CN"/>
        </w:rPr>
        <w:t>：</w:t>
      </w:r>
    </w:p>
    <w:p w14:paraId="47B4DAC2">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Audit（评价室）是</w:t>
      </w:r>
      <w:r>
        <w:rPr>
          <w:rFonts w:hint="eastAsia" w:ascii="宋体" w:hAnsi="宋体" w:eastAsia="宋体" w:cs="宋体"/>
          <w:color w:val="000000" w:themeColor="text1"/>
          <w:lang w:val="en-US" w:eastAsia="zh-CN"/>
          <w14:textFill>
            <w14:solidFill>
              <w14:schemeClr w14:val="tx1"/>
            </w14:solidFill>
          </w14:textFill>
        </w:rPr>
        <w:t>敞开</w:t>
      </w:r>
      <w:r>
        <w:rPr>
          <w:rFonts w:hint="eastAsia" w:ascii="宋体" w:hAnsi="宋体" w:eastAsia="宋体" w:cs="宋体"/>
          <w:color w:val="000000"/>
        </w:rPr>
        <w:t>，室体全玻璃房结构，室体两端头设有自动感应可移动的玻璃门，同时具备手动功能，室体内平整。两侧所有灯具采用立式外挂式灯具</w:t>
      </w:r>
      <w:r>
        <w:rPr>
          <w:rFonts w:hint="eastAsia" w:ascii="宋体" w:hAnsi="宋体" w:eastAsia="宋体" w:cs="宋体"/>
          <w:color w:val="000000"/>
          <w:lang w:eastAsia="zh-CN"/>
        </w:rPr>
        <w:t>（</w:t>
      </w:r>
      <w:r>
        <w:rPr>
          <w:rFonts w:hint="eastAsia" w:ascii="宋体" w:hAnsi="宋体" w:eastAsia="宋体" w:cs="宋体"/>
          <w:color w:val="000000"/>
          <w:lang w:val="en-US" w:eastAsia="zh-CN"/>
        </w:rPr>
        <w:t>根据实际情况确认安装方式</w:t>
      </w:r>
      <w:r>
        <w:rPr>
          <w:rFonts w:hint="eastAsia" w:ascii="宋体" w:hAnsi="宋体" w:eastAsia="宋体" w:cs="宋体"/>
          <w:color w:val="000000"/>
          <w:lang w:eastAsia="zh-CN"/>
        </w:rPr>
        <w:t>）</w:t>
      </w:r>
      <w:r>
        <w:rPr>
          <w:rFonts w:hint="eastAsia" w:ascii="宋体" w:hAnsi="宋体" w:eastAsia="宋体" w:cs="宋体"/>
          <w:color w:val="000000"/>
        </w:rPr>
        <w:t>。</w:t>
      </w:r>
    </w:p>
    <w:p w14:paraId="012E35F8">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室体下部操作地面采用钢平板，钢平板四周设踢脚板，进口设钢制踏步及安全栏杆，在Audit间一端设平钢板，使两侧钢平台连通，两端分别设有安全栏杆。</w:t>
      </w:r>
    </w:p>
    <w:p w14:paraId="7802AC70">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室体设有足够照度的照明灯箱，侧面灯竖排，顶部设两排灯管，整体做成四排，按照仿形门结构灯管采用光学棱镜灯。灯光照度为1200Lux，照度要均匀，在任何方向和部位要达到</w:t>
      </w:r>
      <w:r>
        <w:rPr>
          <w:rFonts w:hint="eastAsia" w:ascii="宋体" w:hAnsi="宋体" w:eastAsia="宋体" w:cs="宋体"/>
          <w:color w:val="000000"/>
          <w:lang w:eastAsia="zh-CN"/>
        </w:rPr>
        <w:t>（</w:t>
      </w:r>
      <w:r>
        <w:rPr>
          <w:rFonts w:hint="eastAsia" w:ascii="宋体" w:hAnsi="宋体" w:eastAsia="宋体" w:cs="宋体"/>
          <w:color w:val="000000"/>
          <w:lang w:val="en-US" w:eastAsia="zh-CN"/>
        </w:rPr>
        <w:t>根据实际情况确认安装方式</w:t>
      </w:r>
      <w:r>
        <w:rPr>
          <w:rFonts w:hint="eastAsia" w:ascii="宋体" w:hAnsi="宋体" w:eastAsia="宋体" w:cs="宋体"/>
          <w:color w:val="000000"/>
          <w:lang w:eastAsia="zh-CN"/>
        </w:rPr>
        <w:t>）</w:t>
      </w:r>
      <w:r>
        <w:rPr>
          <w:rFonts w:hint="eastAsia" w:ascii="宋体" w:hAnsi="宋体" w:eastAsia="宋体" w:cs="宋体"/>
          <w:color w:val="000000"/>
        </w:rPr>
        <w:t>。</w:t>
      </w:r>
    </w:p>
    <w:p w14:paraId="552EE70C">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的送风风源来自空调机组，供风管上每隔2m长设一个带百叶风口，风口设在下部和靠近车身方向的一面。采用长条可调风量的风口，具备调节风向、风量的功能，基本风向，吹向车身两侧顶位置，调节后要锁牢，并便于操作工人操作（供风量按800 m3/h/m供给，按照空调厂家设计在室体开孔即可，所有风嘴、风管等均有空调厂家安装到位）。</w:t>
      </w:r>
    </w:p>
    <w:p w14:paraId="05B1FF2A">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室体设音响和无线话筒一组，用于Audit（评价室）讲评。</w:t>
      </w:r>
    </w:p>
    <w:p w14:paraId="717DC70F">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有两个220V防水插座和一个空调插座。</w:t>
      </w:r>
    </w:p>
    <w:p w14:paraId="258918AE">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室体内侧进口处</w:t>
      </w:r>
      <w:r>
        <w:rPr>
          <w:rFonts w:hint="eastAsia" w:ascii="宋体" w:hAnsi="宋体" w:eastAsia="宋体" w:cs="宋体"/>
          <w:color w:val="000000"/>
          <w:lang w:val="en-US" w:eastAsia="zh-CN"/>
        </w:rPr>
        <w:t>配备移动看板</w:t>
      </w:r>
      <w:r>
        <w:rPr>
          <w:rFonts w:hint="eastAsia" w:ascii="宋体" w:hAnsi="宋体" w:eastAsia="宋体" w:cs="宋体"/>
          <w:color w:val="000000"/>
        </w:rPr>
        <w:t>，用于Audit（评价室）记录、目视。</w:t>
      </w:r>
    </w:p>
    <w:p w14:paraId="365DC5EC">
      <w:pPr>
        <w:pStyle w:val="17"/>
        <w:pageBreakBefore w:val="0"/>
        <w:numPr>
          <w:ilvl w:val="0"/>
          <w:numId w:val="7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设二处压缩空气及气动二联件，同时要设有管路、阀门及快插接头。</w:t>
      </w:r>
    </w:p>
    <w:p w14:paraId="2FCD0A6C">
      <w:pPr>
        <w:pStyle w:val="2"/>
        <w:pageBreakBefore w:val="0"/>
        <w:numPr>
          <w:ilvl w:val="0"/>
          <w:numId w:val="65"/>
        </w:numPr>
        <w:tabs>
          <w:tab w:val="left" w:pos="0"/>
        </w:tabs>
        <w:kinsoku/>
        <w:wordWrap/>
        <w:topLinePunct w:val="0"/>
        <w:bidi w:val="0"/>
        <w:adjustRightInd w:val="0"/>
        <w:snapToGrid w:val="0"/>
        <w:spacing w:before="0" w:afterAutospacing="0" w:line="360" w:lineRule="auto"/>
        <w:ind w:left="420" w:leftChars="0" w:hanging="42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滑橇清洗间</w:t>
      </w:r>
    </w:p>
    <w:p w14:paraId="64C88BE3">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主要清洗滑撬，包括滑撬清洗机主体、排风系统、废水收集排放系统，相应的管道、阀门等，并与进水管路连接，设置排水沟与下道相连。（提资）</w:t>
      </w:r>
    </w:p>
    <w:p w14:paraId="6A9BC1B5">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滑撬清洗机压力可以达到滑撬冲洗的要求。（提资）</w:t>
      </w:r>
    </w:p>
    <w:p w14:paraId="1C1A68DD">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滑撬清洗间强度可以经受清洗机冲洗。地面坡度设置，放置格栅，保证无积水。地坑设置隔网，便于残渣清理。</w:t>
      </w:r>
      <w:r>
        <w:rPr>
          <w:rFonts w:hint="eastAsia" w:ascii="宋体" w:hAnsi="宋体" w:eastAsia="宋体" w:cs="宋体"/>
          <w:lang w:eastAsia="zh-CN"/>
        </w:rPr>
        <w:t>（</w:t>
      </w:r>
      <w:r>
        <w:rPr>
          <w:rFonts w:hint="eastAsia" w:ascii="宋体" w:hAnsi="宋体" w:eastAsia="宋体" w:cs="宋体"/>
          <w:lang w:val="en-US" w:eastAsia="zh-CN"/>
        </w:rPr>
        <w:t>提资</w:t>
      </w:r>
      <w:r>
        <w:rPr>
          <w:rFonts w:hint="eastAsia" w:ascii="宋体" w:hAnsi="宋体" w:eastAsia="宋体" w:cs="宋体"/>
          <w:lang w:eastAsia="zh-CN"/>
        </w:rPr>
        <w:t>）</w:t>
      </w:r>
    </w:p>
    <w:p w14:paraId="365E3F39">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设备配置</w:t>
      </w:r>
    </w:p>
    <w:p w14:paraId="25B002D2">
      <w:pPr>
        <w:pageBreakBefore w:val="0"/>
        <w:tabs>
          <w:tab w:val="left" w:pos="993"/>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高压清洗主机技术标准</w:t>
      </w:r>
      <w:r>
        <w:rPr>
          <w:rFonts w:hint="eastAsia" w:ascii="宋体" w:hAnsi="宋体" w:eastAsia="宋体" w:cs="宋体"/>
          <w:b w:val="0"/>
          <w:bCs/>
          <w:color w:val="000000" w:themeColor="text1"/>
          <w:sz w:val="24"/>
          <w:szCs w:val="24"/>
          <w:lang w:val="en-US" w:eastAsia="zh-CN"/>
          <w14:textFill>
            <w14:solidFill>
              <w14:schemeClr w14:val="tx1"/>
            </w14:solidFill>
          </w14:textFill>
        </w:rPr>
        <w:t>（仅供参考）</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9"/>
        <w:gridCol w:w="4244"/>
        <w:gridCol w:w="3086"/>
      </w:tblGrid>
      <w:tr w14:paraId="3D70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56C7C4C3">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序号</w:t>
            </w:r>
          </w:p>
        </w:tc>
        <w:tc>
          <w:tcPr>
            <w:tcW w:w="4244" w:type="dxa"/>
            <w:vAlign w:val="center"/>
          </w:tcPr>
          <w:p w14:paraId="7CF47952">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项目名称</w:t>
            </w:r>
          </w:p>
        </w:tc>
        <w:tc>
          <w:tcPr>
            <w:tcW w:w="3086" w:type="dxa"/>
            <w:vAlign w:val="center"/>
          </w:tcPr>
          <w:p w14:paraId="46316A8B">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内容</w:t>
            </w:r>
          </w:p>
        </w:tc>
      </w:tr>
      <w:tr w14:paraId="503C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041E3DBC">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1</w:t>
            </w:r>
          </w:p>
        </w:tc>
        <w:tc>
          <w:tcPr>
            <w:tcW w:w="4244" w:type="dxa"/>
            <w:vAlign w:val="center"/>
          </w:tcPr>
          <w:p w14:paraId="44516622">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设备型号</w:t>
            </w:r>
          </w:p>
        </w:tc>
        <w:tc>
          <w:tcPr>
            <w:tcW w:w="3086" w:type="dxa"/>
            <w:vAlign w:val="center"/>
          </w:tcPr>
          <w:p w14:paraId="3F588B66">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p>
        </w:tc>
      </w:tr>
      <w:tr w14:paraId="6321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56301C47">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2</w:t>
            </w:r>
          </w:p>
        </w:tc>
        <w:tc>
          <w:tcPr>
            <w:tcW w:w="4244" w:type="dxa"/>
            <w:vAlign w:val="center"/>
          </w:tcPr>
          <w:p w14:paraId="40C6864C">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驱动方式</w:t>
            </w:r>
          </w:p>
        </w:tc>
        <w:tc>
          <w:tcPr>
            <w:tcW w:w="3086" w:type="dxa"/>
            <w:vAlign w:val="center"/>
          </w:tcPr>
          <w:p w14:paraId="77D43E56">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电</w:t>
            </w:r>
          </w:p>
        </w:tc>
      </w:tr>
      <w:tr w14:paraId="29D6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62B52AFE">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3</w:t>
            </w:r>
          </w:p>
        </w:tc>
        <w:tc>
          <w:tcPr>
            <w:tcW w:w="4244" w:type="dxa"/>
            <w:vAlign w:val="center"/>
          </w:tcPr>
          <w:p w14:paraId="4C387160">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最大工作压力</w:t>
            </w:r>
          </w:p>
        </w:tc>
        <w:tc>
          <w:tcPr>
            <w:tcW w:w="3086" w:type="dxa"/>
            <w:vAlign w:val="center"/>
          </w:tcPr>
          <w:p w14:paraId="49298544">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1800bar</w:t>
            </w:r>
          </w:p>
        </w:tc>
      </w:tr>
      <w:tr w14:paraId="6E33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171AFB45">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4</w:t>
            </w:r>
          </w:p>
        </w:tc>
        <w:tc>
          <w:tcPr>
            <w:tcW w:w="4244" w:type="dxa"/>
            <w:vAlign w:val="center"/>
          </w:tcPr>
          <w:p w14:paraId="08E762EF">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流量</w:t>
            </w:r>
          </w:p>
        </w:tc>
        <w:tc>
          <w:tcPr>
            <w:tcW w:w="3086" w:type="dxa"/>
            <w:vAlign w:val="center"/>
          </w:tcPr>
          <w:p w14:paraId="5123C7D3">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9L/min</w:t>
            </w:r>
          </w:p>
        </w:tc>
      </w:tr>
      <w:tr w14:paraId="0BB6C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0D698BEC">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5</w:t>
            </w:r>
          </w:p>
        </w:tc>
        <w:tc>
          <w:tcPr>
            <w:tcW w:w="4244" w:type="dxa"/>
            <w:vAlign w:val="center"/>
          </w:tcPr>
          <w:p w14:paraId="08C2281D">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电机转速</w:t>
            </w:r>
          </w:p>
        </w:tc>
        <w:tc>
          <w:tcPr>
            <w:tcW w:w="3086" w:type="dxa"/>
            <w:vAlign w:val="center"/>
          </w:tcPr>
          <w:p w14:paraId="20ADB0EC">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1500r/min</w:t>
            </w:r>
          </w:p>
        </w:tc>
      </w:tr>
      <w:tr w14:paraId="0C601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359CAEA6">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6</w:t>
            </w:r>
          </w:p>
        </w:tc>
        <w:tc>
          <w:tcPr>
            <w:tcW w:w="4244" w:type="dxa"/>
            <w:vAlign w:val="center"/>
          </w:tcPr>
          <w:p w14:paraId="085BC62A">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泵转速</w:t>
            </w:r>
          </w:p>
        </w:tc>
        <w:tc>
          <w:tcPr>
            <w:tcW w:w="3086" w:type="dxa"/>
            <w:vAlign w:val="center"/>
          </w:tcPr>
          <w:p w14:paraId="23E5E547">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1000r/min</w:t>
            </w:r>
          </w:p>
        </w:tc>
      </w:tr>
      <w:tr w14:paraId="592DC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005EA024">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7</w:t>
            </w:r>
          </w:p>
        </w:tc>
        <w:tc>
          <w:tcPr>
            <w:tcW w:w="4244" w:type="dxa"/>
            <w:vAlign w:val="center"/>
          </w:tcPr>
          <w:p w14:paraId="3993A29A">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电源功率</w:t>
            </w:r>
          </w:p>
        </w:tc>
        <w:tc>
          <w:tcPr>
            <w:tcW w:w="3086" w:type="dxa"/>
            <w:vAlign w:val="center"/>
          </w:tcPr>
          <w:p w14:paraId="2AA86724">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380v，50Hz，100A</w:t>
            </w:r>
          </w:p>
        </w:tc>
      </w:tr>
      <w:tr w14:paraId="46665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1929" w:type="dxa"/>
            <w:vAlign w:val="center"/>
          </w:tcPr>
          <w:p w14:paraId="5D9293CB">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8</w:t>
            </w:r>
          </w:p>
        </w:tc>
        <w:tc>
          <w:tcPr>
            <w:tcW w:w="4244" w:type="dxa"/>
            <w:vAlign w:val="center"/>
          </w:tcPr>
          <w:p w14:paraId="4C8AEB4B">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水源</w:t>
            </w:r>
          </w:p>
        </w:tc>
        <w:tc>
          <w:tcPr>
            <w:tcW w:w="3086" w:type="dxa"/>
            <w:vAlign w:val="center"/>
          </w:tcPr>
          <w:p w14:paraId="128925C0">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20l/min</w:t>
            </w:r>
          </w:p>
        </w:tc>
      </w:tr>
      <w:tr w14:paraId="5C94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1929" w:type="dxa"/>
            <w:vAlign w:val="center"/>
          </w:tcPr>
          <w:p w14:paraId="01BCE4EA">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9</w:t>
            </w:r>
          </w:p>
        </w:tc>
        <w:tc>
          <w:tcPr>
            <w:tcW w:w="4244" w:type="dxa"/>
            <w:vAlign w:val="center"/>
          </w:tcPr>
          <w:p w14:paraId="5FB184DA">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设备重量</w:t>
            </w:r>
          </w:p>
        </w:tc>
        <w:tc>
          <w:tcPr>
            <w:tcW w:w="3086" w:type="dxa"/>
            <w:vAlign w:val="center"/>
          </w:tcPr>
          <w:p w14:paraId="195CF6C8">
            <w:pPr>
              <w:pageBreakBefore w:val="0"/>
              <w:tabs>
                <w:tab w:val="left" w:pos="993"/>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vertAlign w:val="baseline"/>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kg</w:t>
            </w:r>
          </w:p>
        </w:tc>
      </w:tr>
    </w:tbl>
    <w:p w14:paraId="50987FBA">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排风系统</w:t>
      </w:r>
    </w:p>
    <w:p w14:paraId="2285C780">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设置排风机，排风吸风管、排风管材质为不锈钢，吸风口设置不锈钢过滤网。</w:t>
      </w:r>
      <w:r>
        <w:rPr>
          <w:rFonts w:hint="eastAsia" w:ascii="宋体" w:hAnsi="宋体" w:eastAsia="宋体" w:cs="宋体"/>
          <w:lang w:eastAsia="zh-CN"/>
        </w:rPr>
        <w:t>（</w:t>
      </w:r>
      <w:r>
        <w:rPr>
          <w:rFonts w:hint="eastAsia" w:ascii="宋体" w:hAnsi="宋体" w:eastAsia="宋体" w:cs="宋体"/>
          <w:lang w:val="en-US" w:eastAsia="zh-CN"/>
        </w:rPr>
        <w:t>提资</w:t>
      </w:r>
      <w:r>
        <w:rPr>
          <w:rFonts w:hint="eastAsia" w:ascii="宋体" w:hAnsi="宋体" w:eastAsia="宋体" w:cs="宋体"/>
          <w:lang w:eastAsia="zh-CN"/>
        </w:rPr>
        <w:t>）</w:t>
      </w:r>
    </w:p>
    <w:p w14:paraId="55D5EDC9">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设置土建废水收集坑，配置一台潜污泵。</w:t>
      </w:r>
      <w:r>
        <w:rPr>
          <w:rFonts w:hint="eastAsia" w:ascii="宋体" w:hAnsi="宋体" w:eastAsia="宋体" w:cs="宋体"/>
          <w:lang w:eastAsia="zh-CN"/>
        </w:rPr>
        <w:t>（</w:t>
      </w:r>
      <w:r>
        <w:rPr>
          <w:rFonts w:hint="eastAsia" w:ascii="宋体" w:hAnsi="宋体" w:eastAsia="宋体" w:cs="宋体"/>
          <w:lang w:val="en-US" w:eastAsia="zh-CN"/>
        </w:rPr>
        <w:t>提资</w:t>
      </w:r>
      <w:r>
        <w:rPr>
          <w:rFonts w:hint="eastAsia" w:ascii="宋体" w:hAnsi="宋体" w:eastAsia="宋体" w:cs="宋体"/>
          <w:lang w:eastAsia="zh-CN"/>
        </w:rPr>
        <w:t>）</w:t>
      </w:r>
    </w:p>
    <w:p w14:paraId="2085E88E">
      <w:pPr>
        <w:pageBreakBefore w:val="0"/>
        <w:numPr>
          <w:ilvl w:val="0"/>
          <w:numId w:val="77"/>
        </w:numPr>
        <w:tabs>
          <w:tab w:val="left" w:pos="993"/>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清洗间内设置镀锌格栅。</w:t>
      </w:r>
      <w:r>
        <w:rPr>
          <w:rFonts w:hint="eastAsia" w:ascii="宋体" w:hAnsi="宋体" w:eastAsia="宋体" w:cs="宋体"/>
          <w:lang w:eastAsia="zh-CN"/>
        </w:rPr>
        <w:t>（</w:t>
      </w:r>
      <w:r>
        <w:rPr>
          <w:rFonts w:hint="eastAsia" w:ascii="宋体" w:hAnsi="宋体" w:eastAsia="宋体" w:cs="宋体"/>
          <w:lang w:val="en-US" w:eastAsia="zh-CN"/>
        </w:rPr>
        <w:t>提资</w:t>
      </w:r>
      <w:r>
        <w:rPr>
          <w:rFonts w:hint="eastAsia" w:ascii="宋体" w:hAnsi="宋体" w:eastAsia="宋体" w:cs="宋体"/>
          <w:lang w:eastAsia="zh-CN"/>
        </w:rPr>
        <w:t>）</w:t>
      </w:r>
    </w:p>
    <w:p w14:paraId="2AB6F4A3">
      <w:pPr>
        <w:pStyle w:val="3"/>
        <w:pageBreakBefore w:val="0"/>
        <w:numPr>
          <w:ilvl w:val="0"/>
          <w:numId w:val="78"/>
        </w:numPr>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、喷漆设备技术任务书</w:t>
      </w:r>
    </w:p>
    <w:p w14:paraId="079F1273">
      <w:pPr>
        <w:pStyle w:val="4"/>
        <w:pageBreakBefore w:val="0"/>
        <w:numPr>
          <w:ilvl w:val="0"/>
          <w:numId w:val="79"/>
        </w:numPr>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总体要求：</w:t>
      </w:r>
    </w:p>
    <w:p w14:paraId="668DACB6">
      <w:pPr>
        <w:pStyle w:val="17"/>
        <w:pageBreakBefore w:val="0"/>
        <w:numPr>
          <w:ilvl w:val="0"/>
          <w:numId w:val="8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lang w:val="en-US" w:eastAsia="zh-CN"/>
        </w:rPr>
      </w:pPr>
      <w:r>
        <w:rPr>
          <w:rFonts w:hint="eastAsia" w:ascii="宋体" w:hAnsi="宋体" w:eastAsia="宋体" w:cs="宋体"/>
          <w:lang w:val="en-US" w:eastAsia="zh-CN"/>
        </w:rPr>
        <w:t>本项目为利旧改造项目，</w:t>
      </w:r>
      <w:r>
        <w:rPr>
          <w:rFonts w:hint="eastAsia" w:ascii="宋体" w:hAnsi="宋体" w:cs="宋体"/>
          <w:lang w:val="en-US" w:eastAsia="zh-CN"/>
        </w:rPr>
        <w:t>投标人</w:t>
      </w:r>
      <w:r>
        <w:rPr>
          <w:rFonts w:hint="eastAsia" w:ascii="宋体" w:hAnsi="宋体" w:eastAsia="宋体" w:cs="宋体"/>
          <w:lang w:val="en-US" w:eastAsia="zh-CN"/>
        </w:rPr>
        <w:t>应尽可能利旧现场设备(包含但不限于风机、灯箱、室体壁板、玻璃、格栅、过滤框架、动静压室、卷帘门、地下风道等)，无法利旧的设备可重新制作并安装，详细方案由</w:t>
      </w:r>
      <w:r>
        <w:rPr>
          <w:rFonts w:hint="eastAsia" w:ascii="宋体" w:hAnsi="宋体" w:cs="宋体"/>
          <w:lang w:val="en-US" w:eastAsia="zh-CN"/>
        </w:rPr>
        <w:t>投标人</w:t>
      </w:r>
      <w:r>
        <w:rPr>
          <w:rFonts w:hint="eastAsia" w:ascii="宋体" w:hAnsi="宋体" w:eastAsia="宋体" w:cs="宋体"/>
          <w:lang w:val="en-US" w:eastAsia="zh-CN"/>
        </w:rPr>
        <w:t>自行设计。</w:t>
      </w:r>
    </w:p>
    <w:p w14:paraId="70B3C87D">
      <w:pPr>
        <w:pStyle w:val="17"/>
        <w:pageBreakBefore w:val="0"/>
        <w:numPr>
          <w:ilvl w:val="0"/>
          <w:numId w:val="8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喷漆室主体采用自承重组装式结构，废漆处理系统采用纸箱干式小车结构</w:t>
      </w:r>
      <w:r>
        <w:rPr>
          <w:rFonts w:hint="eastAsia" w:ascii="宋体" w:hAnsi="宋体" w:cs="宋体"/>
          <w:lang w:eastAsia="zh-CN"/>
        </w:rPr>
        <w:t>（</w:t>
      </w:r>
      <w:r>
        <w:rPr>
          <w:rFonts w:hint="eastAsia" w:ascii="宋体" w:hAnsi="宋体" w:cs="宋体"/>
          <w:lang w:val="en-US" w:eastAsia="zh-CN"/>
        </w:rPr>
        <w:t>或其它经过招标人认可的形式</w:t>
      </w:r>
      <w:r>
        <w:rPr>
          <w:rFonts w:hint="eastAsia" w:ascii="宋体" w:hAnsi="宋体" w:cs="宋体"/>
          <w:lang w:eastAsia="zh-CN"/>
        </w:rPr>
        <w:t>）</w:t>
      </w:r>
      <w:r>
        <w:rPr>
          <w:rFonts w:hint="eastAsia" w:ascii="宋体" w:hAnsi="宋体" w:eastAsia="宋体" w:cs="宋体"/>
        </w:rPr>
        <w:t>。喷漆室系统主要由喷涂区、洁净间、风淋室、晾干间、人工擦净室、压缩空气吹扫、离子风站组成，喷涂段包含动压室、静压室、操作间、漆雾捕集及废漆处理装置。</w:t>
      </w:r>
    </w:p>
    <w:p w14:paraId="4EA2A8E4">
      <w:pPr>
        <w:pStyle w:val="17"/>
        <w:keepNext w:val="0"/>
        <w:keepLines w:val="0"/>
        <w:pageBreakBefore w:val="0"/>
        <w:widowControl w:val="0"/>
        <w:numPr>
          <w:ilvl w:val="0"/>
          <w:numId w:val="81"/>
        </w:numPr>
        <w:kinsoku/>
        <w:wordWrap/>
        <w:overflowPunct/>
        <w:topLinePunct w:val="0"/>
        <w:autoSpaceDE/>
        <w:autoSpaceDN/>
        <w:bidi w:val="0"/>
        <w:adjustRightInd w:val="0"/>
        <w:snapToGrid w:val="0"/>
        <w:spacing w:before="0" w:after="0" w:afterAutospacing="0" w:line="360" w:lineRule="auto"/>
        <w:ind w:left="-62" w:leftChars="0" w:firstLine="0" w:firstLineChars="0"/>
        <w:textAlignment w:val="auto"/>
        <w:rPr>
          <w:rFonts w:hint="eastAsia" w:ascii="宋体" w:hAnsi="宋体" w:eastAsia="宋体" w:cs="宋体"/>
        </w:rPr>
      </w:pPr>
      <w:r>
        <w:rPr>
          <w:rFonts w:hint="eastAsia" w:ascii="宋体" w:hAnsi="宋体" w:eastAsia="宋体" w:cs="宋体"/>
        </w:rPr>
        <w:t>面漆线色漆喷漆室按照BC1+BC2紧缩性水性涂料相关要求进行设计，设置有色漆后的预烘干段。</w:t>
      </w:r>
    </w:p>
    <w:p w14:paraId="08DC7869">
      <w:pPr>
        <w:pStyle w:val="17"/>
        <w:keepNext w:val="0"/>
        <w:keepLines w:val="0"/>
        <w:pageBreakBefore w:val="0"/>
        <w:widowControl w:val="0"/>
        <w:numPr>
          <w:ilvl w:val="0"/>
          <w:numId w:val="81"/>
        </w:numPr>
        <w:kinsoku/>
        <w:wordWrap/>
        <w:overflowPunct/>
        <w:topLinePunct w:val="0"/>
        <w:autoSpaceDE/>
        <w:autoSpaceDN/>
        <w:bidi w:val="0"/>
        <w:adjustRightInd w:val="0"/>
        <w:snapToGrid w:val="0"/>
        <w:spacing w:before="0" w:after="0" w:afterAutospacing="0" w:line="360" w:lineRule="auto"/>
        <w:ind w:left="-62" w:leftChars="0" w:firstLine="0" w:firstLineChars="0"/>
        <w:textAlignment w:val="auto"/>
        <w:rPr>
          <w:rFonts w:hint="eastAsia" w:ascii="宋体" w:hAnsi="宋体" w:eastAsia="宋体" w:cs="宋体"/>
        </w:rPr>
      </w:pPr>
      <w:r>
        <w:rPr>
          <w:rFonts w:hint="eastAsia" w:ascii="宋体" w:hAnsi="宋体" w:eastAsia="宋体" w:cs="宋体"/>
        </w:rPr>
        <w:t>清漆喷漆室按照溶剂型2K双组份涂料相关要求进行设计。</w:t>
      </w:r>
    </w:p>
    <w:p w14:paraId="13712C76">
      <w:pPr>
        <w:pStyle w:val="17"/>
        <w:keepNext w:val="0"/>
        <w:keepLines w:val="0"/>
        <w:pageBreakBefore w:val="0"/>
        <w:widowControl w:val="0"/>
        <w:numPr>
          <w:ilvl w:val="0"/>
          <w:numId w:val="81"/>
        </w:numPr>
        <w:kinsoku/>
        <w:wordWrap/>
        <w:overflowPunct/>
        <w:topLinePunct w:val="0"/>
        <w:autoSpaceDE/>
        <w:autoSpaceDN/>
        <w:bidi w:val="0"/>
        <w:adjustRightInd w:val="0"/>
        <w:snapToGrid w:val="0"/>
        <w:spacing w:before="0" w:after="0" w:afterAutospacing="0" w:line="360" w:lineRule="auto"/>
        <w:ind w:left="-62" w:leftChars="0" w:firstLine="0" w:firstLineChars="0"/>
        <w:textAlignment w:val="auto"/>
        <w:rPr>
          <w:rFonts w:hint="eastAsia" w:ascii="宋体" w:hAnsi="宋体" w:eastAsia="宋体" w:cs="宋体"/>
        </w:rPr>
      </w:pPr>
      <w:r>
        <w:rPr>
          <w:rFonts w:hint="eastAsia" w:ascii="宋体" w:hAnsi="宋体" w:eastAsia="宋体" w:cs="宋体"/>
        </w:rPr>
        <w:t>工件输送方式：采用双驱动链加滑橇输送。</w:t>
      </w:r>
    </w:p>
    <w:p w14:paraId="7983F6DD">
      <w:pPr>
        <w:pStyle w:val="17"/>
        <w:keepNext w:val="0"/>
        <w:keepLines w:val="0"/>
        <w:pageBreakBefore w:val="0"/>
        <w:widowControl w:val="0"/>
        <w:numPr>
          <w:ilvl w:val="0"/>
          <w:numId w:val="81"/>
        </w:numPr>
        <w:kinsoku/>
        <w:wordWrap/>
        <w:overflowPunct/>
        <w:topLinePunct w:val="0"/>
        <w:autoSpaceDE/>
        <w:autoSpaceDN/>
        <w:bidi w:val="0"/>
        <w:adjustRightInd w:val="0"/>
        <w:snapToGrid w:val="0"/>
        <w:spacing w:before="0" w:after="0" w:afterAutospacing="0" w:line="360" w:lineRule="auto"/>
        <w:ind w:left="-62" w:leftChars="0" w:firstLine="0" w:firstLineChars="0"/>
        <w:textAlignment w:val="auto"/>
        <w:rPr>
          <w:rFonts w:hint="eastAsia" w:ascii="宋体" w:hAnsi="宋体" w:eastAsia="宋体" w:cs="宋体"/>
        </w:rPr>
      </w:pPr>
      <w:r>
        <w:rPr>
          <w:rFonts w:hint="eastAsia" w:ascii="宋体" w:hAnsi="宋体" w:eastAsia="宋体" w:cs="宋体"/>
        </w:rPr>
        <w:t>作业方式：</w:t>
      </w:r>
    </w:p>
    <w:p w14:paraId="36BEA339">
      <w:pPr>
        <w:pStyle w:val="17"/>
        <w:pageBreakBefore w:val="0"/>
        <w:numPr>
          <w:ilvl w:val="0"/>
          <w:numId w:val="8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喷涂方式：色漆、清漆车身外采用机器人喷涂，内表面采用人工喷涂。</w:t>
      </w:r>
    </w:p>
    <w:p w14:paraId="61BF204E">
      <w:pPr>
        <w:pStyle w:val="17"/>
        <w:pageBreakBefore w:val="0"/>
        <w:numPr>
          <w:ilvl w:val="0"/>
          <w:numId w:val="8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rPr>
        <w:t>擦净方式：色漆喷涂线内外表面：人工擦净+离子风。</w:t>
      </w:r>
    </w:p>
    <w:p w14:paraId="5C97CCF6">
      <w:pPr>
        <w:pStyle w:val="17"/>
        <w:keepNext w:val="0"/>
        <w:keepLines w:val="0"/>
        <w:pageBreakBefore w:val="0"/>
        <w:widowControl w:val="0"/>
        <w:numPr>
          <w:ilvl w:val="0"/>
          <w:numId w:val="81"/>
        </w:numPr>
        <w:kinsoku/>
        <w:wordWrap/>
        <w:overflowPunct/>
        <w:topLinePunct w:val="0"/>
        <w:autoSpaceDE/>
        <w:autoSpaceDN/>
        <w:bidi w:val="0"/>
        <w:adjustRightInd w:val="0"/>
        <w:snapToGrid w:val="0"/>
        <w:spacing w:before="0" w:after="0" w:afterAutospacing="0" w:line="360" w:lineRule="auto"/>
        <w:ind w:left="-62" w:leftChars="0" w:firstLine="0" w:firstLineChars="0"/>
        <w:textAlignment w:val="auto"/>
        <w:rPr>
          <w:rFonts w:hint="eastAsia" w:ascii="宋体" w:hAnsi="宋体" w:eastAsia="宋体" w:cs="宋体"/>
        </w:rPr>
      </w:pPr>
      <w:r>
        <w:rPr>
          <w:rFonts w:hint="eastAsia" w:ascii="宋体" w:hAnsi="宋体" w:eastAsia="宋体" w:cs="宋体"/>
        </w:rPr>
        <w:t>工艺流程。详见工艺流程表</w:t>
      </w:r>
    </w:p>
    <w:p w14:paraId="13E42F48">
      <w:pPr>
        <w:pStyle w:val="17"/>
        <w:keepNext w:val="0"/>
        <w:keepLines w:val="0"/>
        <w:pageBreakBefore w:val="0"/>
        <w:widowControl w:val="0"/>
        <w:numPr>
          <w:ilvl w:val="0"/>
          <w:numId w:val="81"/>
        </w:numPr>
        <w:kinsoku/>
        <w:wordWrap/>
        <w:overflowPunct/>
        <w:topLinePunct w:val="0"/>
        <w:autoSpaceDE/>
        <w:autoSpaceDN/>
        <w:bidi w:val="0"/>
        <w:adjustRightInd w:val="0"/>
        <w:snapToGrid w:val="0"/>
        <w:spacing w:before="0" w:after="0" w:afterAutospacing="0" w:line="360" w:lineRule="auto"/>
        <w:ind w:left="-62" w:leftChars="0" w:firstLine="0" w:firstLineChars="0"/>
        <w:textAlignment w:val="auto"/>
        <w:rPr>
          <w:rFonts w:hint="eastAsia" w:ascii="宋体" w:hAnsi="宋体" w:eastAsia="宋体" w:cs="宋体"/>
        </w:rPr>
      </w:pPr>
      <w:r>
        <w:rPr>
          <w:rFonts w:hint="eastAsia" w:ascii="宋体" w:hAnsi="宋体" w:eastAsia="宋体" w:cs="宋体"/>
        </w:rPr>
        <w:t>喷涂系统设备：</w:t>
      </w:r>
    </w:p>
    <w:p w14:paraId="2095AE4C">
      <w:pPr>
        <w:pStyle w:val="17"/>
        <w:pageBreakBefore w:val="0"/>
        <w:numPr>
          <w:ilvl w:val="0"/>
          <w:numId w:val="8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喷漆设备采用自承重结构，纸箱干式小车漆雾捕集系统，色漆喷漆室与清漆喷漆室之间设置有洁净间，顶部设置有维修用走道，洁净室设有风淋室和单向出门，方便员工出入喷漆区域。</w:t>
      </w:r>
    </w:p>
    <w:p w14:paraId="71D8B421">
      <w:pPr>
        <w:pStyle w:val="17"/>
        <w:pageBreakBefore w:val="0"/>
        <w:numPr>
          <w:ilvl w:val="0"/>
          <w:numId w:val="8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rPr>
        <w:t>喷漆室的结构及设计应综合考虑到外喷机器人、离子风设备、</w:t>
      </w:r>
      <w:r>
        <w:rPr>
          <w:rFonts w:hint="eastAsia" w:ascii="宋体" w:hAnsi="宋体" w:eastAsia="宋体" w:cs="宋体"/>
          <w:color w:val="000000"/>
        </w:rPr>
        <w:t>手工喷涂、风幕和手工检查站等内置设备的布置，同时应与机器人、输送系统、送风空调机组、烘干室、</w:t>
      </w:r>
      <w:r>
        <w:rPr>
          <w:rFonts w:hint="eastAsia" w:ascii="宋体" w:hAnsi="宋体" w:eastAsia="宋体" w:cs="宋体"/>
          <w:color w:val="000000"/>
          <w:lang w:val="en-US" w:eastAsia="zh-CN"/>
        </w:rPr>
        <w:t>干式</w:t>
      </w:r>
      <w:r>
        <w:rPr>
          <w:rFonts w:hint="eastAsia" w:ascii="宋体" w:hAnsi="宋体" w:eastAsia="宋体" w:cs="宋体"/>
          <w:color w:val="000000" w:themeColor="text1"/>
          <w14:textFill>
            <w14:solidFill>
              <w14:schemeClr w14:val="tx1"/>
            </w14:solidFill>
          </w14:textFill>
        </w:rPr>
        <w:t>漆雾捕集系统</w:t>
      </w:r>
      <w:r>
        <w:rPr>
          <w:rFonts w:hint="eastAsia" w:ascii="宋体" w:hAnsi="宋体" w:eastAsia="宋体" w:cs="宋体"/>
          <w:color w:val="000000"/>
        </w:rPr>
        <w:t>等关联设备在结构及性能方面有良好的匹配性。</w:t>
      </w:r>
    </w:p>
    <w:p w14:paraId="575BB251">
      <w:pPr>
        <w:pStyle w:val="17"/>
        <w:pageBreakBefore w:val="0"/>
        <w:numPr>
          <w:ilvl w:val="0"/>
          <w:numId w:val="8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喷漆室在设计时应有稳固的支撑构架，应避免一切容易产生震动的结构。也不允许其他设备的振动传递给到喷漆室结构上。</w:t>
      </w:r>
    </w:p>
    <w:p w14:paraId="37379575">
      <w:pPr>
        <w:pStyle w:val="17"/>
        <w:pageBreakBefore w:val="0"/>
        <w:numPr>
          <w:ilvl w:val="0"/>
          <w:numId w:val="8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喷漆室的设计应满足使用水性漆的要求，需提供严格的温湿度控制装置。</w:t>
      </w:r>
    </w:p>
    <w:p w14:paraId="4649714A">
      <w:pPr>
        <w:pStyle w:val="17"/>
        <w:pageBreakBefore w:val="0"/>
        <w:numPr>
          <w:ilvl w:val="0"/>
          <w:numId w:val="8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喷漆室输送系统应与送排风系统联锁，并且只有在送排风系统开启之后方能启动输送系统。</w:t>
      </w:r>
    </w:p>
    <w:p w14:paraId="49727BB3">
      <w:pPr>
        <w:pStyle w:val="17"/>
        <w:pageBreakBefore w:val="0"/>
        <w:numPr>
          <w:ilvl w:val="0"/>
          <w:numId w:val="8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喷漆室整体区域、后处理及调漆间需设置洗眼/冲淋装置，以供紧急状态下使用</w:t>
      </w:r>
      <w:r>
        <w:rPr>
          <w:rFonts w:hint="eastAsia" w:ascii="宋体" w:hAnsi="宋体" w:eastAsia="宋体" w:cs="宋体"/>
          <w:lang w:eastAsia="zh-CN"/>
        </w:rPr>
        <w:t>（</w:t>
      </w:r>
      <w:r>
        <w:rPr>
          <w:rFonts w:hint="eastAsia" w:ascii="宋体" w:hAnsi="宋体" w:eastAsia="宋体" w:cs="宋体"/>
          <w:lang w:val="en-US" w:eastAsia="zh-CN"/>
        </w:rPr>
        <w:t>具体位置现场确定</w:t>
      </w:r>
      <w:r>
        <w:rPr>
          <w:rFonts w:hint="eastAsia" w:ascii="宋体" w:hAnsi="宋体" w:eastAsia="宋体" w:cs="宋体"/>
          <w:lang w:eastAsia="zh-CN"/>
        </w:rPr>
        <w:t>）</w:t>
      </w:r>
      <w:r>
        <w:rPr>
          <w:rFonts w:hint="eastAsia" w:ascii="宋体" w:hAnsi="宋体" w:eastAsia="宋体" w:cs="宋体"/>
        </w:rPr>
        <w:t>。</w:t>
      </w:r>
    </w:p>
    <w:p w14:paraId="5A10DE4A">
      <w:pPr>
        <w:pStyle w:val="3"/>
        <w:pageBreakBefore w:val="0"/>
        <w:numPr>
          <w:ilvl w:val="0"/>
          <w:numId w:val="80"/>
        </w:numPr>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Cs/>
          <w:sz w:val="24"/>
          <w:szCs w:val="30"/>
        </w:rPr>
      </w:pPr>
      <w:bookmarkStart w:id="98" w:name="_Toc245978443"/>
      <w:bookmarkStart w:id="99" w:name="_Toc480200798"/>
      <w:r>
        <w:rPr>
          <w:rFonts w:hint="eastAsia" w:ascii="宋体" w:hAnsi="宋体" w:eastAsia="宋体" w:cs="宋体"/>
          <w:bCs/>
          <w:sz w:val="24"/>
          <w:szCs w:val="30"/>
        </w:rPr>
        <w:t>喷漆设备</w:t>
      </w:r>
      <w:bookmarkEnd w:id="98"/>
      <w:bookmarkEnd w:id="99"/>
      <w:r>
        <w:rPr>
          <w:rFonts w:hint="eastAsia" w:ascii="宋体" w:hAnsi="宋体" w:eastAsia="宋体" w:cs="宋体"/>
          <w:bCs/>
          <w:sz w:val="24"/>
          <w:szCs w:val="30"/>
        </w:rPr>
        <w:t xml:space="preserve"> </w:t>
      </w:r>
    </w:p>
    <w:p w14:paraId="0A1E3D27">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喷漆设备采用自承重结构，喷漆室设有洁净室，洁净室顶部设备维修</w:t>
      </w:r>
      <w:r>
        <w:rPr>
          <w:rFonts w:hint="eastAsia" w:ascii="宋体" w:hAnsi="宋体" w:eastAsia="宋体" w:cs="宋体"/>
          <w:sz w:val="24"/>
          <w:lang w:val="en-US" w:eastAsia="zh-CN"/>
        </w:rPr>
        <w:t>设置维修走道</w:t>
      </w:r>
      <w:r>
        <w:rPr>
          <w:rFonts w:hint="eastAsia" w:ascii="宋体" w:hAnsi="宋体" w:eastAsia="宋体" w:cs="宋体"/>
          <w:sz w:val="24"/>
        </w:rPr>
        <w:t>，洁净室设置有风淋通道，方便人员出入喷漆区域使用。</w:t>
      </w:r>
    </w:p>
    <w:p w14:paraId="75B159B4">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动压室底部壁板为1.5mm镀锌钢板。框架上部布置调节板，可调节并控制进入袋式过滤器的空气量，进而控制进入静压室的空气量，布置于空调末端。</w:t>
      </w:r>
    </w:p>
    <w:p w14:paraId="781C74A0">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喷漆室顶部过滤棉框架和钢丝网为SUS304材质。</w:t>
      </w:r>
    </w:p>
    <w:p w14:paraId="21BD507E">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每段室体动、静压室设置向内开启的检修门和维修平台，内部安装有照明灯。</w:t>
      </w:r>
    </w:p>
    <w:p w14:paraId="3CB94D9A">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lang w:val="en-US" w:eastAsia="zh-CN"/>
        </w:rPr>
        <w:t>喷漆室</w:t>
      </w:r>
      <w:r>
        <w:rPr>
          <w:rFonts w:hint="eastAsia" w:ascii="宋体" w:hAnsi="宋体" w:eastAsia="宋体" w:cs="宋体"/>
          <w:sz w:val="24"/>
        </w:rPr>
        <w:t>安装温、湿度传感器</w:t>
      </w:r>
      <w:r>
        <w:rPr>
          <w:rFonts w:hint="eastAsia" w:ascii="宋体" w:hAnsi="宋体" w:eastAsia="宋体" w:cs="宋体"/>
          <w:sz w:val="24"/>
          <w:lang w:val="en-US" w:eastAsia="zh-CN"/>
        </w:rPr>
        <w:t>+显示屏</w:t>
      </w:r>
      <w:r>
        <w:rPr>
          <w:rFonts w:hint="eastAsia" w:ascii="宋体" w:hAnsi="宋体" w:eastAsia="宋体" w:cs="宋体"/>
          <w:sz w:val="24"/>
        </w:rPr>
        <w:t>，方便观察和维护</w:t>
      </w:r>
      <w:r>
        <w:rPr>
          <w:rFonts w:hint="eastAsia" w:ascii="宋体" w:hAnsi="宋体" w:eastAsia="宋体" w:cs="宋体"/>
          <w:sz w:val="24"/>
          <w:lang w:eastAsia="zh-CN"/>
        </w:rPr>
        <w:t>（</w:t>
      </w:r>
      <w:r>
        <w:rPr>
          <w:rFonts w:hint="eastAsia" w:ascii="宋体" w:hAnsi="宋体" w:eastAsia="宋体" w:cs="宋体"/>
          <w:sz w:val="24"/>
          <w:lang w:val="en-US" w:eastAsia="zh-CN"/>
        </w:rPr>
        <w:t>数量、样式以图纸为准</w:t>
      </w:r>
      <w:r>
        <w:rPr>
          <w:rFonts w:hint="eastAsia" w:ascii="宋体" w:hAnsi="宋体" w:eastAsia="宋体" w:cs="宋体"/>
          <w:sz w:val="24"/>
          <w:lang w:eastAsia="zh-CN"/>
        </w:rPr>
        <w:t>）</w:t>
      </w:r>
      <w:r>
        <w:rPr>
          <w:rFonts w:hint="eastAsia" w:ascii="宋体" w:hAnsi="宋体" w:eastAsia="宋体" w:cs="宋体"/>
          <w:sz w:val="24"/>
        </w:rPr>
        <w:t>。</w:t>
      </w:r>
    </w:p>
    <w:p w14:paraId="7F222BF7">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 xml:space="preserve">喷漆室整体结构采用上送风、下排风的纸箱式干式结构；漆雾捕集率97%以上。                                               </w:t>
      </w:r>
    </w:p>
    <w:p w14:paraId="055475F9">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喷漆室各段送排风设置有调节风阀和调节板，以方便调整各段风量平衡，保证喷漆室内各段没有侧风。</w:t>
      </w:r>
    </w:p>
    <w:p w14:paraId="3C7E84AF">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喷漆室过滤器配置为F7—F5（顶棉），保证喷漆室内空气洁净度要求：没有5μm以上的颗粒。</w:t>
      </w:r>
    </w:p>
    <w:p w14:paraId="64A195C7">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在各手工喷涂枪站位置，设置有的喷枪挂钩及方便移动软管的悬挂系统，满足喷涂需要。</w:t>
      </w:r>
    </w:p>
    <w:p w14:paraId="267CDB5D">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喷漆室格栅板采用</w:t>
      </w:r>
      <w:r>
        <w:rPr>
          <w:rFonts w:hint="eastAsia" w:ascii="宋体" w:hAnsi="宋体" w:eastAsia="宋体" w:cs="宋体"/>
          <w:color w:val="000000" w:themeColor="text1"/>
          <w:sz w:val="24"/>
          <w14:textFill>
            <w14:solidFill>
              <w14:schemeClr w14:val="tx1"/>
            </w14:solidFill>
          </w14:textFill>
        </w:rPr>
        <w:t>锯齿型防滑镀锌钢格板</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利旧</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sz w:val="24"/>
        </w:rPr>
        <w:t>，每块重量不超过27kg，方便更换和清理。</w:t>
      </w:r>
    </w:p>
    <w:p w14:paraId="3E7EBB94">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噪音85 dB(A)以下。</w:t>
      </w:r>
    </w:p>
    <w:p w14:paraId="59464355">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各段喷漆室两侧设置有向外开启的安全门，其中非洁净室一侧为逃生门。</w:t>
      </w:r>
    </w:p>
    <w:p w14:paraId="16BCA15B">
      <w:pPr>
        <w:pageBreakBefore w:val="0"/>
        <w:numPr>
          <w:ilvl w:val="0"/>
          <w:numId w:val="84"/>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动静压室设置维修门、维修走道，动压室设置维修斜梯。</w:t>
      </w:r>
    </w:p>
    <w:p w14:paraId="4ECE51C7">
      <w:pPr>
        <w:pStyle w:val="3"/>
        <w:pageBreakBefore w:val="0"/>
        <w:numPr>
          <w:ilvl w:val="0"/>
          <w:numId w:val="80"/>
        </w:numPr>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Cs/>
          <w:sz w:val="24"/>
          <w:szCs w:val="24"/>
        </w:rPr>
      </w:pPr>
      <w:bookmarkStart w:id="100" w:name="_Toc324875715"/>
      <w:bookmarkStart w:id="101" w:name="_Toc245978448"/>
      <w:bookmarkStart w:id="102" w:name="_Toc480200801"/>
      <w:bookmarkStart w:id="103" w:name="_Toc479930961"/>
      <w:r>
        <w:rPr>
          <w:rFonts w:hint="eastAsia" w:ascii="宋体" w:hAnsi="宋体" w:eastAsia="宋体" w:cs="宋体"/>
          <w:bCs/>
          <w:sz w:val="24"/>
          <w:szCs w:val="24"/>
        </w:rPr>
        <w:t>设备材质</w:t>
      </w:r>
      <w:bookmarkEnd w:id="100"/>
      <w:bookmarkEnd w:id="101"/>
      <w:bookmarkEnd w:id="102"/>
      <w:bookmarkEnd w:id="103"/>
    </w:p>
    <w:p w14:paraId="3FAEA20B">
      <w:pPr>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rPr>
      </w:pP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1809"/>
        <w:gridCol w:w="1972"/>
        <w:gridCol w:w="2138"/>
        <w:gridCol w:w="1047"/>
        <w:gridCol w:w="1922"/>
      </w:tblGrid>
      <w:tr w14:paraId="6F750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97" w:type="pct"/>
            <w:vAlign w:val="center"/>
          </w:tcPr>
          <w:p w14:paraId="43C1BCE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937" w:type="pct"/>
            <w:vAlign w:val="center"/>
          </w:tcPr>
          <w:p w14:paraId="3A6F77D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项　　目</w:t>
            </w:r>
          </w:p>
        </w:tc>
        <w:tc>
          <w:tcPr>
            <w:tcW w:w="1021" w:type="pct"/>
            <w:vAlign w:val="center"/>
          </w:tcPr>
          <w:p w14:paraId="6783176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材质</w:t>
            </w:r>
          </w:p>
        </w:tc>
        <w:tc>
          <w:tcPr>
            <w:tcW w:w="1107" w:type="pct"/>
            <w:vAlign w:val="center"/>
          </w:tcPr>
          <w:p w14:paraId="7177D83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厚度要求</w:t>
            </w:r>
          </w:p>
        </w:tc>
        <w:tc>
          <w:tcPr>
            <w:tcW w:w="542" w:type="pct"/>
            <w:vAlign w:val="center"/>
          </w:tcPr>
          <w:p w14:paraId="48FFC32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涂装规格</w:t>
            </w:r>
          </w:p>
        </w:tc>
        <w:tc>
          <w:tcPr>
            <w:tcW w:w="993" w:type="pct"/>
            <w:vAlign w:val="center"/>
          </w:tcPr>
          <w:p w14:paraId="0F38842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备注</w:t>
            </w:r>
          </w:p>
        </w:tc>
      </w:tr>
      <w:tr w14:paraId="75304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28F36CE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4602" w:type="pct"/>
            <w:gridSpan w:val="5"/>
            <w:vAlign w:val="center"/>
          </w:tcPr>
          <w:p w14:paraId="558C8C6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rPr>
              <w:t>擦净室体</w:t>
            </w:r>
          </w:p>
        </w:tc>
      </w:tr>
      <w:tr w14:paraId="2FEAD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60A6195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937" w:type="pct"/>
            <w:vAlign w:val="center"/>
          </w:tcPr>
          <w:p w14:paraId="16382CE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室体侧板</w:t>
            </w:r>
          </w:p>
        </w:tc>
        <w:tc>
          <w:tcPr>
            <w:tcW w:w="1021" w:type="pct"/>
            <w:vAlign w:val="center"/>
          </w:tcPr>
          <w:p w14:paraId="62B1432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FF0000"/>
                <w:kern w:val="0"/>
                <w:sz w:val="24"/>
                <w:szCs w:val="24"/>
              </w:rPr>
            </w:pPr>
            <w:r>
              <w:rPr>
                <w:rFonts w:hint="eastAsia" w:ascii="宋体" w:hAnsi="宋体" w:eastAsia="宋体" w:cs="宋体"/>
                <w:kern w:val="0"/>
                <w:sz w:val="24"/>
                <w:szCs w:val="24"/>
              </w:rPr>
              <w:t>镀锌</w:t>
            </w:r>
          </w:p>
        </w:tc>
        <w:tc>
          <w:tcPr>
            <w:tcW w:w="1107" w:type="pct"/>
            <w:vAlign w:val="center"/>
          </w:tcPr>
          <w:p w14:paraId="201A7D4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1.5mm</w:t>
            </w:r>
          </w:p>
        </w:tc>
        <w:tc>
          <w:tcPr>
            <w:tcW w:w="542" w:type="pct"/>
            <w:vAlign w:val="center"/>
          </w:tcPr>
          <w:p w14:paraId="7F2A057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3CCA24E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6829A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2F94197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1.2</w:t>
            </w:r>
          </w:p>
        </w:tc>
        <w:tc>
          <w:tcPr>
            <w:tcW w:w="937" w:type="pct"/>
            <w:vAlign w:val="center"/>
          </w:tcPr>
          <w:p w14:paraId="4060F64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动、静压室</w:t>
            </w:r>
          </w:p>
        </w:tc>
        <w:tc>
          <w:tcPr>
            <w:tcW w:w="1021" w:type="pct"/>
            <w:vAlign w:val="center"/>
          </w:tcPr>
          <w:p w14:paraId="4CA3D5C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镀锌板</w:t>
            </w:r>
          </w:p>
        </w:tc>
        <w:tc>
          <w:tcPr>
            <w:tcW w:w="1107" w:type="pct"/>
            <w:vAlign w:val="center"/>
          </w:tcPr>
          <w:p w14:paraId="384E48B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1.5mm</w:t>
            </w:r>
          </w:p>
        </w:tc>
        <w:tc>
          <w:tcPr>
            <w:tcW w:w="542" w:type="pct"/>
            <w:vAlign w:val="center"/>
          </w:tcPr>
          <w:p w14:paraId="618DB2E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7E0D083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21D8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663D916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1.3</w:t>
            </w:r>
          </w:p>
        </w:tc>
        <w:tc>
          <w:tcPr>
            <w:tcW w:w="937" w:type="pct"/>
            <w:vAlign w:val="center"/>
          </w:tcPr>
          <w:p w14:paraId="473449D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过滤器框架</w:t>
            </w:r>
          </w:p>
        </w:tc>
        <w:tc>
          <w:tcPr>
            <w:tcW w:w="1021" w:type="pct"/>
            <w:vAlign w:val="center"/>
          </w:tcPr>
          <w:p w14:paraId="76C0253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w:t>
            </w:r>
          </w:p>
        </w:tc>
        <w:tc>
          <w:tcPr>
            <w:tcW w:w="1107" w:type="pct"/>
            <w:vAlign w:val="center"/>
          </w:tcPr>
          <w:p w14:paraId="33BE7D1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3mm</w:t>
            </w:r>
          </w:p>
        </w:tc>
        <w:tc>
          <w:tcPr>
            <w:tcW w:w="542" w:type="pct"/>
            <w:vAlign w:val="center"/>
          </w:tcPr>
          <w:p w14:paraId="4194117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4C8174F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7594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09A9A49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1.4</w:t>
            </w:r>
          </w:p>
        </w:tc>
        <w:tc>
          <w:tcPr>
            <w:tcW w:w="937" w:type="pct"/>
            <w:vAlign w:val="center"/>
          </w:tcPr>
          <w:p w14:paraId="04C0E36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过滤钢丝网</w:t>
            </w:r>
          </w:p>
        </w:tc>
        <w:tc>
          <w:tcPr>
            <w:tcW w:w="1021" w:type="pct"/>
            <w:vAlign w:val="center"/>
          </w:tcPr>
          <w:p w14:paraId="7A6AB2B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0446E95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50mm×50mm×ø6</w:t>
            </w:r>
          </w:p>
        </w:tc>
        <w:tc>
          <w:tcPr>
            <w:tcW w:w="542" w:type="pct"/>
            <w:vAlign w:val="center"/>
          </w:tcPr>
          <w:p w14:paraId="429708E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61C2675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4B88A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4FB5CE9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1.5</w:t>
            </w:r>
          </w:p>
        </w:tc>
        <w:tc>
          <w:tcPr>
            <w:tcW w:w="937" w:type="pct"/>
            <w:vAlign w:val="center"/>
          </w:tcPr>
          <w:p w14:paraId="3F0F8F3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室体支撑</w:t>
            </w:r>
          </w:p>
        </w:tc>
        <w:tc>
          <w:tcPr>
            <w:tcW w:w="1021" w:type="pct"/>
            <w:vAlign w:val="center"/>
          </w:tcPr>
          <w:p w14:paraId="2C8C9FC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镀锌板</w:t>
            </w:r>
          </w:p>
        </w:tc>
        <w:tc>
          <w:tcPr>
            <w:tcW w:w="1107" w:type="pct"/>
            <w:vAlign w:val="center"/>
          </w:tcPr>
          <w:p w14:paraId="03135B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3mm</w:t>
            </w:r>
          </w:p>
        </w:tc>
        <w:tc>
          <w:tcPr>
            <w:tcW w:w="542" w:type="pct"/>
            <w:vAlign w:val="center"/>
          </w:tcPr>
          <w:p w14:paraId="69B3417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4620921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3F89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40906B3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1.6</w:t>
            </w:r>
          </w:p>
        </w:tc>
        <w:tc>
          <w:tcPr>
            <w:tcW w:w="937" w:type="pct"/>
            <w:vAlign w:val="center"/>
          </w:tcPr>
          <w:p w14:paraId="6CF4D6F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玻璃窗框</w:t>
            </w:r>
          </w:p>
        </w:tc>
        <w:tc>
          <w:tcPr>
            <w:tcW w:w="1021" w:type="pct"/>
            <w:vAlign w:val="center"/>
          </w:tcPr>
          <w:p w14:paraId="512AF10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镀锌板</w:t>
            </w:r>
          </w:p>
        </w:tc>
        <w:tc>
          <w:tcPr>
            <w:tcW w:w="1107" w:type="pct"/>
            <w:vAlign w:val="center"/>
          </w:tcPr>
          <w:p w14:paraId="7942850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2mm</w:t>
            </w:r>
          </w:p>
        </w:tc>
        <w:tc>
          <w:tcPr>
            <w:tcW w:w="542" w:type="pct"/>
            <w:vAlign w:val="center"/>
          </w:tcPr>
          <w:p w14:paraId="75E5FA7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3F89032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46B45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2345427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1.7</w:t>
            </w:r>
          </w:p>
        </w:tc>
        <w:tc>
          <w:tcPr>
            <w:tcW w:w="937" w:type="pct"/>
            <w:vAlign w:val="center"/>
          </w:tcPr>
          <w:p w14:paraId="07F9B84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玻璃</w:t>
            </w:r>
          </w:p>
        </w:tc>
        <w:tc>
          <w:tcPr>
            <w:tcW w:w="1021" w:type="pct"/>
            <w:vAlign w:val="center"/>
          </w:tcPr>
          <w:p w14:paraId="0FF6210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夹胶玻璃</w:t>
            </w:r>
          </w:p>
        </w:tc>
        <w:tc>
          <w:tcPr>
            <w:tcW w:w="1107" w:type="pct"/>
            <w:vAlign w:val="center"/>
          </w:tcPr>
          <w:p w14:paraId="609567B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8mm</w:t>
            </w:r>
          </w:p>
        </w:tc>
        <w:tc>
          <w:tcPr>
            <w:tcW w:w="542" w:type="pct"/>
            <w:vAlign w:val="center"/>
          </w:tcPr>
          <w:p w14:paraId="1F33530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681FC6B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793C4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Merge w:val="restart"/>
            <w:vAlign w:val="center"/>
          </w:tcPr>
          <w:p w14:paraId="1C15BFB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1.8</w:t>
            </w:r>
          </w:p>
        </w:tc>
        <w:tc>
          <w:tcPr>
            <w:tcW w:w="937" w:type="pct"/>
            <w:vAlign w:val="center"/>
          </w:tcPr>
          <w:p w14:paraId="78A959D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门（洁净室内）</w:t>
            </w:r>
          </w:p>
        </w:tc>
        <w:tc>
          <w:tcPr>
            <w:tcW w:w="1021" w:type="pct"/>
            <w:vAlign w:val="center"/>
          </w:tcPr>
          <w:p w14:paraId="114FB9A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钢化玻璃</w:t>
            </w:r>
          </w:p>
        </w:tc>
        <w:tc>
          <w:tcPr>
            <w:tcW w:w="1107" w:type="pct"/>
            <w:vAlign w:val="center"/>
          </w:tcPr>
          <w:p w14:paraId="152DACF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8mm</w:t>
            </w:r>
          </w:p>
        </w:tc>
        <w:tc>
          <w:tcPr>
            <w:tcW w:w="542" w:type="pct"/>
            <w:vAlign w:val="center"/>
          </w:tcPr>
          <w:p w14:paraId="69B9CEC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0CA9B36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带闭门器</w:t>
            </w:r>
          </w:p>
        </w:tc>
      </w:tr>
      <w:tr w14:paraId="7489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Merge w:val="continue"/>
            <w:vAlign w:val="center"/>
          </w:tcPr>
          <w:p w14:paraId="0E05449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c>
          <w:tcPr>
            <w:tcW w:w="937" w:type="pct"/>
            <w:vAlign w:val="center"/>
          </w:tcPr>
          <w:p w14:paraId="2C3FD1B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逃生门</w:t>
            </w:r>
          </w:p>
        </w:tc>
        <w:tc>
          <w:tcPr>
            <w:tcW w:w="1021" w:type="pct"/>
            <w:vAlign w:val="center"/>
          </w:tcPr>
          <w:p w14:paraId="1AF8A1C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FF0000"/>
                <w:kern w:val="0"/>
                <w:sz w:val="24"/>
                <w:szCs w:val="24"/>
              </w:rPr>
            </w:pPr>
            <w:r>
              <w:rPr>
                <w:rFonts w:hint="eastAsia" w:ascii="宋体" w:hAnsi="宋体" w:eastAsia="宋体" w:cs="宋体"/>
                <w:kern w:val="0"/>
                <w:sz w:val="24"/>
                <w:szCs w:val="24"/>
              </w:rPr>
              <w:t>镀锌</w:t>
            </w:r>
          </w:p>
        </w:tc>
        <w:tc>
          <w:tcPr>
            <w:tcW w:w="1107" w:type="pct"/>
            <w:vAlign w:val="center"/>
          </w:tcPr>
          <w:p w14:paraId="034D9A3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2mm</w:t>
            </w:r>
          </w:p>
        </w:tc>
        <w:tc>
          <w:tcPr>
            <w:tcW w:w="542" w:type="pct"/>
            <w:vAlign w:val="center"/>
          </w:tcPr>
          <w:p w14:paraId="03D642F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1047C32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门框，带闭门器</w:t>
            </w:r>
          </w:p>
        </w:tc>
      </w:tr>
      <w:tr w14:paraId="2FEB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72388B8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1.9</w:t>
            </w:r>
          </w:p>
        </w:tc>
        <w:tc>
          <w:tcPr>
            <w:tcW w:w="937" w:type="pct"/>
            <w:vAlign w:val="center"/>
          </w:tcPr>
          <w:p w14:paraId="25FE09D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格栅支架</w:t>
            </w:r>
          </w:p>
        </w:tc>
        <w:tc>
          <w:tcPr>
            <w:tcW w:w="1021" w:type="pct"/>
            <w:vAlign w:val="center"/>
          </w:tcPr>
          <w:p w14:paraId="13F5D9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碳钢</w:t>
            </w:r>
          </w:p>
        </w:tc>
        <w:tc>
          <w:tcPr>
            <w:tcW w:w="1107" w:type="pct"/>
            <w:vAlign w:val="center"/>
          </w:tcPr>
          <w:p w14:paraId="225DE0A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542" w:type="pct"/>
            <w:vAlign w:val="center"/>
          </w:tcPr>
          <w:p w14:paraId="17752BC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涂刷环氧面漆</w:t>
            </w:r>
          </w:p>
        </w:tc>
        <w:tc>
          <w:tcPr>
            <w:tcW w:w="993" w:type="pct"/>
            <w:vAlign w:val="center"/>
          </w:tcPr>
          <w:p w14:paraId="648D49F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3201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21A1162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1.10</w:t>
            </w:r>
          </w:p>
        </w:tc>
        <w:tc>
          <w:tcPr>
            <w:tcW w:w="937" w:type="pct"/>
            <w:vAlign w:val="center"/>
          </w:tcPr>
          <w:p w14:paraId="0D5B8E8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格栅</w:t>
            </w:r>
          </w:p>
        </w:tc>
        <w:tc>
          <w:tcPr>
            <w:tcW w:w="1021" w:type="pct"/>
            <w:vAlign w:val="center"/>
          </w:tcPr>
          <w:p w14:paraId="1D8CD39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碳钢</w:t>
            </w:r>
          </w:p>
        </w:tc>
        <w:tc>
          <w:tcPr>
            <w:tcW w:w="1107" w:type="pct"/>
            <w:vAlign w:val="center"/>
          </w:tcPr>
          <w:p w14:paraId="05F6AE8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542" w:type="pct"/>
            <w:vAlign w:val="center"/>
          </w:tcPr>
          <w:p w14:paraId="76C9CF1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w:t>
            </w:r>
          </w:p>
        </w:tc>
        <w:tc>
          <w:tcPr>
            <w:tcW w:w="993" w:type="pct"/>
            <w:vAlign w:val="center"/>
          </w:tcPr>
          <w:p w14:paraId="15F99B1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25776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6D279BA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1.11</w:t>
            </w:r>
          </w:p>
        </w:tc>
        <w:tc>
          <w:tcPr>
            <w:tcW w:w="937" w:type="pct"/>
            <w:vAlign w:val="center"/>
          </w:tcPr>
          <w:p w14:paraId="535DC04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排风风管</w:t>
            </w:r>
          </w:p>
        </w:tc>
        <w:tc>
          <w:tcPr>
            <w:tcW w:w="1021" w:type="pct"/>
            <w:vAlign w:val="center"/>
          </w:tcPr>
          <w:p w14:paraId="04BC2DC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FF0000"/>
                <w:kern w:val="0"/>
                <w:sz w:val="24"/>
                <w:szCs w:val="24"/>
              </w:rPr>
            </w:pPr>
            <w:r>
              <w:rPr>
                <w:rFonts w:hint="eastAsia" w:ascii="宋体" w:hAnsi="宋体" w:eastAsia="宋体" w:cs="宋体"/>
                <w:kern w:val="0"/>
                <w:sz w:val="24"/>
                <w:szCs w:val="24"/>
              </w:rPr>
              <w:t>镀锌</w:t>
            </w:r>
          </w:p>
        </w:tc>
        <w:tc>
          <w:tcPr>
            <w:tcW w:w="1107" w:type="pct"/>
            <w:vAlign w:val="center"/>
          </w:tcPr>
          <w:p w14:paraId="69CD147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1.5mm</w:t>
            </w:r>
          </w:p>
        </w:tc>
        <w:tc>
          <w:tcPr>
            <w:tcW w:w="542" w:type="pct"/>
            <w:vAlign w:val="center"/>
          </w:tcPr>
          <w:p w14:paraId="5C37A16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3FE5A9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7306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70AC0E9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1.12</w:t>
            </w:r>
          </w:p>
        </w:tc>
        <w:tc>
          <w:tcPr>
            <w:tcW w:w="937" w:type="pct"/>
            <w:vAlign w:val="center"/>
          </w:tcPr>
          <w:p w14:paraId="2C959B4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接水盘</w:t>
            </w:r>
          </w:p>
        </w:tc>
        <w:tc>
          <w:tcPr>
            <w:tcW w:w="1021" w:type="pct"/>
            <w:vAlign w:val="center"/>
          </w:tcPr>
          <w:p w14:paraId="7D6A6C0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SUS304</w:t>
            </w:r>
          </w:p>
        </w:tc>
        <w:tc>
          <w:tcPr>
            <w:tcW w:w="1107" w:type="pct"/>
            <w:vAlign w:val="center"/>
          </w:tcPr>
          <w:p w14:paraId="5D2416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2mm</w:t>
            </w:r>
          </w:p>
        </w:tc>
        <w:tc>
          <w:tcPr>
            <w:tcW w:w="542" w:type="pct"/>
            <w:vAlign w:val="center"/>
          </w:tcPr>
          <w:p w14:paraId="0F35B3A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5469E0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57E7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67E21DC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4602" w:type="pct"/>
            <w:gridSpan w:val="5"/>
            <w:vAlign w:val="center"/>
          </w:tcPr>
          <w:p w14:paraId="7FC0EF7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kern w:val="0"/>
                <w:sz w:val="24"/>
                <w:szCs w:val="24"/>
              </w:rPr>
              <w:t>喷漆室体</w:t>
            </w:r>
          </w:p>
        </w:tc>
      </w:tr>
      <w:tr w14:paraId="3BA47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5282FC4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937" w:type="pct"/>
            <w:vAlign w:val="center"/>
          </w:tcPr>
          <w:p w14:paraId="1BBA4B6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室体侧板</w:t>
            </w:r>
          </w:p>
        </w:tc>
        <w:tc>
          <w:tcPr>
            <w:tcW w:w="1021" w:type="pct"/>
            <w:vAlign w:val="center"/>
          </w:tcPr>
          <w:p w14:paraId="7A7D3B8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629A9B8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1.5mm</w:t>
            </w:r>
          </w:p>
        </w:tc>
        <w:tc>
          <w:tcPr>
            <w:tcW w:w="542" w:type="pct"/>
            <w:vAlign w:val="center"/>
          </w:tcPr>
          <w:p w14:paraId="7A326F3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7EAEDE2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28237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023139B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2.2</w:t>
            </w:r>
          </w:p>
        </w:tc>
        <w:tc>
          <w:tcPr>
            <w:tcW w:w="937" w:type="pct"/>
            <w:vAlign w:val="center"/>
          </w:tcPr>
          <w:p w14:paraId="3D5F986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动、静压室</w:t>
            </w:r>
          </w:p>
        </w:tc>
        <w:tc>
          <w:tcPr>
            <w:tcW w:w="1021" w:type="pct"/>
            <w:vAlign w:val="center"/>
          </w:tcPr>
          <w:p w14:paraId="3A7B550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w:t>
            </w:r>
          </w:p>
        </w:tc>
        <w:tc>
          <w:tcPr>
            <w:tcW w:w="1107" w:type="pct"/>
            <w:vAlign w:val="center"/>
          </w:tcPr>
          <w:p w14:paraId="2866C70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1.5mm</w:t>
            </w:r>
          </w:p>
        </w:tc>
        <w:tc>
          <w:tcPr>
            <w:tcW w:w="542" w:type="pct"/>
            <w:vAlign w:val="center"/>
          </w:tcPr>
          <w:p w14:paraId="2F228D6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4045C95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0B978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6EBC8DF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2.3</w:t>
            </w:r>
          </w:p>
        </w:tc>
        <w:tc>
          <w:tcPr>
            <w:tcW w:w="937" w:type="pct"/>
            <w:vAlign w:val="center"/>
          </w:tcPr>
          <w:p w14:paraId="5DEF47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过滤器框架</w:t>
            </w:r>
          </w:p>
        </w:tc>
        <w:tc>
          <w:tcPr>
            <w:tcW w:w="1021" w:type="pct"/>
            <w:vAlign w:val="center"/>
          </w:tcPr>
          <w:p w14:paraId="255CBBE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72F3FA1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3mm</w:t>
            </w:r>
          </w:p>
        </w:tc>
        <w:tc>
          <w:tcPr>
            <w:tcW w:w="542" w:type="pct"/>
            <w:vAlign w:val="center"/>
          </w:tcPr>
          <w:p w14:paraId="1010018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1D2656E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1DBA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7392A32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2.4</w:t>
            </w:r>
          </w:p>
        </w:tc>
        <w:tc>
          <w:tcPr>
            <w:tcW w:w="937" w:type="pct"/>
            <w:vAlign w:val="center"/>
          </w:tcPr>
          <w:p w14:paraId="1802964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过滤钢丝网</w:t>
            </w:r>
          </w:p>
        </w:tc>
        <w:tc>
          <w:tcPr>
            <w:tcW w:w="1021" w:type="pct"/>
            <w:vAlign w:val="center"/>
          </w:tcPr>
          <w:p w14:paraId="7004A96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304450A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50mmx50mmx¢6</w:t>
            </w:r>
          </w:p>
        </w:tc>
        <w:tc>
          <w:tcPr>
            <w:tcW w:w="542" w:type="pct"/>
            <w:vAlign w:val="center"/>
          </w:tcPr>
          <w:p w14:paraId="5F24F69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13B6F76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403C9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0DC8154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2.5</w:t>
            </w:r>
          </w:p>
        </w:tc>
        <w:tc>
          <w:tcPr>
            <w:tcW w:w="937" w:type="pct"/>
            <w:vAlign w:val="center"/>
          </w:tcPr>
          <w:p w14:paraId="6E72BD0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室体支撑</w:t>
            </w:r>
          </w:p>
        </w:tc>
        <w:tc>
          <w:tcPr>
            <w:tcW w:w="1021" w:type="pct"/>
            <w:vAlign w:val="center"/>
          </w:tcPr>
          <w:p w14:paraId="68822E6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3D081D1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3mm</w:t>
            </w:r>
          </w:p>
        </w:tc>
        <w:tc>
          <w:tcPr>
            <w:tcW w:w="542" w:type="pct"/>
            <w:vAlign w:val="center"/>
          </w:tcPr>
          <w:p w14:paraId="05DBF37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677532F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0559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2B166B8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2.6</w:t>
            </w:r>
          </w:p>
        </w:tc>
        <w:tc>
          <w:tcPr>
            <w:tcW w:w="937" w:type="pct"/>
            <w:vAlign w:val="center"/>
          </w:tcPr>
          <w:p w14:paraId="7AF4945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玻璃窗框</w:t>
            </w:r>
          </w:p>
        </w:tc>
        <w:tc>
          <w:tcPr>
            <w:tcW w:w="1021" w:type="pct"/>
            <w:vAlign w:val="center"/>
          </w:tcPr>
          <w:p w14:paraId="085B0DF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1BE824E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2mm</w:t>
            </w:r>
          </w:p>
        </w:tc>
        <w:tc>
          <w:tcPr>
            <w:tcW w:w="542" w:type="pct"/>
            <w:vAlign w:val="center"/>
          </w:tcPr>
          <w:p w14:paraId="06C2A1C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vAlign w:val="center"/>
          </w:tcPr>
          <w:p w14:paraId="3D4130B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5648D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2168199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w:t>
            </w:r>
          </w:p>
        </w:tc>
        <w:tc>
          <w:tcPr>
            <w:tcW w:w="937" w:type="pct"/>
            <w:vAlign w:val="center"/>
          </w:tcPr>
          <w:p w14:paraId="29C74DA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玻璃</w:t>
            </w:r>
          </w:p>
        </w:tc>
        <w:tc>
          <w:tcPr>
            <w:tcW w:w="1021" w:type="pct"/>
            <w:vAlign w:val="center"/>
          </w:tcPr>
          <w:p w14:paraId="538BE61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夹胶玻璃</w:t>
            </w:r>
          </w:p>
        </w:tc>
        <w:tc>
          <w:tcPr>
            <w:tcW w:w="1107" w:type="pct"/>
            <w:vAlign w:val="center"/>
          </w:tcPr>
          <w:p w14:paraId="47E36ED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8mm</w:t>
            </w:r>
          </w:p>
        </w:tc>
        <w:tc>
          <w:tcPr>
            <w:tcW w:w="542" w:type="pct"/>
            <w:vAlign w:val="center"/>
          </w:tcPr>
          <w:p w14:paraId="558648E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6A30330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280DB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Merge w:val="restart"/>
            <w:vAlign w:val="center"/>
          </w:tcPr>
          <w:p w14:paraId="59387B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2.8</w:t>
            </w:r>
          </w:p>
        </w:tc>
        <w:tc>
          <w:tcPr>
            <w:tcW w:w="937" w:type="pct"/>
            <w:vAlign w:val="center"/>
          </w:tcPr>
          <w:p w14:paraId="4221C0A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门（洁净室内）</w:t>
            </w:r>
          </w:p>
        </w:tc>
        <w:tc>
          <w:tcPr>
            <w:tcW w:w="1021" w:type="pct"/>
            <w:vAlign w:val="center"/>
          </w:tcPr>
          <w:p w14:paraId="15D1CCF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钢化玻璃</w:t>
            </w:r>
          </w:p>
        </w:tc>
        <w:tc>
          <w:tcPr>
            <w:tcW w:w="1107" w:type="pct"/>
            <w:vAlign w:val="center"/>
          </w:tcPr>
          <w:p w14:paraId="4AB1FA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8mm</w:t>
            </w:r>
          </w:p>
        </w:tc>
        <w:tc>
          <w:tcPr>
            <w:tcW w:w="542" w:type="pct"/>
            <w:vAlign w:val="center"/>
          </w:tcPr>
          <w:p w14:paraId="6C8885A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2C5F2A0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带闭门器</w:t>
            </w:r>
          </w:p>
        </w:tc>
      </w:tr>
      <w:tr w14:paraId="7ACEF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Merge w:val="continue"/>
            <w:vAlign w:val="center"/>
          </w:tcPr>
          <w:p w14:paraId="392AC5B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c>
          <w:tcPr>
            <w:tcW w:w="937" w:type="pct"/>
            <w:vAlign w:val="center"/>
          </w:tcPr>
          <w:p w14:paraId="637A4E5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逃生门</w:t>
            </w:r>
          </w:p>
        </w:tc>
        <w:tc>
          <w:tcPr>
            <w:tcW w:w="1021" w:type="pct"/>
            <w:vAlign w:val="center"/>
          </w:tcPr>
          <w:p w14:paraId="4BC3DCE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vAlign w:val="center"/>
          </w:tcPr>
          <w:p w14:paraId="2383391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2mm</w:t>
            </w:r>
          </w:p>
        </w:tc>
        <w:tc>
          <w:tcPr>
            <w:tcW w:w="542" w:type="pct"/>
            <w:vAlign w:val="center"/>
          </w:tcPr>
          <w:p w14:paraId="68EDCB0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993" w:type="pct"/>
            <w:vAlign w:val="center"/>
          </w:tcPr>
          <w:p w14:paraId="779D171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门框，带闭门器</w:t>
            </w:r>
          </w:p>
        </w:tc>
      </w:tr>
      <w:tr w14:paraId="6BCA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08E726E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2.9</w:t>
            </w:r>
          </w:p>
        </w:tc>
        <w:tc>
          <w:tcPr>
            <w:tcW w:w="937" w:type="pct"/>
            <w:vAlign w:val="center"/>
          </w:tcPr>
          <w:p w14:paraId="1D727EA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格栅支架</w:t>
            </w:r>
          </w:p>
        </w:tc>
        <w:tc>
          <w:tcPr>
            <w:tcW w:w="1021" w:type="pct"/>
            <w:vAlign w:val="center"/>
          </w:tcPr>
          <w:p w14:paraId="475C9A0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碳钢</w:t>
            </w:r>
          </w:p>
        </w:tc>
        <w:tc>
          <w:tcPr>
            <w:tcW w:w="1107" w:type="pct"/>
            <w:vAlign w:val="center"/>
          </w:tcPr>
          <w:p w14:paraId="69BB6F2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542" w:type="pct"/>
            <w:vAlign w:val="center"/>
          </w:tcPr>
          <w:p w14:paraId="18B2351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涂刷环氧面漆</w:t>
            </w:r>
          </w:p>
        </w:tc>
        <w:tc>
          <w:tcPr>
            <w:tcW w:w="993" w:type="pct"/>
            <w:vAlign w:val="center"/>
          </w:tcPr>
          <w:p w14:paraId="1019305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5AA2C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vAlign w:val="center"/>
          </w:tcPr>
          <w:p w14:paraId="0B61C3F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2.10</w:t>
            </w:r>
          </w:p>
        </w:tc>
        <w:tc>
          <w:tcPr>
            <w:tcW w:w="937" w:type="pct"/>
            <w:vAlign w:val="center"/>
          </w:tcPr>
          <w:p w14:paraId="4974533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格栅</w:t>
            </w:r>
          </w:p>
        </w:tc>
        <w:tc>
          <w:tcPr>
            <w:tcW w:w="1021" w:type="pct"/>
            <w:vAlign w:val="center"/>
          </w:tcPr>
          <w:p w14:paraId="636832C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w:t>
            </w:r>
          </w:p>
        </w:tc>
        <w:tc>
          <w:tcPr>
            <w:tcW w:w="1107" w:type="pct"/>
            <w:vAlign w:val="center"/>
          </w:tcPr>
          <w:p w14:paraId="6A13C47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p>
        </w:tc>
        <w:tc>
          <w:tcPr>
            <w:tcW w:w="542" w:type="pct"/>
            <w:vAlign w:val="center"/>
          </w:tcPr>
          <w:p w14:paraId="0A9B5E2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镀锌</w:t>
            </w:r>
          </w:p>
        </w:tc>
        <w:tc>
          <w:tcPr>
            <w:tcW w:w="993" w:type="pct"/>
            <w:vAlign w:val="center"/>
          </w:tcPr>
          <w:p w14:paraId="438C5E7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42A1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shd w:val="clear" w:color="auto" w:fill="auto"/>
            <w:vAlign w:val="center"/>
          </w:tcPr>
          <w:p w14:paraId="6EC7342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4602" w:type="pct"/>
            <w:gridSpan w:val="5"/>
            <w:shd w:val="clear" w:color="auto" w:fill="auto"/>
            <w:vAlign w:val="center"/>
          </w:tcPr>
          <w:p w14:paraId="406CDD2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干式漆雾捕集装置</w:t>
            </w:r>
          </w:p>
        </w:tc>
      </w:tr>
      <w:tr w14:paraId="2FF11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shd w:val="clear" w:color="auto" w:fill="auto"/>
            <w:vAlign w:val="center"/>
          </w:tcPr>
          <w:p w14:paraId="6990F48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937" w:type="pct"/>
            <w:shd w:val="clear" w:color="auto" w:fill="auto"/>
            <w:vAlign w:val="center"/>
          </w:tcPr>
          <w:p w14:paraId="21EAEDF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底板</w:t>
            </w:r>
          </w:p>
        </w:tc>
        <w:tc>
          <w:tcPr>
            <w:tcW w:w="1021" w:type="pct"/>
            <w:shd w:val="clear" w:color="auto" w:fill="auto"/>
            <w:vAlign w:val="center"/>
          </w:tcPr>
          <w:p w14:paraId="2692ED3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shd w:val="clear" w:color="auto" w:fill="auto"/>
            <w:vAlign w:val="center"/>
          </w:tcPr>
          <w:p w14:paraId="3FD161A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2mm</w:t>
            </w:r>
          </w:p>
        </w:tc>
        <w:tc>
          <w:tcPr>
            <w:tcW w:w="542" w:type="pct"/>
            <w:shd w:val="clear" w:color="auto" w:fill="auto"/>
            <w:vAlign w:val="center"/>
          </w:tcPr>
          <w:p w14:paraId="6BD13A8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shd w:val="clear" w:color="auto" w:fill="auto"/>
            <w:vAlign w:val="center"/>
          </w:tcPr>
          <w:p w14:paraId="26C6D27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30102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shd w:val="clear" w:color="auto" w:fill="auto"/>
            <w:vAlign w:val="center"/>
          </w:tcPr>
          <w:p w14:paraId="0EC4D0C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3.2</w:t>
            </w:r>
          </w:p>
        </w:tc>
        <w:tc>
          <w:tcPr>
            <w:tcW w:w="937" w:type="pct"/>
            <w:shd w:val="clear" w:color="auto" w:fill="auto"/>
            <w:vAlign w:val="center"/>
          </w:tcPr>
          <w:p w14:paraId="2FA702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侧板</w:t>
            </w:r>
          </w:p>
        </w:tc>
        <w:tc>
          <w:tcPr>
            <w:tcW w:w="1021" w:type="pct"/>
            <w:shd w:val="clear" w:color="auto" w:fill="auto"/>
            <w:vAlign w:val="center"/>
          </w:tcPr>
          <w:p w14:paraId="0D0C42A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shd w:val="clear" w:color="auto" w:fill="auto"/>
            <w:vAlign w:val="center"/>
          </w:tcPr>
          <w:p w14:paraId="1DEC652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2mm</w:t>
            </w:r>
          </w:p>
        </w:tc>
        <w:tc>
          <w:tcPr>
            <w:tcW w:w="542" w:type="pct"/>
            <w:shd w:val="clear" w:color="auto" w:fill="auto"/>
            <w:vAlign w:val="center"/>
          </w:tcPr>
          <w:p w14:paraId="69F3500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shd w:val="clear" w:color="auto" w:fill="auto"/>
            <w:vAlign w:val="center"/>
          </w:tcPr>
          <w:p w14:paraId="29C6D30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r w14:paraId="47F6A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7" w:type="pct"/>
            <w:shd w:val="clear" w:color="auto" w:fill="auto"/>
            <w:vAlign w:val="center"/>
          </w:tcPr>
          <w:p w14:paraId="6FD5CE7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3.3</w:t>
            </w:r>
          </w:p>
        </w:tc>
        <w:tc>
          <w:tcPr>
            <w:tcW w:w="937" w:type="pct"/>
            <w:shd w:val="clear" w:color="auto" w:fill="auto"/>
            <w:vAlign w:val="center"/>
          </w:tcPr>
          <w:p w14:paraId="33E18E5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漆雾捕集模块</w:t>
            </w:r>
          </w:p>
        </w:tc>
        <w:tc>
          <w:tcPr>
            <w:tcW w:w="1021" w:type="pct"/>
            <w:shd w:val="clear" w:color="auto" w:fill="auto"/>
            <w:vAlign w:val="center"/>
          </w:tcPr>
          <w:p w14:paraId="58F5B06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SUS304</w:t>
            </w:r>
          </w:p>
        </w:tc>
        <w:tc>
          <w:tcPr>
            <w:tcW w:w="1107" w:type="pct"/>
            <w:shd w:val="clear" w:color="auto" w:fill="auto"/>
            <w:vAlign w:val="center"/>
          </w:tcPr>
          <w:p w14:paraId="62DB391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1.5mm</w:t>
            </w:r>
          </w:p>
        </w:tc>
        <w:tc>
          <w:tcPr>
            <w:tcW w:w="542" w:type="pct"/>
            <w:shd w:val="clear" w:color="auto" w:fill="auto"/>
            <w:vAlign w:val="center"/>
          </w:tcPr>
          <w:p w14:paraId="1AFD569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不喷漆</w:t>
            </w:r>
          </w:p>
        </w:tc>
        <w:tc>
          <w:tcPr>
            <w:tcW w:w="993" w:type="pct"/>
            <w:shd w:val="clear" w:color="auto" w:fill="auto"/>
            <w:vAlign w:val="center"/>
          </w:tcPr>
          <w:p w14:paraId="7D33B3A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sz w:val="24"/>
                <w:szCs w:val="24"/>
              </w:rPr>
            </w:pPr>
          </w:p>
        </w:tc>
      </w:tr>
    </w:tbl>
    <w:p w14:paraId="444EB161">
      <w:pPr>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rPr>
      </w:pPr>
    </w:p>
    <w:p w14:paraId="75348CAB">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bookmarkStart w:id="104" w:name="_Toc363455290"/>
      <w:bookmarkStart w:id="105" w:name="_Toc425876368"/>
      <w:r>
        <w:rPr>
          <w:rFonts w:hint="eastAsia" w:ascii="宋体" w:hAnsi="宋体" w:eastAsia="宋体" w:cs="宋体"/>
          <w:b/>
          <w:bCs/>
          <w:sz w:val="24"/>
          <w:szCs w:val="24"/>
        </w:rPr>
        <w:t>2.喷漆室设备参数要求</w:t>
      </w:r>
      <w:bookmarkEnd w:id="104"/>
      <w:bookmarkEnd w:id="105"/>
      <w:r>
        <w:rPr>
          <w:rFonts w:hint="eastAsia" w:ascii="宋体" w:hAnsi="宋体" w:eastAsia="宋体" w:cs="宋体"/>
          <w:b/>
          <w:bCs/>
          <w:sz w:val="24"/>
          <w:szCs w:val="24"/>
        </w:rPr>
        <w:t>：</w:t>
      </w:r>
    </w:p>
    <w:p w14:paraId="70352BA5">
      <w:pPr>
        <w:pStyle w:val="5"/>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.1.喷漆环境控制要求： </w:t>
      </w:r>
    </w:p>
    <w:p w14:paraId="6201C938">
      <w:pPr>
        <w:pStyle w:val="17"/>
        <w:pageBreakBefore w:val="0"/>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温度：（23±2）℃（仪器精度±1℃）；</w:t>
      </w:r>
    </w:p>
    <w:p w14:paraId="6F29337B">
      <w:pPr>
        <w:pStyle w:val="17"/>
        <w:pageBreakBefore w:val="0"/>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湿度：（65±5）%（仪器精度± 3%）；</w:t>
      </w:r>
    </w:p>
    <w:p w14:paraId="7D281007">
      <w:pPr>
        <w:pStyle w:val="17"/>
        <w:pageBreakBefore w:val="0"/>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洁净度：空气洁净度粒径大于5um的灰尘去除率为100%.</w:t>
      </w:r>
    </w:p>
    <w:p w14:paraId="4236A69D">
      <w:pPr>
        <w:pStyle w:val="5"/>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.2.BC1+BC2色漆喷漆室+BC2货箱内喷喷漆室</w:t>
      </w:r>
    </w:p>
    <w:tbl>
      <w:tblPr>
        <w:tblStyle w:val="44"/>
        <w:tblW w:w="4998" w:type="pct"/>
        <w:tblInd w:w="0" w:type="dxa"/>
        <w:tblLayout w:type="autofit"/>
        <w:tblCellMar>
          <w:top w:w="0" w:type="dxa"/>
          <w:left w:w="108" w:type="dxa"/>
          <w:bottom w:w="0" w:type="dxa"/>
          <w:right w:w="108" w:type="dxa"/>
        </w:tblCellMar>
      </w:tblPr>
      <w:tblGrid>
        <w:gridCol w:w="577"/>
        <w:gridCol w:w="1806"/>
        <w:gridCol w:w="1656"/>
        <w:gridCol w:w="1236"/>
        <w:gridCol w:w="2573"/>
        <w:gridCol w:w="878"/>
        <w:gridCol w:w="924"/>
      </w:tblGrid>
      <w:tr w14:paraId="2886912E">
        <w:tblPrEx>
          <w:tblCellMar>
            <w:top w:w="0" w:type="dxa"/>
            <w:left w:w="108" w:type="dxa"/>
            <w:bottom w:w="0" w:type="dxa"/>
            <w:right w:w="108" w:type="dxa"/>
          </w:tblCellMar>
        </w:tblPrEx>
        <w:trPr>
          <w:trHeight w:val="434" w:hRule="atLeast"/>
        </w:trPr>
        <w:tc>
          <w:tcPr>
            <w:tcW w:w="328" w:type="pct"/>
            <w:vMerge w:val="restart"/>
            <w:tcBorders>
              <w:top w:val="single" w:color="auto" w:sz="4" w:space="0"/>
              <w:left w:val="single" w:color="auto" w:sz="4" w:space="0"/>
              <w:bottom w:val="single" w:color="auto" w:sz="4" w:space="0"/>
              <w:right w:val="single" w:color="auto" w:sz="4" w:space="0"/>
            </w:tcBorders>
            <w:vAlign w:val="center"/>
          </w:tcPr>
          <w:p w14:paraId="51FE996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964" w:type="pct"/>
            <w:vMerge w:val="restart"/>
            <w:tcBorders>
              <w:top w:val="single" w:color="auto" w:sz="4" w:space="0"/>
              <w:left w:val="single" w:color="auto" w:sz="4" w:space="0"/>
              <w:bottom w:val="single" w:color="auto" w:sz="4" w:space="0"/>
              <w:right w:val="single" w:color="auto" w:sz="4" w:space="0"/>
            </w:tcBorders>
            <w:vAlign w:val="center"/>
          </w:tcPr>
          <w:p w14:paraId="01030FF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br w:type="textWrapping"/>
            </w:r>
            <w:r>
              <w:rPr>
                <w:rFonts w:hint="eastAsia" w:ascii="宋体" w:hAnsi="宋体" w:eastAsia="宋体" w:cs="宋体"/>
                <w:color w:val="000000"/>
                <w:sz w:val="24"/>
                <w:szCs w:val="24"/>
              </w:rPr>
              <w:t>流程名称</w:t>
            </w:r>
          </w:p>
        </w:tc>
        <w:tc>
          <w:tcPr>
            <w:tcW w:w="765" w:type="pct"/>
            <w:vMerge w:val="restart"/>
            <w:tcBorders>
              <w:top w:val="single" w:color="auto" w:sz="4" w:space="0"/>
              <w:left w:val="single" w:color="auto" w:sz="4" w:space="0"/>
              <w:bottom w:val="single" w:color="000000" w:sz="4" w:space="0"/>
              <w:right w:val="single" w:color="auto" w:sz="4" w:space="0"/>
            </w:tcBorders>
            <w:vAlign w:val="center"/>
          </w:tcPr>
          <w:p w14:paraId="732E776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照度（Lux）</w:t>
            </w:r>
          </w:p>
        </w:tc>
        <w:tc>
          <w:tcPr>
            <w:tcW w:w="589" w:type="pct"/>
            <w:vMerge w:val="restart"/>
            <w:tcBorders>
              <w:top w:val="single" w:color="auto" w:sz="4" w:space="0"/>
              <w:left w:val="single" w:color="auto" w:sz="4" w:space="0"/>
              <w:bottom w:val="single" w:color="auto" w:sz="4" w:space="0"/>
              <w:right w:val="single" w:color="auto" w:sz="4" w:space="0"/>
            </w:tcBorders>
            <w:vAlign w:val="center"/>
          </w:tcPr>
          <w:p w14:paraId="2CAF1982">
            <w:pPr>
              <w:pageBreakBefore w:val="0"/>
              <w:kinsoku/>
              <w:wordWrap/>
              <w:overflowPunct/>
              <w:topLinePunct w:val="0"/>
              <w:bidi w:val="0"/>
              <w:adjustRightInd w:val="0"/>
              <w:snapToGrid w:val="0"/>
              <w:spacing w:afterAutospacing="0" w:line="240" w:lineRule="auto"/>
              <w:ind w:left="0" w:leftChars="0" w:right="-61" w:rightChars="-29"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下降风速</w:t>
            </w:r>
          </w:p>
          <w:p w14:paraId="69F499B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(m/s)</w:t>
            </w:r>
          </w:p>
        </w:tc>
        <w:tc>
          <w:tcPr>
            <w:tcW w:w="1361" w:type="pct"/>
            <w:tcBorders>
              <w:top w:val="single" w:color="auto" w:sz="4" w:space="0"/>
              <w:left w:val="nil"/>
              <w:bottom w:val="single" w:color="auto" w:sz="4" w:space="0"/>
              <w:right w:val="single" w:color="000000" w:sz="4" w:space="0"/>
            </w:tcBorders>
            <w:noWrap/>
            <w:vAlign w:val="center"/>
          </w:tcPr>
          <w:p w14:paraId="0C1CB67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室体尺寸</w:t>
            </w:r>
          </w:p>
        </w:tc>
        <w:tc>
          <w:tcPr>
            <w:tcW w:w="483" w:type="pct"/>
            <w:vMerge w:val="restart"/>
            <w:tcBorders>
              <w:top w:val="single" w:color="auto" w:sz="4" w:space="0"/>
              <w:left w:val="single" w:color="auto" w:sz="4" w:space="0"/>
              <w:bottom w:val="single" w:color="000000" w:sz="4" w:space="0"/>
              <w:right w:val="single" w:color="auto" w:sz="4" w:space="0"/>
            </w:tcBorders>
            <w:vAlign w:val="center"/>
          </w:tcPr>
          <w:p w14:paraId="20AA92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p w14:paraId="6299B13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输送方式</w:t>
            </w:r>
          </w:p>
        </w:tc>
        <w:tc>
          <w:tcPr>
            <w:tcW w:w="507" w:type="pct"/>
            <w:vMerge w:val="restart"/>
            <w:tcBorders>
              <w:top w:val="single" w:color="auto" w:sz="4" w:space="0"/>
              <w:left w:val="single" w:color="auto" w:sz="4" w:space="0"/>
              <w:bottom w:val="single" w:color="000000" w:sz="4" w:space="0"/>
              <w:right w:val="single" w:color="auto" w:sz="4" w:space="0"/>
            </w:tcBorders>
            <w:vAlign w:val="center"/>
          </w:tcPr>
          <w:p w14:paraId="2AF552B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6C2F8C21">
        <w:tblPrEx>
          <w:tblCellMar>
            <w:top w:w="0" w:type="dxa"/>
            <w:left w:w="108" w:type="dxa"/>
            <w:bottom w:w="0" w:type="dxa"/>
            <w:right w:w="108" w:type="dxa"/>
          </w:tblCellMar>
        </w:tblPrEx>
        <w:trPr>
          <w:trHeight w:val="409" w:hRule="atLeast"/>
        </w:trPr>
        <w:tc>
          <w:tcPr>
            <w:tcW w:w="328" w:type="pct"/>
            <w:vMerge w:val="continue"/>
            <w:tcBorders>
              <w:top w:val="single" w:color="auto" w:sz="4" w:space="0"/>
              <w:left w:val="single" w:color="auto" w:sz="4" w:space="0"/>
              <w:bottom w:val="single" w:color="auto" w:sz="4" w:space="0"/>
              <w:right w:val="single" w:color="auto" w:sz="4" w:space="0"/>
            </w:tcBorders>
            <w:vAlign w:val="center"/>
          </w:tcPr>
          <w:p w14:paraId="0103B92B">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964" w:type="pct"/>
            <w:vMerge w:val="continue"/>
            <w:tcBorders>
              <w:top w:val="single" w:color="auto" w:sz="4" w:space="0"/>
              <w:left w:val="single" w:color="auto" w:sz="4" w:space="0"/>
              <w:bottom w:val="single" w:color="auto" w:sz="4" w:space="0"/>
              <w:right w:val="single" w:color="auto" w:sz="4" w:space="0"/>
            </w:tcBorders>
            <w:vAlign w:val="center"/>
          </w:tcPr>
          <w:p w14:paraId="3C535B5C">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765" w:type="pct"/>
            <w:vMerge w:val="continue"/>
            <w:tcBorders>
              <w:top w:val="single" w:color="auto" w:sz="4" w:space="0"/>
              <w:left w:val="single" w:color="auto" w:sz="4" w:space="0"/>
              <w:bottom w:val="single" w:color="000000" w:sz="4" w:space="0"/>
              <w:right w:val="single" w:color="auto" w:sz="4" w:space="0"/>
            </w:tcBorders>
            <w:vAlign w:val="center"/>
          </w:tcPr>
          <w:p w14:paraId="062735AC">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89" w:type="pct"/>
            <w:vMerge w:val="continue"/>
            <w:tcBorders>
              <w:top w:val="single" w:color="auto" w:sz="4" w:space="0"/>
              <w:left w:val="single" w:color="auto" w:sz="4" w:space="0"/>
              <w:bottom w:val="single" w:color="auto" w:sz="4" w:space="0"/>
              <w:right w:val="single" w:color="auto" w:sz="4" w:space="0"/>
            </w:tcBorders>
            <w:vAlign w:val="center"/>
          </w:tcPr>
          <w:p w14:paraId="2DCA2550">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1361" w:type="pct"/>
            <w:vMerge w:val="restart"/>
            <w:tcBorders>
              <w:top w:val="nil"/>
              <w:left w:val="nil"/>
              <w:right w:val="single" w:color="auto" w:sz="4" w:space="0"/>
            </w:tcBorders>
            <w:vAlign w:val="center"/>
          </w:tcPr>
          <w:p w14:paraId="4AA3FC2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83" w:type="pct"/>
            <w:vMerge w:val="continue"/>
            <w:tcBorders>
              <w:top w:val="single" w:color="auto" w:sz="4" w:space="0"/>
              <w:left w:val="single" w:color="auto" w:sz="4" w:space="0"/>
              <w:bottom w:val="single" w:color="000000" w:sz="4" w:space="0"/>
              <w:right w:val="single" w:color="auto" w:sz="4" w:space="0"/>
            </w:tcBorders>
            <w:vAlign w:val="center"/>
          </w:tcPr>
          <w:p w14:paraId="2E5A96A1">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7" w:type="pct"/>
            <w:vMerge w:val="continue"/>
            <w:tcBorders>
              <w:top w:val="single" w:color="auto" w:sz="4" w:space="0"/>
              <w:left w:val="single" w:color="auto" w:sz="4" w:space="0"/>
              <w:bottom w:val="single" w:color="000000" w:sz="4" w:space="0"/>
              <w:right w:val="single" w:color="auto" w:sz="4" w:space="0"/>
            </w:tcBorders>
            <w:vAlign w:val="center"/>
          </w:tcPr>
          <w:p w14:paraId="7F71887C">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189ED4ED">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09F30C7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964" w:type="pct"/>
            <w:tcBorders>
              <w:top w:val="nil"/>
              <w:left w:val="nil"/>
              <w:bottom w:val="single" w:color="auto" w:sz="4" w:space="0"/>
              <w:right w:val="single" w:color="auto" w:sz="4" w:space="0"/>
            </w:tcBorders>
            <w:shd w:val="clear" w:color="auto" w:fill="FFFFFF"/>
            <w:vAlign w:val="center"/>
          </w:tcPr>
          <w:p w14:paraId="5D80027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人工擦净</w:t>
            </w:r>
          </w:p>
        </w:tc>
        <w:tc>
          <w:tcPr>
            <w:tcW w:w="765" w:type="pct"/>
            <w:tcBorders>
              <w:top w:val="nil"/>
              <w:left w:val="nil"/>
              <w:bottom w:val="single" w:color="auto" w:sz="4" w:space="0"/>
              <w:right w:val="single" w:color="auto" w:sz="4" w:space="0"/>
            </w:tcBorders>
            <w:shd w:val="clear" w:color="auto" w:fill="FFFFFF"/>
            <w:noWrap/>
            <w:vAlign w:val="center"/>
          </w:tcPr>
          <w:p w14:paraId="6DE98CA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589" w:type="pct"/>
            <w:tcBorders>
              <w:top w:val="nil"/>
              <w:left w:val="nil"/>
              <w:bottom w:val="single" w:color="auto" w:sz="4" w:space="0"/>
              <w:right w:val="single" w:color="auto" w:sz="4" w:space="0"/>
            </w:tcBorders>
            <w:shd w:val="clear" w:color="auto" w:fill="FFFFFF"/>
            <w:noWrap/>
            <w:vAlign w:val="center"/>
          </w:tcPr>
          <w:p w14:paraId="780D228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0.25</w:t>
            </w:r>
          </w:p>
        </w:tc>
        <w:tc>
          <w:tcPr>
            <w:tcW w:w="1361" w:type="pct"/>
            <w:vMerge w:val="continue"/>
            <w:tcBorders>
              <w:left w:val="nil"/>
              <w:right w:val="single" w:color="auto" w:sz="4" w:space="0"/>
            </w:tcBorders>
            <w:shd w:val="clear" w:color="auto" w:fill="FFFFFF"/>
            <w:noWrap/>
            <w:vAlign w:val="center"/>
          </w:tcPr>
          <w:p w14:paraId="66F336D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564C398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520BB3C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003BCF72">
        <w:tblPrEx>
          <w:tblCellMar>
            <w:top w:w="0" w:type="dxa"/>
            <w:left w:w="108" w:type="dxa"/>
            <w:bottom w:w="0" w:type="dxa"/>
            <w:right w:w="108" w:type="dxa"/>
          </w:tblCellMar>
        </w:tblPrEx>
        <w:trPr>
          <w:trHeight w:val="434"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75731D6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964" w:type="pct"/>
            <w:tcBorders>
              <w:top w:val="nil"/>
              <w:left w:val="nil"/>
              <w:bottom w:val="single" w:color="auto" w:sz="4" w:space="0"/>
              <w:right w:val="single" w:color="auto" w:sz="4" w:space="0"/>
            </w:tcBorders>
            <w:shd w:val="clear" w:color="auto" w:fill="FFFFFF"/>
            <w:vAlign w:val="center"/>
          </w:tcPr>
          <w:p w14:paraId="103B325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压缩空气吹净</w:t>
            </w:r>
          </w:p>
        </w:tc>
        <w:tc>
          <w:tcPr>
            <w:tcW w:w="765" w:type="pct"/>
            <w:tcBorders>
              <w:top w:val="nil"/>
              <w:left w:val="nil"/>
              <w:bottom w:val="single" w:color="auto" w:sz="4" w:space="0"/>
              <w:right w:val="single" w:color="auto" w:sz="4" w:space="0"/>
            </w:tcBorders>
            <w:shd w:val="clear" w:color="auto" w:fill="FFFFFF"/>
            <w:noWrap/>
            <w:vAlign w:val="center"/>
          </w:tcPr>
          <w:p w14:paraId="64F8AEE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589" w:type="pct"/>
            <w:tcBorders>
              <w:top w:val="nil"/>
              <w:left w:val="nil"/>
              <w:bottom w:val="single" w:color="auto" w:sz="4" w:space="0"/>
              <w:right w:val="single" w:color="auto" w:sz="4" w:space="0"/>
            </w:tcBorders>
            <w:shd w:val="clear" w:color="auto" w:fill="FFFFFF"/>
            <w:noWrap/>
            <w:vAlign w:val="center"/>
          </w:tcPr>
          <w:p w14:paraId="67D0CA9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0.25</w:t>
            </w:r>
          </w:p>
        </w:tc>
        <w:tc>
          <w:tcPr>
            <w:tcW w:w="1361" w:type="pct"/>
            <w:vMerge w:val="continue"/>
            <w:tcBorders>
              <w:left w:val="nil"/>
              <w:right w:val="single" w:color="auto" w:sz="4" w:space="0"/>
            </w:tcBorders>
            <w:shd w:val="clear" w:color="auto" w:fill="FFFFFF"/>
            <w:noWrap/>
            <w:vAlign w:val="center"/>
          </w:tcPr>
          <w:p w14:paraId="4FB7FA6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4FAA0F5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43E240D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27599E99">
        <w:tblPrEx>
          <w:tblCellMar>
            <w:top w:w="0" w:type="dxa"/>
            <w:left w:w="108" w:type="dxa"/>
            <w:bottom w:w="0" w:type="dxa"/>
            <w:right w:w="108" w:type="dxa"/>
          </w:tblCellMar>
        </w:tblPrEx>
        <w:trPr>
          <w:trHeight w:val="434"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00789F1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964" w:type="pct"/>
            <w:tcBorders>
              <w:top w:val="nil"/>
              <w:left w:val="nil"/>
              <w:bottom w:val="single" w:color="auto" w:sz="4" w:space="0"/>
              <w:right w:val="single" w:color="auto" w:sz="4" w:space="0"/>
            </w:tcBorders>
            <w:shd w:val="clear" w:color="auto" w:fill="FFFFFF"/>
            <w:vAlign w:val="center"/>
          </w:tcPr>
          <w:p w14:paraId="07E395C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离子风站</w:t>
            </w:r>
          </w:p>
        </w:tc>
        <w:tc>
          <w:tcPr>
            <w:tcW w:w="765" w:type="pct"/>
            <w:tcBorders>
              <w:top w:val="nil"/>
              <w:left w:val="nil"/>
              <w:bottom w:val="single" w:color="auto" w:sz="4" w:space="0"/>
              <w:right w:val="single" w:color="auto" w:sz="4" w:space="0"/>
            </w:tcBorders>
            <w:shd w:val="clear" w:color="auto" w:fill="FFFFFF"/>
            <w:noWrap/>
            <w:vAlign w:val="center"/>
          </w:tcPr>
          <w:p w14:paraId="05AEE16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≥500</w:t>
            </w:r>
          </w:p>
        </w:tc>
        <w:tc>
          <w:tcPr>
            <w:tcW w:w="589" w:type="pct"/>
            <w:tcBorders>
              <w:top w:val="nil"/>
              <w:left w:val="nil"/>
              <w:bottom w:val="single" w:color="auto" w:sz="4" w:space="0"/>
              <w:right w:val="single" w:color="auto" w:sz="4" w:space="0"/>
            </w:tcBorders>
            <w:shd w:val="clear" w:color="auto" w:fill="FFFFFF"/>
            <w:noWrap/>
            <w:vAlign w:val="center"/>
          </w:tcPr>
          <w:p w14:paraId="56465BD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0.25</w:t>
            </w:r>
          </w:p>
        </w:tc>
        <w:tc>
          <w:tcPr>
            <w:tcW w:w="1361" w:type="pct"/>
            <w:vMerge w:val="continue"/>
            <w:tcBorders>
              <w:left w:val="nil"/>
              <w:right w:val="single" w:color="auto" w:sz="4" w:space="0"/>
            </w:tcBorders>
            <w:shd w:val="clear" w:color="auto" w:fill="FFFFFF"/>
            <w:noWrap/>
            <w:vAlign w:val="center"/>
          </w:tcPr>
          <w:p w14:paraId="4D66F0F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76E04AA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3C2F098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27CAF0FA">
        <w:tblPrEx>
          <w:tblCellMar>
            <w:top w:w="0" w:type="dxa"/>
            <w:left w:w="108" w:type="dxa"/>
            <w:bottom w:w="0" w:type="dxa"/>
            <w:right w:w="108" w:type="dxa"/>
          </w:tblCellMar>
        </w:tblPrEx>
        <w:trPr>
          <w:trHeight w:val="434"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7570239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964" w:type="pct"/>
            <w:tcBorders>
              <w:top w:val="nil"/>
              <w:left w:val="nil"/>
              <w:bottom w:val="single" w:color="auto" w:sz="4" w:space="0"/>
              <w:right w:val="single" w:color="auto" w:sz="4" w:space="0"/>
            </w:tcBorders>
            <w:shd w:val="clear" w:color="auto" w:fill="FFFFFF"/>
            <w:vAlign w:val="center"/>
          </w:tcPr>
          <w:p w14:paraId="3304F39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nil"/>
              <w:left w:val="nil"/>
              <w:bottom w:val="single" w:color="auto" w:sz="4" w:space="0"/>
              <w:right w:val="single" w:color="auto" w:sz="4" w:space="0"/>
            </w:tcBorders>
            <w:shd w:val="clear" w:color="auto" w:fill="FFFFFF"/>
            <w:noWrap/>
            <w:vAlign w:val="center"/>
          </w:tcPr>
          <w:p w14:paraId="496DC3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nil"/>
              <w:left w:val="nil"/>
              <w:bottom w:val="single" w:color="auto" w:sz="4" w:space="0"/>
              <w:right w:val="single" w:color="auto" w:sz="4" w:space="0"/>
            </w:tcBorders>
            <w:shd w:val="clear" w:color="auto" w:fill="FFFFFF"/>
            <w:noWrap/>
            <w:vAlign w:val="center"/>
          </w:tcPr>
          <w:p w14:paraId="08CCA19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vMerge w:val="continue"/>
            <w:tcBorders>
              <w:left w:val="nil"/>
              <w:right w:val="single" w:color="auto" w:sz="4" w:space="0"/>
            </w:tcBorders>
            <w:shd w:val="clear" w:color="auto" w:fill="FFFFFF"/>
            <w:noWrap/>
            <w:vAlign w:val="center"/>
          </w:tcPr>
          <w:p w14:paraId="7313EEC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6ED24C6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3F2DB8C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3EC83B11">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7D4DC7F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964" w:type="pct"/>
            <w:tcBorders>
              <w:top w:val="nil"/>
              <w:left w:val="nil"/>
              <w:bottom w:val="single" w:color="auto" w:sz="4" w:space="0"/>
              <w:right w:val="single" w:color="auto" w:sz="4" w:space="0"/>
            </w:tcBorders>
            <w:shd w:val="clear" w:color="auto" w:fill="FFFFFF"/>
            <w:vAlign w:val="center"/>
          </w:tcPr>
          <w:p w14:paraId="040CF89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外表面 B1自动喷涂</w:t>
            </w:r>
          </w:p>
        </w:tc>
        <w:tc>
          <w:tcPr>
            <w:tcW w:w="765" w:type="pct"/>
            <w:tcBorders>
              <w:top w:val="nil"/>
              <w:left w:val="nil"/>
              <w:bottom w:val="single" w:color="auto" w:sz="4" w:space="0"/>
              <w:right w:val="single" w:color="auto" w:sz="4" w:space="0"/>
            </w:tcBorders>
            <w:shd w:val="clear" w:color="auto" w:fill="FFFFFF"/>
            <w:noWrap/>
            <w:vAlign w:val="center"/>
          </w:tcPr>
          <w:p w14:paraId="4EB6830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≥600</w:t>
            </w:r>
          </w:p>
        </w:tc>
        <w:tc>
          <w:tcPr>
            <w:tcW w:w="589" w:type="pct"/>
            <w:tcBorders>
              <w:top w:val="nil"/>
              <w:left w:val="nil"/>
              <w:bottom w:val="single" w:color="auto" w:sz="4" w:space="0"/>
              <w:right w:val="single" w:color="auto" w:sz="4" w:space="0"/>
            </w:tcBorders>
            <w:shd w:val="clear" w:color="auto" w:fill="FFFFFF"/>
            <w:noWrap/>
            <w:vAlign w:val="center"/>
          </w:tcPr>
          <w:p w14:paraId="083BAF4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1" w:type="pct"/>
            <w:vMerge w:val="continue"/>
            <w:tcBorders>
              <w:left w:val="nil"/>
              <w:right w:val="single" w:color="auto" w:sz="4" w:space="0"/>
            </w:tcBorders>
            <w:shd w:val="clear" w:color="auto" w:fill="FFFFFF"/>
            <w:noWrap/>
            <w:vAlign w:val="center"/>
          </w:tcPr>
          <w:p w14:paraId="7A5F739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7005DCD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0303A72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27AB414D">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34ECFA4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964" w:type="pct"/>
            <w:tcBorders>
              <w:top w:val="nil"/>
              <w:left w:val="nil"/>
              <w:bottom w:val="single" w:color="auto" w:sz="4" w:space="0"/>
              <w:right w:val="single" w:color="auto" w:sz="4" w:space="0"/>
            </w:tcBorders>
            <w:shd w:val="clear" w:color="auto" w:fill="FFFFFF"/>
            <w:vAlign w:val="center"/>
          </w:tcPr>
          <w:p w14:paraId="7C352E8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nil"/>
              <w:left w:val="nil"/>
              <w:bottom w:val="single" w:color="auto" w:sz="4" w:space="0"/>
              <w:right w:val="single" w:color="auto" w:sz="4" w:space="0"/>
            </w:tcBorders>
            <w:shd w:val="clear" w:color="auto" w:fill="FFFFFF"/>
            <w:noWrap/>
            <w:vAlign w:val="center"/>
          </w:tcPr>
          <w:p w14:paraId="64B8D31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nil"/>
              <w:left w:val="nil"/>
              <w:bottom w:val="single" w:color="auto" w:sz="4" w:space="0"/>
              <w:right w:val="single" w:color="auto" w:sz="4" w:space="0"/>
            </w:tcBorders>
            <w:shd w:val="clear" w:color="auto" w:fill="FFFFFF"/>
            <w:noWrap/>
            <w:vAlign w:val="center"/>
          </w:tcPr>
          <w:p w14:paraId="42DDF87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vMerge w:val="continue"/>
            <w:tcBorders>
              <w:left w:val="nil"/>
              <w:right w:val="single" w:color="auto" w:sz="4" w:space="0"/>
            </w:tcBorders>
            <w:shd w:val="clear" w:color="auto" w:fill="FFFFFF"/>
            <w:noWrap/>
            <w:vAlign w:val="center"/>
          </w:tcPr>
          <w:p w14:paraId="0F826BB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171ECD5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38B122F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4806E2C8">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7F6CD63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964" w:type="pct"/>
            <w:tcBorders>
              <w:top w:val="nil"/>
              <w:left w:val="nil"/>
              <w:bottom w:val="single" w:color="auto" w:sz="4" w:space="0"/>
              <w:right w:val="single" w:color="auto" w:sz="4" w:space="0"/>
            </w:tcBorders>
            <w:shd w:val="clear" w:color="auto" w:fill="FFFFFF"/>
            <w:vAlign w:val="center"/>
          </w:tcPr>
          <w:p w14:paraId="0358683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B1检查站</w:t>
            </w:r>
          </w:p>
        </w:tc>
        <w:tc>
          <w:tcPr>
            <w:tcW w:w="765" w:type="pct"/>
            <w:tcBorders>
              <w:top w:val="nil"/>
              <w:left w:val="nil"/>
              <w:bottom w:val="single" w:color="auto" w:sz="4" w:space="0"/>
              <w:right w:val="single" w:color="auto" w:sz="4" w:space="0"/>
            </w:tcBorders>
            <w:shd w:val="clear" w:color="auto" w:fill="FFFFFF"/>
            <w:noWrap/>
            <w:vAlign w:val="center"/>
          </w:tcPr>
          <w:p w14:paraId="340E8F1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589" w:type="pct"/>
            <w:tcBorders>
              <w:top w:val="nil"/>
              <w:left w:val="nil"/>
              <w:bottom w:val="single" w:color="auto" w:sz="4" w:space="0"/>
              <w:right w:val="single" w:color="auto" w:sz="4" w:space="0"/>
            </w:tcBorders>
            <w:shd w:val="clear" w:color="auto" w:fill="FFFFFF"/>
            <w:noWrap/>
            <w:vAlign w:val="center"/>
          </w:tcPr>
          <w:p w14:paraId="16D1EF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1" w:type="pct"/>
            <w:vMerge w:val="continue"/>
            <w:tcBorders>
              <w:left w:val="nil"/>
              <w:right w:val="single" w:color="auto" w:sz="4" w:space="0"/>
            </w:tcBorders>
            <w:shd w:val="clear" w:color="auto" w:fill="FFFFFF"/>
            <w:noWrap/>
            <w:vAlign w:val="center"/>
          </w:tcPr>
          <w:p w14:paraId="3C467C6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140EDB4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465744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5ED9548B">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noWrap/>
            <w:vAlign w:val="center"/>
          </w:tcPr>
          <w:p w14:paraId="36DA482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964" w:type="pct"/>
            <w:tcBorders>
              <w:top w:val="nil"/>
              <w:left w:val="nil"/>
              <w:bottom w:val="single" w:color="auto" w:sz="4" w:space="0"/>
              <w:right w:val="single" w:color="auto" w:sz="4" w:space="0"/>
            </w:tcBorders>
            <w:vAlign w:val="center"/>
          </w:tcPr>
          <w:p w14:paraId="60CCF64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内表面人工喷涂</w:t>
            </w:r>
          </w:p>
        </w:tc>
        <w:tc>
          <w:tcPr>
            <w:tcW w:w="765" w:type="pct"/>
            <w:tcBorders>
              <w:top w:val="nil"/>
              <w:left w:val="nil"/>
              <w:bottom w:val="single" w:color="auto" w:sz="4" w:space="0"/>
              <w:right w:val="single" w:color="auto" w:sz="4" w:space="0"/>
            </w:tcBorders>
            <w:noWrap/>
            <w:vAlign w:val="center"/>
          </w:tcPr>
          <w:p w14:paraId="63C160D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589" w:type="pct"/>
            <w:tcBorders>
              <w:top w:val="nil"/>
              <w:left w:val="nil"/>
              <w:bottom w:val="single" w:color="auto" w:sz="4" w:space="0"/>
              <w:right w:val="single" w:color="auto" w:sz="4" w:space="0"/>
            </w:tcBorders>
            <w:noWrap/>
            <w:vAlign w:val="center"/>
          </w:tcPr>
          <w:p w14:paraId="02E2F0A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1" w:type="pct"/>
            <w:vMerge w:val="continue"/>
            <w:tcBorders>
              <w:left w:val="nil"/>
              <w:bottom w:val="single" w:color="auto" w:sz="4" w:space="0"/>
              <w:right w:val="single" w:color="auto" w:sz="4" w:space="0"/>
            </w:tcBorders>
            <w:noWrap/>
            <w:vAlign w:val="center"/>
          </w:tcPr>
          <w:p w14:paraId="5A0E9F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vAlign w:val="center"/>
          </w:tcPr>
          <w:p w14:paraId="04BCF61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noWrap/>
            <w:vAlign w:val="center"/>
          </w:tcPr>
          <w:p w14:paraId="1462958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642D76C2">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noWrap/>
            <w:vAlign w:val="center"/>
          </w:tcPr>
          <w:p w14:paraId="0A36F2C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964" w:type="pct"/>
            <w:tcBorders>
              <w:top w:val="nil"/>
              <w:left w:val="nil"/>
              <w:bottom w:val="single" w:color="auto" w:sz="4" w:space="0"/>
              <w:right w:val="single" w:color="auto" w:sz="4" w:space="0"/>
            </w:tcBorders>
            <w:vAlign w:val="center"/>
          </w:tcPr>
          <w:p w14:paraId="56291F5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nil"/>
              <w:left w:val="nil"/>
              <w:bottom w:val="single" w:color="auto" w:sz="4" w:space="0"/>
              <w:right w:val="single" w:color="auto" w:sz="4" w:space="0"/>
            </w:tcBorders>
            <w:noWrap/>
            <w:vAlign w:val="center"/>
          </w:tcPr>
          <w:p w14:paraId="56250F9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nil"/>
              <w:left w:val="nil"/>
              <w:bottom w:val="single" w:color="auto" w:sz="4" w:space="0"/>
              <w:right w:val="single" w:color="auto" w:sz="4" w:space="0"/>
            </w:tcBorders>
            <w:noWrap/>
            <w:vAlign w:val="center"/>
          </w:tcPr>
          <w:p w14:paraId="2E0F122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tcBorders>
              <w:left w:val="nil"/>
              <w:bottom w:val="single" w:color="auto" w:sz="4" w:space="0"/>
              <w:right w:val="single" w:color="auto" w:sz="4" w:space="0"/>
            </w:tcBorders>
            <w:noWrap/>
            <w:vAlign w:val="center"/>
          </w:tcPr>
          <w:p w14:paraId="38563FA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vAlign w:val="center"/>
          </w:tcPr>
          <w:p w14:paraId="5362F79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noWrap/>
            <w:vAlign w:val="center"/>
          </w:tcPr>
          <w:p w14:paraId="3760670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2796CD81">
        <w:tblPrEx>
          <w:tblCellMar>
            <w:top w:w="0" w:type="dxa"/>
            <w:left w:w="108" w:type="dxa"/>
            <w:bottom w:w="0" w:type="dxa"/>
            <w:right w:w="108" w:type="dxa"/>
          </w:tblCellMar>
        </w:tblPrEx>
        <w:trPr>
          <w:trHeight w:val="434"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3F3A5D0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964" w:type="pct"/>
            <w:tcBorders>
              <w:top w:val="nil"/>
              <w:left w:val="nil"/>
              <w:bottom w:val="single" w:color="auto" w:sz="4" w:space="0"/>
              <w:right w:val="single" w:color="auto" w:sz="4" w:space="0"/>
            </w:tcBorders>
            <w:shd w:val="clear" w:color="auto" w:fill="FFFFFF"/>
            <w:vAlign w:val="center"/>
          </w:tcPr>
          <w:p w14:paraId="246C655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外表面 BC2自动喷涂</w:t>
            </w:r>
          </w:p>
        </w:tc>
        <w:tc>
          <w:tcPr>
            <w:tcW w:w="765" w:type="pct"/>
            <w:tcBorders>
              <w:top w:val="nil"/>
              <w:left w:val="nil"/>
              <w:bottom w:val="single" w:color="auto" w:sz="4" w:space="0"/>
              <w:right w:val="single" w:color="auto" w:sz="4" w:space="0"/>
            </w:tcBorders>
            <w:shd w:val="clear" w:color="auto" w:fill="FFFFFF"/>
            <w:noWrap/>
            <w:vAlign w:val="center"/>
          </w:tcPr>
          <w:p w14:paraId="5495CE7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≥600</w:t>
            </w:r>
          </w:p>
        </w:tc>
        <w:tc>
          <w:tcPr>
            <w:tcW w:w="589" w:type="pct"/>
            <w:tcBorders>
              <w:top w:val="nil"/>
              <w:left w:val="nil"/>
              <w:bottom w:val="single" w:color="auto" w:sz="4" w:space="0"/>
              <w:right w:val="single" w:color="auto" w:sz="4" w:space="0"/>
            </w:tcBorders>
            <w:shd w:val="clear" w:color="auto" w:fill="FFFFFF"/>
            <w:noWrap/>
            <w:vAlign w:val="center"/>
          </w:tcPr>
          <w:p w14:paraId="2506F3B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1" w:type="pct"/>
            <w:vMerge w:val="restart"/>
            <w:tcBorders>
              <w:top w:val="single" w:color="auto" w:sz="4" w:space="0"/>
              <w:left w:val="nil"/>
              <w:right w:val="single" w:color="auto" w:sz="4" w:space="0"/>
            </w:tcBorders>
            <w:shd w:val="clear" w:color="auto" w:fill="FFFFFF"/>
            <w:noWrap/>
            <w:vAlign w:val="center"/>
          </w:tcPr>
          <w:p w14:paraId="085A7BA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p w14:paraId="2B6046A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483" w:type="pct"/>
            <w:tcBorders>
              <w:top w:val="nil"/>
              <w:left w:val="nil"/>
              <w:bottom w:val="single" w:color="auto" w:sz="4" w:space="0"/>
              <w:right w:val="single" w:color="auto" w:sz="4" w:space="0"/>
            </w:tcBorders>
            <w:shd w:val="clear" w:color="auto" w:fill="FFFFFF"/>
            <w:vAlign w:val="center"/>
          </w:tcPr>
          <w:p w14:paraId="7F21743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073B804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13C343FE">
        <w:tblPrEx>
          <w:tblCellMar>
            <w:top w:w="0" w:type="dxa"/>
            <w:left w:w="108" w:type="dxa"/>
            <w:bottom w:w="0" w:type="dxa"/>
            <w:right w:w="108" w:type="dxa"/>
          </w:tblCellMar>
        </w:tblPrEx>
        <w:trPr>
          <w:trHeight w:val="434"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4369332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964" w:type="pct"/>
            <w:tcBorders>
              <w:top w:val="nil"/>
              <w:left w:val="nil"/>
              <w:bottom w:val="single" w:color="auto" w:sz="4" w:space="0"/>
              <w:right w:val="single" w:color="auto" w:sz="4" w:space="0"/>
            </w:tcBorders>
            <w:shd w:val="clear" w:color="auto" w:fill="FFFFFF"/>
            <w:vAlign w:val="center"/>
          </w:tcPr>
          <w:p w14:paraId="41F925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nil"/>
              <w:left w:val="nil"/>
              <w:bottom w:val="single" w:color="auto" w:sz="4" w:space="0"/>
              <w:right w:val="single" w:color="auto" w:sz="4" w:space="0"/>
            </w:tcBorders>
            <w:shd w:val="clear" w:color="auto" w:fill="FFFFFF"/>
            <w:noWrap/>
            <w:vAlign w:val="center"/>
          </w:tcPr>
          <w:p w14:paraId="2948839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nil"/>
              <w:left w:val="nil"/>
              <w:bottom w:val="single" w:color="auto" w:sz="4" w:space="0"/>
              <w:right w:val="single" w:color="auto" w:sz="4" w:space="0"/>
            </w:tcBorders>
            <w:shd w:val="clear" w:color="auto" w:fill="FFFFFF"/>
            <w:noWrap/>
            <w:vAlign w:val="center"/>
          </w:tcPr>
          <w:p w14:paraId="141518C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vMerge w:val="continue"/>
            <w:tcBorders>
              <w:top w:val="single" w:color="auto" w:sz="4" w:space="0"/>
              <w:left w:val="nil"/>
              <w:right w:val="single" w:color="auto" w:sz="4" w:space="0"/>
            </w:tcBorders>
            <w:shd w:val="clear" w:color="auto" w:fill="FFFFFF"/>
            <w:noWrap/>
            <w:vAlign w:val="center"/>
          </w:tcPr>
          <w:p w14:paraId="5A4CE0C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0CCC922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6064293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405179C1">
        <w:tblPrEx>
          <w:tblCellMar>
            <w:top w:w="0" w:type="dxa"/>
            <w:left w:w="108" w:type="dxa"/>
            <w:bottom w:w="0" w:type="dxa"/>
            <w:right w:w="108" w:type="dxa"/>
          </w:tblCellMar>
        </w:tblPrEx>
        <w:trPr>
          <w:trHeight w:val="446"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19267A9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964" w:type="pct"/>
            <w:tcBorders>
              <w:top w:val="nil"/>
              <w:left w:val="nil"/>
              <w:bottom w:val="single" w:color="auto" w:sz="4" w:space="0"/>
              <w:right w:val="single" w:color="auto" w:sz="4" w:space="0"/>
            </w:tcBorders>
            <w:shd w:val="clear" w:color="auto" w:fill="auto"/>
            <w:vAlign w:val="center"/>
          </w:tcPr>
          <w:p w14:paraId="0D3F8174">
            <w:pPr>
              <w:pageBreakBefore w:val="0"/>
              <w:kinsoku/>
              <w:wordWrap/>
              <w:overflowPunct/>
              <w:topLinePunct w:val="0"/>
              <w:bidi w:val="0"/>
              <w:adjustRightInd w:val="0"/>
              <w:snapToGrid w:val="0"/>
              <w:spacing w:afterAutospacing="0" w:line="240" w:lineRule="auto"/>
              <w:ind w:left="0" w:leftChars="0" w:right="-42" w:rightChars="-2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检查补喷</w:t>
            </w:r>
          </w:p>
        </w:tc>
        <w:tc>
          <w:tcPr>
            <w:tcW w:w="765" w:type="pct"/>
            <w:tcBorders>
              <w:top w:val="nil"/>
              <w:left w:val="nil"/>
              <w:bottom w:val="single" w:color="auto" w:sz="4" w:space="0"/>
              <w:right w:val="single" w:color="auto" w:sz="4" w:space="0"/>
            </w:tcBorders>
            <w:shd w:val="clear" w:color="auto" w:fill="FFFFFF"/>
            <w:noWrap/>
            <w:vAlign w:val="center"/>
          </w:tcPr>
          <w:p w14:paraId="13C811F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589" w:type="pct"/>
            <w:tcBorders>
              <w:top w:val="nil"/>
              <w:left w:val="nil"/>
              <w:bottom w:val="single" w:color="auto" w:sz="4" w:space="0"/>
              <w:right w:val="single" w:color="auto" w:sz="4" w:space="0"/>
            </w:tcBorders>
            <w:shd w:val="clear" w:color="auto" w:fill="FFFFFF"/>
            <w:noWrap/>
            <w:vAlign w:val="center"/>
          </w:tcPr>
          <w:p w14:paraId="3270E0F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1" w:type="pct"/>
            <w:vMerge w:val="continue"/>
            <w:tcBorders>
              <w:left w:val="nil"/>
              <w:bottom w:val="single" w:color="auto" w:sz="4" w:space="0"/>
              <w:right w:val="single" w:color="auto" w:sz="4" w:space="0"/>
            </w:tcBorders>
            <w:shd w:val="clear" w:color="auto" w:fill="FFFFFF"/>
            <w:noWrap/>
            <w:vAlign w:val="center"/>
          </w:tcPr>
          <w:p w14:paraId="50A40A9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68026B3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1D00580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708BA802">
        <w:tblPrEx>
          <w:tblCellMar>
            <w:top w:w="0" w:type="dxa"/>
            <w:left w:w="108" w:type="dxa"/>
            <w:bottom w:w="0" w:type="dxa"/>
            <w:right w:w="108" w:type="dxa"/>
          </w:tblCellMar>
        </w:tblPrEx>
        <w:trPr>
          <w:trHeight w:val="483"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C57C15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w:t>
            </w:r>
          </w:p>
        </w:tc>
        <w:tc>
          <w:tcPr>
            <w:tcW w:w="964" w:type="pct"/>
            <w:tcBorders>
              <w:top w:val="single" w:color="auto" w:sz="4" w:space="0"/>
              <w:left w:val="nil"/>
              <w:bottom w:val="single" w:color="auto" w:sz="4" w:space="0"/>
              <w:right w:val="single" w:color="auto" w:sz="4" w:space="0"/>
            </w:tcBorders>
            <w:shd w:val="clear" w:color="auto" w:fill="FFFFFF"/>
            <w:vAlign w:val="center"/>
          </w:tcPr>
          <w:p w14:paraId="5305547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晾干</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574E983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29224BF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30次／ｈ</w:t>
            </w:r>
          </w:p>
        </w:tc>
        <w:tc>
          <w:tcPr>
            <w:tcW w:w="1361" w:type="pct"/>
            <w:vMerge w:val="continue"/>
            <w:tcBorders>
              <w:top w:val="single" w:color="auto" w:sz="4" w:space="0"/>
              <w:left w:val="nil"/>
              <w:bottom w:val="single" w:color="auto" w:sz="4" w:space="0"/>
              <w:right w:val="single" w:color="auto" w:sz="4" w:space="0"/>
            </w:tcBorders>
            <w:shd w:val="clear" w:color="auto" w:fill="FFFFFF"/>
            <w:noWrap/>
            <w:vAlign w:val="center"/>
          </w:tcPr>
          <w:p w14:paraId="6BEDFF0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190949F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C758C5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5266E156">
        <w:tblPrEx>
          <w:tblCellMar>
            <w:top w:w="0" w:type="dxa"/>
            <w:left w:w="108" w:type="dxa"/>
            <w:bottom w:w="0" w:type="dxa"/>
            <w:right w:w="108" w:type="dxa"/>
          </w:tblCellMar>
        </w:tblPrEx>
        <w:trPr>
          <w:trHeight w:val="483"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1158DE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w:t>
            </w:r>
          </w:p>
        </w:tc>
        <w:tc>
          <w:tcPr>
            <w:tcW w:w="964" w:type="pct"/>
            <w:tcBorders>
              <w:top w:val="single" w:color="auto" w:sz="4" w:space="0"/>
              <w:left w:val="nil"/>
              <w:bottom w:val="single" w:color="auto" w:sz="4" w:space="0"/>
              <w:right w:val="single" w:color="auto" w:sz="4" w:space="0"/>
            </w:tcBorders>
            <w:shd w:val="clear" w:color="auto" w:fill="FFFFFF"/>
            <w:vAlign w:val="center"/>
          </w:tcPr>
          <w:p w14:paraId="67364EB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0D47C30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7ED862F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vMerge w:val="continue"/>
            <w:tcBorders>
              <w:top w:val="single" w:color="auto" w:sz="4" w:space="0"/>
              <w:left w:val="nil"/>
              <w:right w:val="single" w:color="auto" w:sz="4" w:space="0"/>
            </w:tcBorders>
            <w:shd w:val="clear" w:color="auto" w:fill="FFFFFF"/>
            <w:noWrap/>
            <w:vAlign w:val="center"/>
          </w:tcPr>
          <w:p w14:paraId="42DAF52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2E193C0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77C47E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105A90C7">
        <w:tblPrEx>
          <w:tblCellMar>
            <w:top w:w="0" w:type="dxa"/>
            <w:left w:w="108" w:type="dxa"/>
            <w:bottom w:w="0" w:type="dxa"/>
            <w:right w:w="108" w:type="dxa"/>
          </w:tblCellMar>
        </w:tblPrEx>
        <w:trPr>
          <w:trHeight w:val="860"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664A3FD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w:t>
            </w:r>
          </w:p>
        </w:tc>
        <w:tc>
          <w:tcPr>
            <w:tcW w:w="964" w:type="pct"/>
            <w:tcBorders>
              <w:top w:val="nil"/>
              <w:left w:val="nil"/>
              <w:bottom w:val="single" w:color="auto" w:sz="4" w:space="0"/>
              <w:right w:val="single" w:color="auto" w:sz="4" w:space="0"/>
            </w:tcBorders>
            <w:shd w:val="clear" w:color="auto" w:fill="FFFFFF"/>
            <w:vAlign w:val="center"/>
          </w:tcPr>
          <w:p w14:paraId="151E54E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水份预烘干（℃）</w:t>
            </w:r>
          </w:p>
        </w:tc>
        <w:tc>
          <w:tcPr>
            <w:tcW w:w="765" w:type="pct"/>
            <w:tcBorders>
              <w:top w:val="nil"/>
              <w:left w:val="nil"/>
              <w:bottom w:val="single" w:color="auto" w:sz="4" w:space="0"/>
              <w:right w:val="single" w:color="auto" w:sz="4" w:space="0"/>
            </w:tcBorders>
            <w:shd w:val="clear" w:color="auto" w:fill="FFFFFF"/>
            <w:noWrap/>
            <w:vAlign w:val="center"/>
          </w:tcPr>
          <w:p w14:paraId="3779B02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温度：60～90</w:t>
            </w:r>
          </w:p>
        </w:tc>
        <w:tc>
          <w:tcPr>
            <w:tcW w:w="589" w:type="pct"/>
            <w:tcBorders>
              <w:top w:val="nil"/>
              <w:left w:val="nil"/>
              <w:bottom w:val="single" w:color="auto" w:sz="4" w:space="0"/>
              <w:right w:val="single" w:color="auto" w:sz="4" w:space="0"/>
            </w:tcBorders>
            <w:shd w:val="clear" w:color="auto" w:fill="FFFFFF"/>
            <w:noWrap/>
            <w:vAlign w:val="center"/>
          </w:tcPr>
          <w:p w14:paraId="465F8247">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61" w:type="pct"/>
            <w:vMerge w:val="continue"/>
            <w:tcBorders>
              <w:left w:val="nil"/>
              <w:right w:val="single" w:color="auto" w:sz="4" w:space="0"/>
            </w:tcBorders>
            <w:shd w:val="clear" w:color="auto" w:fill="FFFFFF"/>
            <w:vAlign w:val="center"/>
          </w:tcPr>
          <w:p w14:paraId="2B2CD1B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7DCF6F2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5C498D6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40043833">
        <w:tblPrEx>
          <w:tblCellMar>
            <w:top w:w="0" w:type="dxa"/>
            <w:left w:w="108" w:type="dxa"/>
            <w:bottom w:w="0" w:type="dxa"/>
            <w:right w:w="108" w:type="dxa"/>
          </w:tblCellMar>
        </w:tblPrEx>
        <w:trPr>
          <w:trHeight w:val="483" w:hRule="atLeast"/>
        </w:trPr>
        <w:tc>
          <w:tcPr>
            <w:tcW w:w="328" w:type="pct"/>
            <w:tcBorders>
              <w:top w:val="nil"/>
              <w:left w:val="single" w:color="auto" w:sz="4" w:space="0"/>
              <w:bottom w:val="single" w:color="auto" w:sz="4" w:space="0"/>
              <w:right w:val="single" w:color="auto" w:sz="4" w:space="0"/>
            </w:tcBorders>
            <w:shd w:val="clear" w:color="auto" w:fill="FFFFFF"/>
            <w:noWrap/>
            <w:vAlign w:val="center"/>
          </w:tcPr>
          <w:p w14:paraId="4E52C0A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964" w:type="pct"/>
            <w:tcBorders>
              <w:top w:val="nil"/>
              <w:left w:val="nil"/>
              <w:bottom w:val="single" w:color="auto" w:sz="4" w:space="0"/>
              <w:right w:val="single" w:color="auto" w:sz="4" w:space="0"/>
            </w:tcBorders>
            <w:shd w:val="clear" w:color="auto" w:fill="FFFFFF"/>
            <w:vAlign w:val="center"/>
          </w:tcPr>
          <w:p w14:paraId="6103C00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nil"/>
              <w:left w:val="nil"/>
              <w:bottom w:val="single" w:color="auto" w:sz="4" w:space="0"/>
              <w:right w:val="single" w:color="auto" w:sz="4" w:space="0"/>
            </w:tcBorders>
            <w:shd w:val="clear" w:color="auto" w:fill="FFFFFF"/>
            <w:noWrap/>
            <w:vAlign w:val="center"/>
          </w:tcPr>
          <w:p w14:paraId="159BA88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nil"/>
              <w:left w:val="nil"/>
              <w:bottom w:val="single" w:color="auto" w:sz="4" w:space="0"/>
              <w:right w:val="single" w:color="auto" w:sz="4" w:space="0"/>
            </w:tcBorders>
            <w:shd w:val="clear" w:color="auto" w:fill="FFFFFF"/>
            <w:noWrap/>
            <w:vAlign w:val="center"/>
          </w:tcPr>
          <w:p w14:paraId="70786E8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vMerge w:val="continue"/>
            <w:tcBorders>
              <w:left w:val="nil"/>
              <w:bottom w:val="single" w:color="auto" w:sz="4" w:space="0"/>
              <w:right w:val="single" w:color="auto" w:sz="4" w:space="0"/>
            </w:tcBorders>
            <w:shd w:val="clear" w:color="auto" w:fill="FFFFFF"/>
            <w:vAlign w:val="center"/>
          </w:tcPr>
          <w:p w14:paraId="06EC3DD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nil"/>
              <w:left w:val="nil"/>
              <w:bottom w:val="single" w:color="auto" w:sz="4" w:space="0"/>
              <w:right w:val="single" w:color="auto" w:sz="4" w:space="0"/>
            </w:tcBorders>
            <w:shd w:val="clear" w:color="auto" w:fill="FFFFFF"/>
            <w:vAlign w:val="center"/>
          </w:tcPr>
          <w:p w14:paraId="3039E1A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nil"/>
              <w:left w:val="single" w:color="auto" w:sz="4" w:space="0"/>
              <w:bottom w:val="single" w:color="auto" w:sz="4" w:space="0"/>
              <w:right w:val="single" w:color="auto" w:sz="4" w:space="0"/>
            </w:tcBorders>
            <w:shd w:val="clear" w:color="auto" w:fill="FFFFFF"/>
            <w:noWrap/>
            <w:vAlign w:val="center"/>
          </w:tcPr>
          <w:p w14:paraId="532E2AD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0D2D38CC">
        <w:tblPrEx>
          <w:tblCellMar>
            <w:top w:w="0" w:type="dxa"/>
            <w:left w:w="108" w:type="dxa"/>
            <w:bottom w:w="0" w:type="dxa"/>
            <w:right w:w="108" w:type="dxa"/>
          </w:tblCellMar>
        </w:tblPrEx>
        <w:trPr>
          <w:trHeight w:val="483"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621B058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17</w:t>
            </w:r>
          </w:p>
        </w:tc>
        <w:tc>
          <w:tcPr>
            <w:tcW w:w="964" w:type="pct"/>
            <w:tcBorders>
              <w:top w:val="single" w:color="auto" w:sz="4" w:space="0"/>
              <w:left w:val="nil"/>
              <w:bottom w:val="single" w:color="auto" w:sz="4" w:space="0"/>
              <w:right w:val="single" w:color="auto" w:sz="4" w:space="0"/>
            </w:tcBorders>
            <w:shd w:val="clear" w:color="auto" w:fill="FFFFFF"/>
            <w:vAlign w:val="center"/>
          </w:tcPr>
          <w:p w14:paraId="3FC5B7F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强冷</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05256A8F">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5E937374">
            <w:pPr>
              <w:pageBreakBefore w:val="0"/>
              <w:widowControl/>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1361" w:type="pct"/>
            <w:vMerge w:val="continue"/>
            <w:tcBorders>
              <w:top w:val="single" w:color="auto" w:sz="4" w:space="0"/>
              <w:left w:val="nil"/>
              <w:bottom w:val="single" w:color="auto" w:sz="4" w:space="0"/>
              <w:right w:val="single" w:color="auto" w:sz="4" w:space="0"/>
            </w:tcBorders>
            <w:shd w:val="clear" w:color="auto" w:fill="FFFFFF"/>
            <w:vAlign w:val="center"/>
          </w:tcPr>
          <w:p w14:paraId="1866081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7D62DC9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7F6963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3BECAFA9">
        <w:tblPrEx>
          <w:tblCellMar>
            <w:top w:w="0" w:type="dxa"/>
            <w:left w:w="108" w:type="dxa"/>
            <w:bottom w:w="0" w:type="dxa"/>
            <w:right w:w="108" w:type="dxa"/>
          </w:tblCellMar>
        </w:tblPrEx>
        <w:trPr>
          <w:trHeight w:val="494"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5D5392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w:t>
            </w:r>
          </w:p>
        </w:tc>
        <w:tc>
          <w:tcPr>
            <w:tcW w:w="964" w:type="pct"/>
            <w:tcBorders>
              <w:top w:val="single" w:color="auto" w:sz="4" w:space="0"/>
              <w:left w:val="nil"/>
              <w:bottom w:val="single" w:color="auto" w:sz="4" w:space="0"/>
              <w:right w:val="single" w:color="auto" w:sz="4" w:space="0"/>
            </w:tcBorders>
            <w:shd w:val="clear" w:color="auto" w:fill="FFFFFF"/>
            <w:vAlign w:val="center"/>
          </w:tcPr>
          <w:p w14:paraId="5AE43A6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39A763E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04E63B3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1" w:type="pct"/>
            <w:vMerge w:val="continue"/>
            <w:tcBorders>
              <w:top w:val="single" w:color="auto" w:sz="4" w:space="0"/>
              <w:left w:val="nil"/>
              <w:bottom w:val="single" w:color="auto" w:sz="4" w:space="0"/>
              <w:right w:val="single" w:color="auto" w:sz="4" w:space="0"/>
            </w:tcBorders>
            <w:shd w:val="clear" w:color="auto" w:fill="FFFFFF"/>
            <w:noWrap/>
            <w:vAlign w:val="center"/>
          </w:tcPr>
          <w:p w14:paraId="0A4857F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7B79A23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172450F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0CA5AF50">
        <w:tblPrEx>
          <w:tblCellMar>
            <w:top w:w="0" w:type="dxa"/>
            <w:left w:w="108" w:type="dxa"/>
            <w:bottom w:w="0" w:type="dxa"/>
            <w:right w:w="108" w:type="dxa"/>
          </w:tblCellMar>
        </w:tblPrEx>
        <w:trPr>
          <w:trHeight w:val="494"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D0765B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19</w:t>
            </w:r>
          </w:p>
        </w:tc>
        <w:tc>
          <w:tcPr>
            <w:tcW w:w="964" w:type="pct"/>
            <w:tcBorders>
              <w:top w:val="single" w:color="auto" w:sz="4" w:space="0"/>
              <w:left w:val="nil"/>
              <w:bottom w:val="single" w:color="auto" w:sz="4" w:space="0"/>
              <w:right w:val="single" w:color="auto" w:sz="4" w:space="0"/>
            </w:tcBorders>
            <w:shd w:val="clear" w:color="auto" w:fill="FFFFFF"/>
            <w:vAlign w:val="center"/>
          </w:tcPr>
          <w:p w14:paraId="2275928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货箱BC2内喷</w:t>
            </w:r>
          </w:p>
          <w:p w14:paraId="17AFA7F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准备室</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65E60B4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71311D6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0.25</w:t>
            </w:r>
          </w:p>
        </w:tc>
        <w:tc>
          <w:tcPr>
            <w:tcW w:w="1361" w:type="pct"/>
            <w:tcBorders>
              <w:top w:val="single" w:color="auto" w:sz="4" w:space="0"/>
              <w:left w:val="nil"/>
              <w:bottom w:val="single" w:color="auto" w:sz="4" w:space="0"/>
              <w:right w:val="single" w:color="auto" w:sz="4" w:space="0"/>
            </w:tcBorders>
            <w:shd w:val="clear" w:color="auto" w:fill="FFFFFF"/>
            <w:noWrap/>
            <w:vAlign w:val="center"/>
          </w:tcPr>
          <w:p w14:paraId="3ABDBE5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5EE8DD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间歇</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24E59B4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00611D30">
        <w:tblPrEx>
          <w:tblCellMar>
            <w:top w:w="0" w:type="dxa"/>
            <w:left w:w="108" w:type="dxa"/>
            <w:bottom w:w="0" w:type="dxa"/>
            <w:right w:w="108" w:type="dxa"/>
          </w:tblCellMar>
        </w:tblPrEx>
        <w:trPr>
          <w:trHeight w:val="494"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0CA05AF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964" w:type="pct"/>
            <w:tcBorders>
              <w:top w:val="single" w:color="auto" w:sz="4" w:space="0"/>
              <w:left w:val="nil"/>
              <w:bottom w:val="single" w:color="auto" w:sz="4" w:space="0"/>
              <w:right w:val="single" w:color="auto" w:sz="4" w:space="0"/>
            </w:tcBorders>
            <w:shd w:val="clear" w:color="auto" w:fill="FFFFFF"/>
            <w:vAlign w:val="center"/>
          </w:tcPr>
          <w:p w14:paraId="2DB0777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货箱BC2内喷</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1BDCBF7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≥600</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57F801F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1" w:type="pct"/>
            <w:tcBorders>
              <w:top w:val="single" w:color="auto" w:sz="4" w:space="0"/>
              <w:left w:val="nil"/>
              <w:bottom w:val="single" w:color="auto" w:sz="4" w:space="0"/>
              <w:right w:val="single" w:color="auto" w:sz="4" w:space="0"/>
            </w:tcBorders>
            <w:shd w:val="clear" w:color="auto" w:fill="FFFFFF"/>
            <w:noWrap/>
            <w:vAlign w:val="center"/>
          </w:tcPr>
          <w:p w14:paraId="37B74B4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1D83C63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间歇</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5699D0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47B2EA45">
        <w:tblPrEx>
          <w:tblCellMar>
            <w:top w:w="0" w:type="dxa"/>
            <w:left w:w="108" w:type="dxa"/>
            <w:bottom w:w="0" w:type="dxa"/>
            <w:right w:w="108" w:type="dxa"/>
          </w:tblCellMar>
        </w:tblPrEx>
        <w:trPr>
          <w:trHeight w:val="494" w:hRule="atLeast"/>
        </w:trPr>
        <w:tc>
          <w:tcPr>
            <w:tcW w:w="328"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3E7024E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w:t>
            </w:r>
          </w:p>
        </w:tc>
        <w:tc>
          <w:tcPr>
            <w:tcW w:w="964" w:type="pct"/>
            <w:tcBorders>
              <w:top w:val="single" w:color="auto" w:sz="4" w:space="0"/>
              <w:left w:val="nil"/>
              <w:bottom w:val="single" w:color="auto" w:sz="4" w:space="0"/>
              <w:right w:val="single" w:color="auto" w:sz="4" w:space="0"/>
            </w:tcBorders>
            <w:shd w:val="clear" w:color="auto" w:fill="FFFFFF"/>
            <w:vAlign w:val="center"/>
          </w:tcPr>
          <w:p w14:paraId="5B1761D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卸辅具</w:t>
            </w:r>
          </w:p>
        </w:tc>
        <w:tc>
          <w:tcPr>
            <w:tcW w:w="765" w:type="pct"/>
            <w:tcBorders>
              <w:top w:val="single" w:color="auto" w:sz="4" w:space="0"/>
              <w:left w:val="nil"/>
              <w:bottom w:val="single" w:color="auto" w:sz="4" w:space="0"/>
              <w:right w:val="single" w:color="auto" w:sz="4" w:space="0"/>
            </w:tcBorders>
            <w:shd w:val="clear" w:color="auto" w:fill="FFFFFF"/>
            <w:noWrap/>
            <w:vAlign w:val="center"/>
          </w:tcPr>
          <w:p w14:paraId="2F0A4B9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≥600</w:t>
            </w:r>
          </w:p>
        </w:tc>
        <w:tc>
          <w:tcPr>
            <w:tcW w:w="589" w:type="pct"/>
            <w:tcBorders>
              <w:top w:val="single" w:color="auto" w:sz="4" w:space="0"/>
              <w:left w:val="nil"/>
              <w:bottom w:val="single" w:color="auto" w:sz="4" w:space="0"/>
              <w:right w:val="single" w:color="auto" w:sz="4" w:space="0"/>
            </w:tcBorders>
            <w:shd w:val="clear" w:color="auto" w:fill="FFFFFF"/>
            <w:noWrap/>
            <w:vAlign w:val="center"/>
          </w:tcPr>
          <w:p w14:paraId="773C0D7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0.25</w:t>
            </w:r>
          </w:p>
        </w:tc>
        <w:tc>
          <w:tcPr>
            <w:tcW w:w="1361" w:type="pct"/>
            <w:tcBorders>
              <w:top w:val="single" w:color="auto" w:sz="4" w:space="0"/>
              <w:left w:val="nil"/>
              <w:bottom w:val="single" w:color="auto" w:sz="4" w:space="0"/>
              <w:right w:val="single" w:color="auto" w:sz="4" w:space="0"/>
            </w:tcBorders>
            <w:shd w:val="clear" w:color="auto" w:fill="FFFFFF"/>
            <w:noWrap/>
            <w:vAlign w:val="center"/>
          </w:tcPr>
          <w:p w14:paraId="2AE6030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83" w:type="pct"/>
            <w:tcBorders>
              <w:top w:val="single" w:color="auto" w:sz="4" w:space="0"/>
              <w:left w:val="nil"/>
              <w:bottom w:val="single" w:color="auto" w:sz="4" w:space="0"/>
              <w:right w:val="single" w:color="auto" w:sz="4" w:space="0"/>
            </w:tcBorders>
            <w:shd w:val="clear" w:color="auto" w:fill="FFFFFF"/>
            <w:vAlign w:val="center"/>
          </w:tcPr>
          <w:p w14:paraId="1C0D274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07" w:type="pct"/>
            <w:tcBorders>
              <w:top w:val="single" w:color="auto" w:sz="4" w:space="0"/>
              <w:left w:val="single" w:color="auto" w:sz="4" w:space="0"/>
              <w:bottom w:val="single" w:color="auto" w:sz="4" w:space="0"/>
              <w:right w:val="single" w:color="auto" w:sz="4" w:space="0"/>
            </w:tcBorders>
            <w:shd w:val="clear" w:color="auto" w:fill="FFFFFF"/>
            <w:noWrap/>
            <w:vAlign w:val="center"/>
          </w:tcPr>
          <w:p w14:paraId="749C03C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bl>
    <w:p w14:paraId="59DB3B16">
      <w:pPr>
        <w:pStyle w:val="5"/>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.3清漆喷漆室（室体尺寸及输送方式</w:t>
      </w:r>
      <w:r>
        <w:rPr>
          <w:rFonts w:hint="eastAsia" w:ascii="宋体" w:hAnsi="宋体" w:eastAsia="宋体" w:cs="宋体"/>
          <w:sz w:val="24"/>
          <w:szCs w:val="24"/>
          <w:lang w:eastAsia="zh-CN"/>
        </w:rPr>
        <w:t>投标人</w:t>
      </w:r>
      <w:r>
        <w:rPr>
          <w:rFonts w:hint="eastAsia" w:ascii="宋体" w:hAnsi="宋体" w:eastAsia="宋体" w:cs="宋体"/>
          <w:sz w:val="24"/>
          <w:szCs w:val="24"/>
        </w:rPr>
        <w:t>设计核算）</w:t>
      </w:r>
    </w:p>
    <w:tbl>
      <w:tblPr>
        <w:tblStyle w:val="44"/>
        <w:tblW w:w="4997" w:type="pct"/>
        <w:tblInd w:w="0" w:type="dxa"/>
        <w:tblLayout w:type="autofit"/>
        <w:tblCellMar>
          <w:top w:w="0" w:type="dxa"/>
          <w:left w:w="108" w:type="dxa"/>
          <w:bottom w:w="0" w:type="dxa"/>
          <w:right w:w="108" w:type="dxa"/>
        </w:tblCellMar>
      </w:tblPr>
      <w:tblGrid>
        <w:gridCol w:w="456"/>
        <w:gridCol w:w="2196"/>
        <w:gridCol w:w="1095"/>
        <w:gridCol w:w="1236"/>
        <w:gridCol w:w="838"/>
        <w:gridCol w:w="961"/>
        <w:gridCol w:w="829"/>
        <w:gridCol w:w="961"/>
        <w:gridCol w:w="1076"/>
      </w:tblGrid>
      <w:tr w14:paraId="0520788A">
        <w:tblPrEx>
          <w:tblCellMar>
            <w:top w:w="0" w:type="dxa"/>
            <w:left w:w="108" w:type="dxa"/>
            <w:bottom w:w="0" w:type="dxa"/>
            <w:right w:w="108" w:type="dxa"/>
          </w:tblCellMar>
        </w:tblPrEx>
        <w:trPr>
          <w:trHeight w:val="479" w:hRule="atLeast"/>
        </w:trPr>
        <w:tc>
          <w:tcPr>
            <w:tcW w:w="223" w:type="pct"/>
            <w:vMerge w:val="restart"/>
            <w:tcBorders>
              <w:top w:val="single" w:color="auto" w:sz="4" w:space="0"/>
              <w:left w:val="single" w:color="auto" w:sz="4" w:space="0"/>
              <w:bottom w:val="single" w:color="auto" w:sz="4" w:space="0"/>
              <w:right w:val="single" w:color="auto" w:sz="4" w:space="0"/>
            </w:tcBorders>
            <w:vAlign w:val="center"/>
          </w:tcPr>
          <w:p w14:paraId="6FD7EFB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140" w:type="pct"/>
            <w:vMerge w:val="restart"/>
            <w:tcBorders>
              <w:top w:val="single" w:color="auto" w:sz="4" w:space="0"/>
              <w:left w:val="single" w:color="auto" w:sz="4" w:space="0"/>
              <w:bottom w:val="single" w:color="auto" w:sz="4" w:space="0"/>
              <w:right w:val="single" w:color="auto" w:sz="4" w:space="0"/>
            </w:tcBorders>
            <w:vAlign w:val="center"/>
          </w:tcPr>
          <w:p w14:paraId="1065FCE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流程名称</w:t>
            </w:r>
          </w:p>
        </w:tc>
        <w:tc>
          <w:tcPr>
            <w:tcW w:w="570" w:type="pct"/>
            <w:vMerge w:val="restart"/>
            <w:tcBorders>
              <w:top w:val="single" w:color="auto" w:sz="4" w:space="0"/>
              <w:left w:val="single" w:color="auto" w:sz="4" w:space="0"/>
              <w:bottom w:val="single" w:color="000000" w:sz="4" w:space="0"/>
              <w:right w:val="single" w:color="auto" w:sz="4" w:space="0"/>
            </w:tcBorders>
            <w:vAlign w:val="center"/>
          </w:tcPr>
          <w:p w14:paraId="18D1D2F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照度（Lux）</w:t>
            </w:r>
          </w:p>
        </w:tc>
        <w:tc>
          <w:tcPr>
            <w:tcW w:w="634" w:type="pct"/>
            <w:vMerge w:val="restart"/>
            <w:tcBorders>
              <w:top w:val="single" w:color="auto" w:sz="4" w:space="0"/>
              <w:left w:val="single" w:color="auto" w:sz="4" w:space="0"/>
              <w:bottom w:val="single" w:color="auto" w:sz="4" w:space="0"/>
              <w:right w:val="single" w:color="auto" w:sz="4" w:space="0"/>
            </w:tcBorders>
            <w:vAlign w:val="center"/>
          </w:tcPr>
          <w:p w14:paraId="19CE2EC5">
            <w:pPr>
              <w:pageBreakBefore w:val="0"/>
              <w:kinsoku/>
              <w:wordWrap/>
              <w:overflowPunct/>
              <w:topLinePunct w:val="0"/>
              <w:bidi w:val="0"/>
              <w:adjustRightInd w:val="0"/>
              <w:snapToGrid w:val="0"/>
              <w:spacing w:afterAutospacing="0" w:line="240" w:lineRule="auto"/>
              <w:ind w:left="0" w:leftChars="0" w:right="-61" w:rightChars="-29"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下降风速（m/s）</w:t>
            </w:r>
          </w:p>
        </w:tc>
        <w:tc>
          <w:tcPr>
            <w:tcW w:w="1369" w:type="pct"/>
            <w:gridSpan w:val="3"/>
            <w:tcBorders>
              <w:top w:val="single" w:color="auto" w:sz="4" w:space="0"/>
              <w:left w:val="nil"/>
              <w:bottom w:val="single" w:color="auto" w:sz="4" w:space="0"/>
              <w:right w:val="single" w:color="000000" w:sz="4" w:space="0"/>
            </w:tcBorders>
            <w:noWrap/>
            <w:vAlign w:val="center"/>
          </w:tcPr>
          <w:p w14:paraId="1D4F531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室体尺寸</w:t>
            </w:r>
          </w:p>
        </w:tc>
        <w:tc>
          <w:tcPr>
            <w:tcW w:w="500" w:type="pct"/>
            <w:vMerge w:val="restart"/>
            <w:tcBorders>
              <w:top w:val="single" w:color="auto" w:sz="4" w:space="0"/>
              <w:left w:val="single" w:color="auto" w:sz="4" w:space="0"/>
              <w:bottom w:val="single" w:color="auto" w:sz="4" w:space="0"/>
              <w:right w:val="single" w:color="auto" w:sz="4" w:space="0"/>
            </w:tcBorders>
            <w:vAlign w:val="center"/>
          </w:tcPr>
          <w:p w14:paraId="3615AA3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输送方式</w:t>
            </w:r>
          </w:p>
        </w:tc>
        <w:tc>
          <w:tcPr>
            <w:tcW w:w="560" w:type="pct"/>
            <w:vMerge w:val="restart"/>
            <w:tcBorders>
              <w:top w:val="single" w:color="auto" w:sz="4" w:space="0"/>
              <w:left w:val="single" w:color="auto" w:sz="4" w:space="0"/>
              <w:bottom w:val="single" w:color="000000" w:sz="4" w:space="0"/>
              <w:right w:val="single" w:color="auto" w:sz="4" w:space="0"/>
            </w:tcBorders>
            <w:vAlign w:val="center"/>
          </w:tcPr>
          <w:p w14:paraId="737BA4E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14:paraId="0BE41868">
        <w:tblPrEx>
          <w:tblCellMar>
            <w:top w:w="0" w:type="dxa"/>
            <w:left w:w="108" w:type="dxa"/>
            <w:bottom w:w="0" w:type="dxa"/>
            <w:right w:w="108" w:type="dxa"/>
          </w:tblCellMar>
        </w:tblPrEx>
        <w:trPr>
          <w:trHeight w:val="948" w:hRule="atLeast"/>
        </w:trPr>
        <w:tc>
          <w:tcPr>
            <w:tcW w:w="223" w:type="pct"/>
            <w:vMerge w:val="continue"/>
            <w:tcBorders>
              <w:top w:val="single" w:color="auto" w:sz="4" w:space="0"/>
              <w:left w:val="single" w:color="auto" w:sz="4" w:space="0"/>
              <w:bottom w:val="single" w:color="auto" w:sz="4" w:space="0"/>
              <w:right w:val="single" w:color="auto" w:sz="4" w:space="0"/>
            </w:tcBorders>
            <w:vAlign w:val="center"/>
          </w:tcPr>
          <w:p w14:paraId="16D75C9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1140" w:type="pct"/>
            <w:vMerge w:val="continue"/>
            <w:tcBorders>
              <w:top w:val="single" w:color="auto" w:sz="4" w:space="0"/>
              <w:left w:val="single" w:color="auto" w:sz="4" w:space="0"/>
              <w:bottom w:val="single" w:color="auto" w:sz="4" w:space="0"/>
              <w:right w:val="single" w:color="auto" w:sz="4" w:space="0"/>
            </w:tcBorders>
            <w:vAlign w:val="center"/>
          </w:tcPr>
          <w:p w14:paraId="4705313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70" w:type="pct"/>
            <w:vMerge w:val="continue"/>
            <w:tcBorders>
              <w:top w:val="single" w:color="auto" w:sz="4" w:space="0"/>
              <w:left w:val="single" w:color="auto" w:sz="4" w:space="0"/>
              <w:bottom w:val="single" w:color="000000" w:sz="4" w:space="0"/>
              <w:right w:val="single" w:color="auto" w:sz="4" w:space="0"/>
            </w:tcBorders>
            <w:vAlign w:val="center"/>
          </w:tcPr>
          <w:p w14:paraId="6B1C18C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34" w:type="pct"/>
            <w:vMerge w:val="continue"/>
            <w:tcBorders>
              <w:top w:val="single" w:color="auto" w:sz="4" w:space="0"/>
              <w:left w:val="single" w:color="auto" w:sz="4" w:space="0"/>
              <w:bottom w:val="single" w:color="auto" w:sz="4" w:space="0"/>
              <w:right w:val="single" w:color="auto" w:sz="4" w:space="0"/>
            </w:tcBorders>
            <w:vAlign w:val="center"/>
          </w:tcPr>
          <w:p w14:paraId="6DC9730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437" w:type="pct"/>
            <w:tcBorders>
              <w:top w:val="nil"/>
              <w:left w:val="nil"/>
              <w:bottom w:val="single" w:color="auto" w:sz="4" w:space="0"/>
              <w:right w:val="single" w:color="auto" w:sz="4" w:space="0"/>
            </w:tcBorders>
            <w:vAlign w:val="center"/>
          </w:tcPr>
          <w:p w14:paraId="42BAB4C4">
            <w:pPr>
              <w:pageBreakBefore w:val="0"/>
              <w:kinsoku/>
              <w:wordWrap/>
              <w:overflowPunct/>
              <w:topLinePunct w:val="0"/>
              <w:bidi w:val="0"/>
              <w:adjustRightInd w:val="0"/>
              <w:snapToGrid w:val="0"/>
              <w:spacing w:afterAutospacing="0" w:line="240" w:lineRule="auto"/>
              <w:ind w:left="0" w:leftChars="0" w:right="-71" w:rightChars="-34"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(m)</w:t>
            </w:r>
          </w:p>
          <w:p w14:paraId="04F96B1C">
            <w:pPr>
              <w:pageBreakBefore w:val="0"/>
              <w:kinsoku/>
              <w:wordWrap/>
              <w:overflowPunct/>
              <w:topLinePunct w:val="0"/>
              <w:bidi w:val="0"/>
              <w:adjustRightInd w:val="0"/>
              <w:snapToGrid w:val="0"/>
              <w:spacing w:afterAutospacing="0" w:line="240" w:lineRule="auto"/>
              <w:ind w:left="0" w:leftChars="0" w:right="-71" w:rightChars="-34"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长度</w:t>
            </w:r>
          </w:p>
        </w:tc>
        <w:tc>
          <w:tcPr>
            <w:tcW w:w="500" w:type="pct"/>
            <w:tcBorders>
              <w:top w:val="nil"/>
              <w:left w:val="nil"/>
              <w:bottom w:val="single" w:color="auto" w:sz="4" w:space="0"/>
              <w:right w:val="single" w:color="auto" w:sz="4" w:space="0"/>
            </w:tcBorders>
            <w:vAlign w:val="center"/>
          </w:tcPr>
          <w:p w14:paraId="7B34CBD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宽度（m）</w:t>
            </w:r>
          </w:p>
        </w:tc>
        <w:tc>
          <w:tcPr>
            <w:tcW w:w="432" w:type="pct"/>
            <w:tcBorders>
              <w:top w:val="nil"/>
              <w:left w:val="nil"/>
              <w:bottom w:val="single" w:color="auto" w:sz="4" w:space="0"/>
              <w:right w:val="single" w:color="auto" w:sz="4" w:space="0"/>
            </w:tcBorders>
            <w:vAlign w:val="center"/>
          </w:tcPr>
          <w:p w14:paraId="13BD98C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高度</w:t>
            </w:r>
          </w:p>
          <w:p w14:paraId="7C813BD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（m）</w:t>
            </w:r>
          </w:p>
        </w:tc>
        <w:tc>
          <w:tcPr>
            <w:tcW w:w="500" w:type="pct"/>
            <w:vMerge w:val="continue"/>
            <w:tcBorders>
              <w:top w:val="single" w:color="auto" w:sz="4" w:space="0"/>
              <w:left w:val="single" w:color="auto" w:sz="4" w:space="0"/>
              <w:bottom w:val="single" w:color="auto" w:sz="4" w:space="0"/>
              <w:right w:val="single" w:color="auto" w:sz="4" w:space="0"/>
            </w:tcBorders>
            <w:vAlign w:val="center"/>
          </w:tcPr>
          <w:p w14:paraId="265CE51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60" w:type="pct"/>
            <w:vMerge w:val="continue"/>
            <w:tcBorders>
              <w:top w:val="single" w:color="auto" w:sz="4" w:space="0"/>
              <w:left w:val="single" w:color="auto" w:sz="4" w:space="0"/>
              <w:bottom w:val="single" w:color="000000" w:sz="4" w:space="0"/>
              <w:right w:val="single" w:color="auto" w:sz="4" w:space="0"/>
            </w:tcBorders>
            <w:vAlign w:val="center"/>
          </w:tcPr>
          <w:p w14:paraId="26434FA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385F1C06">
        <w:tblPrEx>
          <w:tblCellMar>
            <w:top w:w="0" w:type="dxa"/>
            <w:left w:w="108" w:type="dxa"/>
            <w:bottom w:w="0" w:type="dxa"/>
            <w:right w:w="108" w:type="dxa"/>
          </w:tblCellMar>
        </w:tblPrEx>
        <w:trPr>
          <w:trHeight w:val="486"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01EA46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140" w:type="pct"/>
            <w:tcBorders>
              <w:top w:val="nil"/>
              <w:left w:val="nil"/>
              <w:bottom w:val="single" w:color="auto" w:sz="4" w:space="0"/>
              <w:right w:val="single" w:color="auto" w:sz="4" w:space="0"/>
            </w:tcBorders>
            <w:shd w:val="clear" w:color="auto" w:fill="auto"/>
            <w:vAlign w:val="center"/>
          </w:tcPr>
          <w:p w14:paraId="52927E3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570" w:type="pct"/>
            <w:tcBorders>
              <w:top w:val="nil"/>
              <w:left w:val="nil"/>
              <w:bottom w:val="single" w:color="auto" w:sz="4" w:space="0"/>
              <w:right w:val="single" w:color="auto" w:sz="4" w:space="0"/>
            </w:tcBorders>
            <w:shd w:val="clear" w:color="auto" w:fill="FFFFFF"/>
            <w:noWrap/>
            <w:vAlign w:val="center"/>
          </w:tcPr>
          <w:p w14:paraId="482385C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634" w:type="pct"/>
            <w:tcBorders>
              <w:top w:val="nil"/>
              <w:left w:val="nil"/>
              <w:bottom w:val="single" w:color="auto" w:sz="4" w:space="0"/>
              <w:right w:val="single" w:color="auto" w:sz="4" w:space="0"/>
            </w:tcBorders>
            <w:shd w:val="clear" w:color="auto" w:fill="FFFFFF"/>
            <w:noWrap/>
            <w:vAlign w:val="center"/>
          </w:tcPr>
          <w:p w14:paraId="66310E2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9" w:type="pct"/>
            <w:gridSpan w:val="3"/>
            <w:vMerge w:val="restart"/>
            <w:tcBorders>
              <w:top w:val="single" w:color="auto" w:sz="4" w:space="0"/>
              <w:left w:val="nil"/>
              <w:right w:val="single" w:color="auto" w:sz="4" w:space="0"/>
            </w:tcBorders>
            <w:shd w:val="clear" w:color="auto" w:fill="FFFFFF"/>
            <w:noWrap/>
            <w:vAlign w:val="center"/>
          </w:tcPr>
          <w:p w14:paraId="5526F89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500" w:type="pct"/>
            <w:tcBorders>
              <w:top w:val="nil"/>
              <w:left w:val="nil"/>
              <w:bottom w:val="single" w:color="auto" w:sz="4" w:space="0"/>
              <w:right w:val="single" w:color="auto" w:sz="4" w:space="0"/>
            </w:tcBorders>
            <w:shd w:val="clear" w:color="auto" w:fill="FFFFFF"/>
            <w:noWrap/>
            <w:vAlign w:val="center"/>
          </w:tcPr>
          <w:p w14:paraId="163208C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769EBEE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482F034F">
        <w:tblPrEx>
          <w:tblCellMar>
            <w:top w:w="0" w:type="dxa"/>
            <w:left w:w="108" w:type="dxa"/>
            <w:bottom w:w="0" w:type="dxa"/>
            <w:right w:w="108" w:type="dxa"/>
          </w:tblCellMar>
        </w:tblPrEx>
        <w:trPr>
          <w:trHeight w:val="486"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747A219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140" w:type="pct"/>
            <w:tcBorders>
              <w:top w:val="nil"/>
              <w:left w:val="nil"/>
              <w:bottom w:val="single" w:color="auto" w:sz="4" w:space="0"/>
              <w:right w:val="single" w:color="auto" w:sz="4" w:space="0"/>
            </w:tcBorders>
            <w:shd w:val="clear" w:color="auto" w:fill="FFFFFF"/>
            <w:vAlign w:val="center"/>
          </w:tcPr>
          <w:p w14:paraId="63F9C46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清漆内板手动喷涂</w:t>
            </w:r>
          </w:p>
        </w:tc>
        <w:tc>
          <w:tcPr>
            <w:tcW w:w="570" w:type="pct"/>
            <w:tcBorders>
              <w:top w:val="nil"/>
              <w:left w:val="nil"/>
              <w:bottom w:val="single" w:color="auto" w:sz="4" w:space="0"/>
              <w:right w:val="single" w:color="auto" w:sz="4" w:space="0"/>
            </w:tcBorders>
            <w:shd w:val="clear" w:color="auto" w:fill="FFFFFF"/>
            <w:noWrap/>
            <w:vAlign w:val="center"/>
          </w:tcPr>
          <w:p w14:paraId="2211B29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634" w:type="pct"/>
            <w:tcBorders>
              <w:top w:val="nil"/>
              <w:left w:val="nil"/>
              <w:bottom w:val="single" w:color="auto" w:sz="4" w:space="0"/>
              <w:right w:val="single" w:color="auto" w:sz="4" w:space="0"/>
            </w:tcBorders>
            <w:shd w:val="clear" w:color="auto" w:fill="FFFFFF"/>
            <w:noWrap/>
            <w:vAlign w:val="center"/>
          </w:tcPr>
          <w:p w14:paraId="3B3AC2F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9" w:type="pct"/>
            <w:gridSpan w:val="3"/>
            <w:vMerge w:val="continue"/>
            <w:tcBorders>
              <w:left w:val="nil"/>
              <w:right w:val="single" w:color="auto" w:sz="4" w:space="0"/>
            </w:tcBorders>
            <w:shd w:val="clear" w:color="auto" w:fill="FFFFFF"/>
            <w:noWrap/>
            <w:vAlign w:val="center"/>
          </w:tcPr>
          <w:p w14:paraId="62F0522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0" w:type="pct"/>
            <w:tcBorders>
              <w:top w:val="nil"/>
              <w:left w:val="nil"/>
              <w:bottom w:val="single" w:color="auto" w:sz="4" w:space="0"/>
              <w:right w:val="single" w:color="auto" w:sz="4" w:space="0"/>
            </w:tcBorders>
            <w:shd w:val="clear" w:color="auto" w:fill="FFFFFF"/>
            <w:noWrap/>
            <w:vAlign w:val="center"/>
          </w:tcPr>
          <w:p w14:paraId="4F87D38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1DABE7F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369FC8E9">
        <w:tblPrEx>
          <w:tblCellMar>
            <w:top w:w="0" w:type="dxa"/>
            <w:left w:w="108" w:type="dxa"/>
            <w:bottom w:w="0" w:type="dxa"/>
            <w:right w:w="108" w:type="dxa"/>
          </w:tblCellMar>
        </w:tblPrEx>
        <w:trPr>
          <w:trHeight w:val="486"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320D869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140" w:type="pct"/>
            <w:tcBorders>
              <w:top w:val="nil"/>
              <w:left w:val="nil"/>
              <w:bottom w:val="single" w:color="auto" w:sz="4" w:space="0"/>
              <w:right w:val="single" w:color="auto" w:sz="4" w:space="0"/>
            </w:tcBorders>
            <w:shd w:val="clear" w:color="auto" w:fill="FFFFFF"/>
            <w:vAlign w:val="center"/>
          </w:tcPr>
          <w:p w14:paraId="0F2C7D2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570" w:type="pct"/>
            <w:tcBorders>
              <w:top w:val="nil"/>
              <w:left w:val="nil"/>
              <w:bottom w:val="single" w:color="auto" w:sz="4" w:space="0"/>
              <w:right w:val="single" w:color="auto" w:sz="4" w:space="0"/>
            </w:tcBorders>
            <w:shd w:val="clear" w:color="auto" w:fill="FFFFFF"/>
            <w:noWrap/>
            <w:vAlign w:val="center"/>
          </w:tcPr>
          <w:p w14:paraId="270D421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634" w:type="pct"/>
            <w:tcBorders>
              <w:top w:val="nil"/>
              <w:left w:val="nil"/>
              <w:bottom w:val="single" w:color="auto" w:sz="4" w:space="0"/>
              <w:right w:val="single" w:color="auto" w:sz="4" w:space="0"/>
            </w:tcBorders>
            <w:shd w:val="clear" w:color="auto" w:fill="FFFFFF"/>
            <w:noWrap/>
            <w:vAlign w:val="center"/>
          </w:tcPr>
          <w:p w14:paraId="28DD3E8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9" w:type="pct"/>
            <w:gridSpan w:val="3"/>
            <w:vMerge w:val="continue"/>
            <w:tcBorders>
              <w:left w:val="nil"/>
              <w:right w:val="single" w:color="auto" w:sz="4" w:space="0"/>
            </w:tcBorders>
            <w:shd w:val="clear" w:color="auto" w:fill="FFFFFF"/>
            <w:noWrap/>
            <w:vAlign w:val="center"/>
          </w:tcPr>
          <w:p w14:paraId="036E067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0" w:type="pct"/>
            <w:tcBorders>
              <w:top w:val="nil"/>
              <w:left w:val="nil"/>
              <w:bottom w:val="single" w:color="auto" w:sz="4" w:space="0"/>
              <w:right w:val="single" w:color="auto" w:sz="4" w:space="0"/>
            </w:tcBorders>
            <w:shd w:val="clear" w:color="auto" w:fill="FFFFFF"/>
            <w:noWrap/>
            <w:vAlign w:val="center"/>
          </w:tcPr>
          <w:p w14:paraId="67696A1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5660827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08E0FCDB">
        <w:tblPrEx>
          <w:tblCellMar>
            <w:top w:w="0" w:type="dxa"/>
            <w:left w:w="108" w:type="dxa"/>
            <w:bottom w:w="0" w:type="dxa"/>
            <w:right w:w="108" w:type="dxa"/>
          </w:tblCellMar>
        </w:tblPrEx>
        <w:trPr>
          <w:trHeight w:val="486"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6694B51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140" w:type="pct"/>
            <w:tcBorders>
              <w:top w:val="nil"/>
              <w:left w:val="nil"/>
              <w:bottom w:val="single" w:color="auto" w:sz="4" w:space="0"/>
              <w:right w:val="single" w:color="auto" w:sz="4" w:space="0"/>
            </w:tcBorders>
            <w:shd w:val="clear" w:color="auto" w:fill="FFFFFF"/>
            <w:vAlign w:val="center"/>
          </w:tcPr>
          <w:p w14:paraId="79DF14F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自动清漆外板</w:t>
            </w:r>
          </w:p>
        </w:tc>
        <w:tc>
          <w:tcPr>
            <w:tcW w:w="570" w:type="pct"/>
            <w:tcBorders>
              <w:top w:val="nil"/>
              <w:left w:val="nil"/>
              <w:bottom w:val="single" w:color="auto" w:sz="4" w:space="0"/>
              <w:right w:val="single" w:color="auto" w:sz="4" w:space="0"/>
            </w:tcBorders>
            <w:shd w:val="clear" w:color="auto" w:fill="FFFFFF"/>
            <w:noWrap/>
            <w:vAlign w:val="center"/>
          </w:tcPr>
          <w:p w14:paraId="75154E3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634" w:type="pct"/>
            <w:tcBorders>
              <w:top w:val="nil"/>
              <w:left w:val="nil"/>
              <w:bottom w:val="single" w:color="auto" w:sz="4" w:space="0"/>
              <w:right w:val="single" w:color="auto" w:sz="4" w:space="0"/>
            </w:tcBorders>
            <w:shd w:val="clear" w:color="auto" w:fill="FFFFFF"/>
            <w:noWrap/>
            <w:vAlign w:val="center"/>
          </w:tcPr>
          <w:p w14:paraId="1A0039A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9" w:type="pct"/>
            <w:gridSpan w:val="3"/>
            <w:vMerge w:val="continue"/>
            <w:tcBorders>
              <w:left w:val="nil"/>
              <w:right w:val="single" w:color="auto" w:sz="4" w:space="0"/>
            </w:tcBorders>
            <w:shd w:val="clear" w:color="auto" w:fill="FFFFFF"/>
            <w:noWrap/>
            <w:vAlign w:val="center"/>
          </w:tcPr>
          <w:p w14:paraId="5683F58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0" w:type="pct"/>
            <w:tcBorders>
              <w:top w:val="nil"/>
              <w:left w:val="nil"/>
              <w:bottom w:val="single" w:color="auto" w:sz="4" w:space="0"/>
              <w:right w:val="single" w:color="auto" w:sz="4" w:space="0"/>
            </w:tcBorders>
            <w:shd w:val="clear" w:color="auto" w:fill="FFFFFF"/>
            <w:noWrap/>
            <w:vAlign w:val="center"/>
          </w:tcPr>
          <w:p w14:paraId="4122A7F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266284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299911CB">
        <w:tblPrEx>
          <w:tblCellMar>
            <w:top w:w="0" w:type="dxa"/>
            <w:left w:w="108" w:type="dxa"/>
            <w:bottom w:w="0" w:type="dxa"/>
            <w:right w:w="108" w:type="dxa"/>
          </w:tblCellMar>
        </w:tblPrEx>
        <w:trPr>
          <w:trHeight w:val="486"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2F27610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140" w:type="pct"/>
            <w:tcBorders>
              <w:top w:val="nil"/>
              <w:left w:val="nil"/>
              <w:bottom w:val="single" w:color="auto" w:sz="4" w:space="0"/>
              <w:right w:val="single" w:color="auto" w:sz="4" w:space="0"/>
            </w:tcBorders>
            <w:shd w:val="clear" w:color="auto" w:fill="FFFFFF"/>
            <w:vAlign w:val="center"/>
          </w:tcPr>
          <w:p w14:paraId="504644F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气封</w:t>
            </w:r>
          </w:p>
        </w:tc>
        <w:tc>
          <w:tcPr>
            <w:tcW w:w="570" w:type="pct"/>
            <w:tcBorders>
              <w:top w:val="nil"/>
              <w:left w:val="nil"/>
              <w:bottom w:val="single" w:color="auto" w:sz="4" w:space="0"/>
              <w:right w:val="single" w:color="auto" w:sz="4" w:space="0"/>
            </w:tcBorders>
            <w:shd w:val="clear" w:color="auto" w:fill="FFFFFF"/>
            <w:noWrap/>
            <w:vAlign w:val="center"/>
          </w:tcPr>
          <w:p w14:paraId="2CC29C0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634" w:type="pct"/>
            <w:tcBorders>
              <w:top w:val="nil"/>
              <w:left w:val="nil"/>
              <w:bottom w:val="single" w:color="auto" w:sz="4" w:space="0"/>
              <w:right w:val="single" w:color="auto" w:sz="4" w:space="0"/>
            </w:tcBorders>
            <w:shd w:val="clear" w:color="auto" w:fill="FFFFFF"/>
            <w:noWrap/>
            <w:vAlign w:val="center"/>
          </w:tcPr>
          <w:p w14:paraId="1EFFB8E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0.2</w:t>
            </w:r>
          </w:p>
        </w:tc>
        <w:tc>
          <w:tcPr>
            <w:tcW w:w="1369" w:type="pct"/>
            <w:gridSpan w:val="3"/>
            <w:vMerge w:val="continue"/>
            <w:tcBorders>
              <w:left w:val="nil"/>
              <w:right w:val="single" w:color="auto" w:sz="4" w:space="0"/>
            </w:tcBorders>
            <w:shd w:val="clear" w:color="auto" w:fill="FFFFFF"/>
            <w:noWrap/>
            <w:vAlign w:val="center"/>
          </w:tcPr>
          <w:p w14:paraId="398E157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0" w:type="pct"/>
            <w:tcBorders>
              <w:top w:val="nil"/>
              <w:left w:val="nil"/>
              <w:bottom w:val="single" w:color="auto" w:sz="4" w:space="0"/>
              <w:right w:val="single" w:color="auto" w:sz="4" w:space="0"/>
            </w:tcBorders>
            <w:shd w:val="clear" w:color="auto" w:fill="FFFFFF"/>
            <w:noWrap/>
            <w:vAlign w:val="center"/>
          </w:tcPr>
          <w:p w14:paraId="1BC382E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5313233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6F5FFEFD">
        <w:tblPrEx>
          <w:tblCellMar>
            <w:top w:w="0" w:type="dxa"/>
            <w:left w:w="108" w:type="dxa"/>
            <w:bottom w:w="0" w:type="dxa"/>
            <w:right w:w="108" w:type="dxa"/>
          </w:tblCellMar>
        </w:tblPrEx>
        <w:trPr>
          <w:trHeight w:val="486"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4E313BF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1140" w:type="pct"/>
            <w:tcBorders>
              <w:top w:val="nil"/>
              <w:left w:val="nil"/>
              <w:bottom w:val="single" w:color="auto" w:sz="4" w:space="0"/>
              <w:right w:val="single" w:color="auto" w:sz="4" w:space="0"/>
            </w:tcBorders>
            <w:shd w:val="clear" w:color="auto" w:fill="FFFFFF"/>
            <w:vAlign w:val="center"/>
          </w:tcPr>
          <w:p w14:paraId="73033F1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检查补喷</w:t>
            </w:r>
          </w:p>
        </w:tc>
        <w:tc>
          <w:tcPr>
            <w:tcW w:w="570" w:type="pct"/>
            <w:tcBorders>
              <w:top w:val="nil"/>
              <w:left w:val="nil"/>
              <w:bottom w:val="single" w:color="auto" w:sz="4" w:space="0"/>
              <w:right w:val="single" w:color="auto" w:sz="4" w:space="0"/>
            </w:tcBorders>
            <w:shd w:val="clear" w:color="auto" w:fill="FFFFFF"/>
            <w:noWrap/>
            <w:vAlign w:val="center"/>
          </w:tcPr>
          <w:p w14:paraId="2053965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≥800</w:t>
            </w:r>
          </w:p>
        </w:tc>
        <w:tc>
          <w:tcPr>
            <w:tcW w:w="634" w:type="pct"/>
            <w:tcBorders>
              <w:top w:val="nil"/>
              <w:left w:val="nil"/>
              <w:bottom w:val="single" w:color="auto" w:sz="4" w:space="0"/>
              <w:right w:val="single" w:color="auto" w:sz="4" w:space="0"/>
            </w:tcBorders>
            <w:shd w:val="clear" w:color="auto" w:fill="FFFFFF"/>
            <w:noWrap/>
            <w:vAlign w:val="center"/>
          </w:tcPr>
          <w:p w14:paraId="0E36330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0.35</w:t>
            </w:r>
          </w:p>
        </w:tc>
        <w:tc>
          <w:tcPr>
            <w:tcW w:w="1369" w:type="pct"/>
            <w:gridSpan w:val="3"/>
            <w:vMerge w:val="continue"/>
            <w:tcBorders>
              <w:left w:val="nil"/>
              <w:right w:val="single" w:color="auto" w:sz="4" w:space="0"/>
            </w:tcBorders>
            <w:shd w:val="clear" w:color="auto" w:fill="FFFFFF"/>
            <w:noWrap/>
            <w:vAlign w:val="center"/>
          </w:tcPr>
          <w:p w14:paraId="06FB928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0" w:type="pct"/>
            <w:tcBorders>
              <w:top w:val="nil"/>
              <w:left w:val="nil"/>
              <w:bottom w:val="single" w:color="auto" w:sz="4" w:space="0"/>
              <w:right w:val="single" w:color="auto" w:sz="4" w:space="0"/>
            </w:tcBorders>
            <w:shd w:val="clear" w:color="auto" w:fill="FFFFFF"/>
            <w:noWrap/>
            <w:vAlign w:val="center"/>
          </w:tcPr>
          <w:p w14:paraId="6C8DA34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1ED4CE2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r w14:paraId="2BFD74E2">
        <w:tblPrEx>
          <w:tblCellMar>
            <w:top w:w="0" w:type="dxa"/>
            <w:left w:w="108" w:type="dxa"/>
            <w:bottom w:w="0" w:type="dxa"/>
            <w:right w:w="108" w:type="dxa"/>
          </w:tblCellMar>
        </w:tblPrEx>
        <w:trPr>
          <w:trHeight w:val="490" w:hRule="atLeast"/>
        </w:trPr>
        <w:tc>
          <w:tcPr>
            <w:tcW w:w="223" w:type="pct"/>
            <w:tcBorders>
              <w:top w:val="nil"/>
              <w:left w:val="single" w:color="auto" w:sz="4" w:space="0"/>
              <w:bottom w:val="single" w:color="auto" w:sz="4" w:space="0"/>
              <w:right w:val="single" w:color="auto" w:sz="4" w:space="0"/>
            </w:tcBorders>
            <w:shd w:val="clear" w:color="auto" w:fill="FFFFFF"/>
            <w:noWrap/>
            <w:vAlign w:val="center"/>
          </w:tcPr>
          <w:p w14:paraId="3A37B16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1140" w:type="pct"/>
            <w:tcBorders>
              <w:top w:val="nil"/>
              <w:left w:val="nil"/>
              <w:bottom w:val="single" w:color="auto" w:sz="4" w:space="0"/>
              <w:right w:val="single" w:color="auto" w:sz="4" w:space="0"/>
            </w:tcBorders>
            <w:shd w:val="clear" w:color="auto" w:fill="FFFFFF"/>
            <w:vAlign w:val="center"/>
          </w:tcPr>
          <w:p w14:paraId="2092D93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晾干</w:t>
            </w:r>
          </w:p>
        </w:tc>
        <w:tc>
          <w:tcPr>
            <w:tcW w:w="570" w:type="pct"/>
            <w:tcBorders>
              <w:top w:val="nil"/>
              <w:left w:val="nil"/>
              <w:bottom w:val="single" w:color="auto" w:sz="4" w:space="0"/>
              <w:right w:val="single" w:color="auto" w:sz="4" w:space="0"/>
            </w:tcBorders>
            <w:shd w:val="clear" w:color="auto" w:fill="FFFFFF"/>
            <w:noWrap/>
            <w:vAlign w:val="center"/>
          </w:tcPr>
          <w:p w14:paraId="08D4A0A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≥300</w:t>
            </w:r>
          </w:p>
        </w:tc>
        <w:tc>
          <w:tcPr>
            <w:tcW w:w="634" w:type="pct"/>
            <w:tcBorders>
              <w:top w:val="nil"/>
              <w:left w:val="nil"/>
              <w:bottom w:val="single" w:color="auto" w:sz="4" w:space="0"/>
              <w:right w:val="single" w:color="auto" w:sz="4" w:space="0"/>
            </w:tcBorders>
            <w:shd w:val="clear" w:color="auto" w:fill="FFFFFF"/>
            <w:noWrap/>
            <w:vAlign w:val="center"/>
          </w:tcPr>
          <w:p w14:paraId="765418F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30次／ｈ</w:t>
            </w:r>
          </w:p>
        </w:tc>
        <w:tc>
          <w:tcPr>
            <w:tcW w:w="1369" w:type="pct"/>
            <w:gridSpan w:val="3"/>
            <w:vMerge w:val="continue"/>
            <w:tcBorders>
              <w:left w:val="nil"/>
              <w:bottom w:val="single" w:color="auto" w:sz="4" w:space="0"/>
              <w:right w:val="single" w:color="auto" w:sz="4" w:space="0"/>
            </w:tcBorders>
            <w:shd w:val="clear" w:color="auto" w:fill="FFFFFF"/>
            <w:noWrap/>
            <w:vAlign w:val="center"/>
          </w:tcPr>
          <w:p w14:paraId="27C5AF7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500" w:type="pct"/>
            <w:tcBorders>
              <w:top w:val="nil"/>
              <w:left w:val="nil"/>
              <w:bottom w:val="single" w:color="auto" w:sz="4" w:space="0"/>
              <w:right w:val="single" w:color="auto" w:sz="4" w:space="0"/>
            </w:tcBorders>
            <w:shd w:val="clear" w:color="auto" w:fill="FFFFFF"/>
            <w:noWrap/>
            <w:vAlign w:val="center"/>
          </w:tcPr>
          <w:p w14:paraId="63CEA78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连续式</w:t>
            </w:r>
          </w:p>
        </w:tc>
        <w:tc>
          <w:tcPr>
            <w:tcW w:w="560" w:type="pct"/>
            <w:tcBorders>
              <w:top w:val="nil"/>
              <w:left w:val="nil"/>
              <w:bottom w:val="single" w:color="auto" w:sz="4" w:space="0"/>
              <w:right w:val="single" w:color="auto" w:sz="4" w:space="0"/>
            </w:tcBorders>
            <w:shd w:val="clear" w:color="auto" w:fill="FFFFFF"/>
            <w:noWrap/>
            <w:vAlign w:val="center"/>
          </w:tcPr>
          <w:p w14:paraId="77E8851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室体</w:t>
            </w:r>
          </w:p>
        </w:tc>
      </w:tr>
    </w:tbl>
    <w:p w14:paraId="7BCB8BC7">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3.喷漆室技术要求：</w:t>
      </w:r>
    </w:p>
    <w:p w14:paraId="38A6D418">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确保满足喷漆室各工艺段风速、风量、照度的要求，详见工位基础参数表。</w:t>
      </w:r>
    </w:p>
    <w:p w14:paraId="71469C4F">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确保满足喷漆室各工艺段风速、风量均匀性的要求，风量可调，调量准确、可靠。</w:t>
      </w:r>
    </w:p>
    <w:p w14:paraId="067CF56C">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确保喷漆室内各工艺段或隔段之间风向不漂移。</w:t>
      </w:r>
    </w:p>
    <w:p w14:paraId="1BE979B0">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确保喷漆室在生产时处在微正压状态，平时不生产时喷漆室不能是负压状态（含晾干室、过渡段等）。</w:t>
      </w:r>
    </w:p>
    <w:p w14:paraId="2E9E659D">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喷漆室废漆处理系统在处理过喷漆雾的效率要求达到95%以上。</w:t>
      </w:r>
    </w:p>
    <w:p w14:paraId="59AF810C">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喷漆室各工艺段之间设过渡间设玻璃仿形门，同时确保车身通过性的要求。</w:t>
      </w:r>
    </w:p>
    <w:p w14:paraId="70CD4888">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喷漆室室内的高度确保机器人运行的要求。</w:t>
      </w:r>
    </w:p>
    <w:p w14:paraId="3C8400F7">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B1B2喷漆室所用材料材质要求适应水性漆涂料的要求。</w:t>
      </w:r>
    </w:p>
    <w:p w14:paraId="61D4CA5F">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B1B2喷漆室所用的装置和设备必须适应水性漆涂料的使用要求。</w:t>
      </w:r>
    </w:p>
    <w:p w14:paraId="432565E0">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喷漆室内按安全标准设计，喷漆室、晾干间等有防爆要求区域的设备均要求防爆，确保通过消防验收。</w:t>
      </w:r>
    </w:p>
    <w:p w14:paraId="79E3581C">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室内照明灯开关控制要求：每工艺分隔段设两个回路，其中一个回路按分隔段长度在12~20m控制两个灯箱的照明灯；分隔段长度在6~12m控制一个灯箱的照明灯，另一个控制回路控制分隔段剩下来的全部照明灯箱。</w:t>
      </w:r>
    </w:p>
    <w:p w14:paraId="61AC81DE">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施工结束后所有生产线、工位、辅助区段和所有功能件按施工流程图上的名称、编号配备中、英文对照的标牌，要求标牌准确、固定牢靠、美观、易于辨认、不易污染，标签装入透明塑料壳中。</w:t>
      </w:r>
    </w:p>
    <w:p w14:paraId="2233BD93">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对</w:t>
      </w:r>
      <w:r>
        <w:rPr>
          <w:rFonts w:hint="eastAsia" w:ascii="宋体" w:hAnsi="宋体" w:cs="宋体"/>
          <w:color w:val="000000"/>
          <w:lang w:eastAsia="zh-CN"/>
        </w:rPr>
        <w:t>招标人</w:t>
      </w:r>
      <w:r>
        <w:rPr>
          <w:rFonts w:hint="eastAsia" w:ascii="宋体" w:hAnsi="宋体" w:eastAsia="宋体" w:cs="宋体"/>
          <w:color w:val="000000"/>
        </w:rPr>
        <w:t>提出的工艺设计说明、工艺要求、材料清单及数量、功能件清单及数量、配套件、配套设备等各项要求，</w:t>
      </w:r>
      <w:r>
        <w:rPr>
          <w:rFonts w:hint="eastAsia" w:ascii="宋体" w:hAnsi="宋体" w:cs="宋体"/>
          <w:color w:val="000000"/>
          <w:lang w:eastAsia="zh-CN"/>
        </w:rPr>
        <w:t>投标人</w:t>
      </w:r>
      <w:r>
        <w:rPr>
          <w:rFonts w:hint="eastAsia" w:ascii="宋体" w:hAnsi="宋体" w:eastAsia="宋体" w:cs="宋体"/>
          <w:color w:val="000000"/>
        </w:rPr>
        <w:t>必须对其进行认真核实，并对工艺设计、工艺要求、功能件、配套件、全部设备的各项功能、性能等负全责，同时要保证设备运行的可靠性、安全性、节能性；要保证生产出产品质量的各项指标要满足</w:t>
      </w:r>
      <w:r>
        <w:rPr>
          <w:rFonts w:hint="eastAsia" w:ascii="宋体" w:hAnsi="宋体" w:cs="宋体"/>
          <w:color w:val="000000"/>
          <w:lang w:eastAsia="zh-CN"/>
        </w:rPr>
        <w:t>招标人</w:t>
      </w:r>
      <w:r>
        <w:rPr>
          <w:rFonts w:hint="eastAsia" w:ascii="宋体" w:hAnsi="宋体" w:eastAsia="宋体" w:cs="宋体"/>
          <w:color w:val="000000"/>
        </w:rPr>
        <w:t xml:space="preserve">对产品的各项指标要求。 </w:t>
      </w:r>
    </w:p>
    <w:p w14:paraId="031D7FF7">
      <w:pPr>
        <w:pStyle w:val="17"/>
        <w:pageBreakBefore w:val="0"/>
        <w:numPr>
          <w:ilvl w:val="0"/>
          <w:numId w:val="8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喷涂室凡用碳钢的制件均要涂一道防锈底漆和两道面漆，喷漆室壁板采用不锈钢（哑光面）。</w:t>
      </w:r>
    </w:p>
    <w:p w14:paraId="1277B249">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4.动压室/静压室：</w:t>
      </w:r>
    </w:p>
    <w:p w14:paraId="3F726B1C">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动静压的整体结构最低采用1.5mm的镀锌板制作，则若为壁板拼接结构，应使用内六角螺栓连接相邻壁板，并在接缝处打不含硅酮的密封胶。为了使从空调送风管下来的空气更均匀，应在动压室风管入口处安装多孔型均流板。均流板应有足够的强度防止长期使用后出现变形，建议使用1.5mm厚的镀锌钢板，板上的开孔应均匀布置，可选择直径为50mm的孔，总的开孔面积需满足通风量要求，通过均流板的风速不能超过2.5m/s。动静压室之间隔板应至少由2mm的镀锌板制成。并有合适的支撑。隔板应有分布均匀的开孔并带调节盖板，作为2级均流板使用。盖板至少由1.5mm厚的镀锌钢板制作，</w:t>
      </w:r>
      <w:r>
        <w:rPr>
          <w:rFonts w:hint="eastAsia" w:ascii="宋体" w:hAnsi="宋体" w:eastAsia="宋体" w:cs="宋体"/>
          <w:color w:val="000000"/>
          <w:lang w:val="en-US" w:eastAsia="zh-CN"/>
        </w:rPr>
        <w:t>可</w:t>
      </w:r>
      <w:r>
        <w:rPr>
          <w:rFonts w:hint="eastAsia" w:ascii="宋体" w:hAnsi="宋体" w:eastAsia="宋体" w:cs="宋体"/>
          <w:color w:val="000000"/>
        </w:rPr>
        <w:t>调节，并能进行锁定。在静压室按照不同工艺区段间设镀锌材质的隔板，以保证每个工艺区送风风速的要求；静压室内各工艺段分室设有检修、更换无纺过滤棉的无动力移动小车，小车为镀锌材质，小车宽度等设计规格需方便检修、不影响更换滤材。小车架设在过滤框之上。小车载荷约为300kg。</w:t>
      </w:r>
    </w:p>
    <w:p w14:paraId="260F31B5">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动压室和静压室周围区域应设有行走平台、监视/维护门（700×1200 mm）和安全扶梯，监视门应至少由1.5mm的镀锌板制成，内开，需带门框。门框至少为2mm的镀锌板制成，通过半圆头内六角螺栓，水平安装时，半圆头朝上与动压室和静压室的壁板相连。门需有合适的密封衬垫和门把手：密封衬垫应能与门框紧密贴合以防漏气门框四角密封衬垫必须是成型的；门把手（内外均可开启）应操作方便并带锁定功能。动压室高度一般为1.4m，而静压室的高度一般为1.7m，可方便人员更换喷漆室的过滤顶棉。循环送风管壁应至少由1.5mm的镀锌板制成。</w:t>
      </w:r>
    </w:p>
    <w:p w14:paraId="3B5787D7">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动压室和静压室每隔5m应装有防爆照明灯，灯装在室体内壁板上，至少采用两管灯。门和灯光应联锁控制，即门打开时照明开启，门关闭时照明随之关闭。维修门旁边设置手动开关，每扇维修/监视门的旁边应有带翻盖的防爆插座。</w:t>
      </w:r>
    </w:p>
    <w:p w14:paraId="55BC16C3">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在喷漆段动静压室之间、静压室与工作间之间安装压差计，位置应便于观察。</w:t>
      </w:r>
    </w:p>
    <w:p w14:paraId="3727E352">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喷漆室室顶（包括擦净室、流平室）需有足够的强度，应至少由3 mm的不锈钢框架构成。铺设顶棉过滤材料用的钢丝网应为φ5 mm的不锈钢钢丝网，其网孔尺寸为50×50mm。顶棉铺设在钢丝网上后，需在其各边缘处用压条压紧。压条应为可翻转的快速压紧结构，至少采用3mm厚度的不锈钢材料制作。为了提升压紧效果，建议采用分段压紧的方式。</w:t>
      </w:r>
    </w:p>
    <w:p w14:paraId="7AB41318">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动压室袋滤F7，顶棉F5（无纺布厚20mm），过滤材料选购需得到</w:t>
      </w:r>
      <w:r>
        <w:rPr>
          <w:rFonts w:hint="eastAsia" w:ascii="宋体" w:hAnsi="宋体" w:cs="宋体"/>
          <w:color w:val="000000"/>
          <w:lang w:eastAsia="zh-CN"/>
        </w:rPr>
        <w:t>招标人</w:t>
      </w:r>
      <w:r>
        <w:rPr>
          <w:rFonts w:hint="eastAsia" w:ascii="宋体" w:hAnsi="宋体" w:eastAsia="宋体" w:cs="宋体"/>
          <w:color w:val="000000"/>
        </w:rPr>
        <w:t>的认可，并提供相关的性能测试报告。</w:t>
      </w:r>
    </w:p>
    <w:p w14:paraId="460C0AED">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喷漆室温度控制在见上表要求。温湿度的控制方式需考虑极端的外界温湿度条件（如黄梅天等），并能满足任何季节的需要。控制时所用的冷冻水、热水（天然气）和纯水等，应有能耗控制方面的要求。</w:t>
      </w:r>
    </w:p>
    <w:p w14:paraId="46C750EC">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所有喷漆室</w:t>
      </w:r>
      <w:r>
        <w:rPr>
          <w:rFonts w:hint="eastAsia" w:ascii="宋体" w:hAnsi="宋体" w:eastAsia="宋体" w:cs="宋体"/>
          <w:color w:val="000000"/>
          <w:lang w:val="en-US" w:eastAsia="zh-CN"/>
        </w:rPr>
        <w:t>新增</w:t>
      </w:r>
      <w:r>
        <w:rPr>
          <w:rFonts w:hint="eastAsia" w:ascii="宋体" w:hAnsi="宋体" w:eastAsia="宋体" w:cs="宋体"/>
          <w:color w:val="000000"/>
        </w:rPr>
        <w:t>排风机</w:t>
      </w:r>
      <w:r>
        <w:rPr>
          <w:rFonts w:hint="eastAsia" w:ascii="宋体" w:hAnsi="宋体" w:eastAsia="宋体" w:cs="宋体"/>
          <w:color w:val="000000"/>
          <w:lang w:val="en-US" w:eastAsia="zh-CN"/>
        </w:rPr>
        <w:t>要求如下：</w:t>
      </w:r>
      <w:r>
        <w:rPr>
          <w:rFonts w:hint="eastAsia" w:ascii="宋体" w:hAnsi="宋体" w:eastAsia="宋体" w:cs="宋体"/>
          <w:color w:val="000000"/>
        </w:rPr>
        <w:t>采用防爆离心风机（达到国家绿色节能要求，带10%的额外能力），容易维修、保养、清洁，并设有检修门和排水孔。轴承要求连续使用寿命需大于20万小时。传动皮带需采用进口品牌，皮带保护罩应为全封闭式，其结构应能在不拆开叶轮的情况下可对轴承进行更换。叶轮应采用不锈钢材料。驱动电机需采用进口变频电机，由变频器控制电机。风机电机预留10%的余量。风机应配有底座、减震器、软连接等，其固定方式应能承载风机的最大动载荷，同时不产生巨大震动损坏周边设施。</w:t>
      </w:r>
    </w:p>
    <w:p w14:paraId="5B26FDB0">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气流速度在喷漆室的任何高度上都应保持一致，应对室内的空气层流进行测试。应对喷漆室内每个区域的送风量进行测量。</w:t>
      </w:r>
    </w:p>
    <w:p w14:paraId="3BE1BFAE">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喷漆室内所有人工操作区域（包括自动区域）都应提供火灾发生时的逃生通道，需符合相关的安全规范和消防规范。</w:t>
      </w:r>
    </w:p>
    <w:p w14:paraId="7DD69977">
      <w:pPr>
        <w:pStyle w:val="17"/>
        <w:pageBreakBefore w:val="0"/>
        <w:widowControl/>
        <w:numPr>
          <w:ilvl w:val="0"/>
          <w:numId w:val="8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设备与自动消防系统联锁。排风风管上安装防火阀。</w:t>
      </w:r>
    </w:p>
    <w:p w14:paraId="01C59964">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5.擦净段室体：</w:t>
      </w:r>
    </w:p>
    <w:p w14:paraId="1A66ACB5">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主体由框架和壁板组成，壁板为</w:t>
      </w:r>
      <w:r>
        <w:rPr>
          <w:rFonts w:hint="eastAsia" w:ascii="宋体" w:hAnsi="宋体" w:eastAsia="宋体" w:cs="宋体"/>
          <w:color w:val="000000"/>
          <w:lang w:val="en-US" w:eastAsia="zh-CN"/>
        </w:rPr>
        <w:t>镀锌板</w:t>
      </w:r>
      <w:r>
        <w:rPr>
          <w:rFonts w:hint="eastAsia" w:ascii="宋体" w:hAnsi="宋体" w:eastAsia="宋体" w:cs="宋体"/>
          <w:color w:val="000000"/>
        </w:rPr>
        <w:t>。上部为进风室，内设维修LED照明灯，照度为300Lx。静压室内设过滤层，控制气流分布，过滤层支撑网用不锈钢网制作；并设置可移动的滤料更换小车，操作空间高度不小于1.65m。静压室设检修气密门，外侧设有带梯子的检修平台。静压室内沿长度方向均布</w:t>
      </w:r>
      <w:r>
        <w:rPr>
          <w:rFonts w:hint="eastAsia" w:ascii="宋体" w:hAnsi="宋体" w:eastAsia="宋体" w:cs="宋体"/>
          <w:color w:val="000000" w:themeColor="text1"/>
          <w14:textFill>
            <w14:solidFill>
              <w14:schemeClr w14:val="tx1"/>
            </w14:solidFill>
          </w14:textFill>
        </w:rPr>
        <w:t>LED照明灯</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新增采用</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14:textFill>
            <w14:solidFill>
              <w14:schemeClr w14:val="tx1"/>
            </w14:solidFill>
          </w14:textFill>
        </w:rPr>
        <w:t>。</w:t>
      </w:r>
    </w:p>
    <w:p w14:paraId="76D1642E">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擦净间入口设卷帘门，可自动和手动控制。地面为镀锌格栅板，接水槽采用厚度2mmSUS304不锈钢，水槽应有排水口和自来水补水装置水槽应有排水口。</w:t>
      </w:r>
    </w:p>
    <w:p w14:paraId="25DF30F7">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主体做成落地式钢框架支撑结构。所有框架为折制型钢螺栓连接型式。</w:t>
      </w:r>
    </w:p>
    <w:p w14:paraId="3178BE2A">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排风风机为防爆风机，配备减震机座及隔振动的风管软接头。排风管道由镀锌钢板制作。</w:t>
      </w:r>
    </w:p>
    <w:p w14:paraId="44589E82">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室体内，温湿度可调，格栅下两侧设不锈钢接水盘，格栅下两侧设排风风道，水盘的宽度设计时确定，接水盘采用2mm厚 SUS304不锈钢制成，翻边高度100 mm，在风管和接水盘之间要做好密封。排风管的吸风口设在与接水盘相交的方向，吸风口处做百叶，吸风口下沿距地面200mm。接水盘内的水最浅的部位不小于30mm。在接水盘的端头设有自来水进水管和阀门，在接水盘的每侧中部设2 个不锈钢的排水口，排水口处设可更换清洗的过滤罩和堵头，进、排水管均采用可拆装的管件连接，排出的水流入积水坑，室体下部设有一新鲜自来水进水管，包括接头和软管。</w:t>
      </w:r>
    </w:p>
    <w:p w14:paraId="4E7EBB35">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整个宽度过滤框架的顶棚；过滤床采用SUS304不锈钢丝编织网，过滤框架采用不锈钢材料。过滤</w:t>
      </w:r>
      <w:r>
        <w:rPr>
          <w:rFonts w:hint="eastAsia" w:ascii="宋体" w:hAnsi="宋体" w:eastAsia="宋体" w:cs="宋体"/>
          <w:color w:val="000000"/>
          <w:lang w:val="en-US" w:eastAsia="zh-CN"/>
        </w:rPr>
        <w:t>框</w:t>
      </w:r>
      <w:r>
        <w:rPr>
          <w:rFonts w:hint="eastAsia" w:ascii="宋体" w:hAnsi="宋体" w:eastAsia="宋体" w:cs="宋体"/>
          <w:color w:val="000000"/>
        </w:rPr>
        <w:t>与</w:t>
      </w:r>
      <w:r>
        <w:rPr>
          <w:rFonts w:hint="eastAsia" w:ascii="宋体" w:hAnsi="宋体" w:eastAsia="宋体" w:cs="宋体"/>
          <w:color w:val="000000"/>
          <w:lang w:val="en-US" w:eastAsia="zh-CN"/>
        </w:rPr>
        <w:t>框</w:t>
      </w:r>
      <w:r>
        <w:rPr>
          <w:rFonts w:hint="eastAsia" w:ascii="宋体" w:hAnsi="宋体" w:eastAsia="宋体" w:cs="宋体"/>
          <w:color w:val="000000"/>
        </w:rPr>
        <w:t>支架必须采用可调折叠（每个角上有旋转锁紧螺钉）快速压紧装置。</w:t>
      </w:r>
    </w:p>
    <w:p w14:paraId="7AA9B586">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采用上送空调风，两下侧排风方式。空调送风通过顶棚过滤棉过滤送入室内，排风需经过过滤的空气循环到空调，排风管路采用1.5mm厚度镀锌钢板制作。</w:t>
      </w:r>
    </w:p>
    <w:p w14:paraId="61E4816B">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离子站的排风系统：离子站排风考虑新风空调回用。</w:t>
      </w:r>
    </w:p>
    <w:p w14:paraId="580BB048">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整个室体要铺镀锌格栅板，格栅板的尺寸要统一，擦净室需提供格栅总量20%</w:t>
      </w:r>
      <w:r>
        <w:rPr>
          <w:rFonts w:hint="eastAsia" w:ascii="宋体" w:hAnsi="宋体" w:eastAsia="宋体" w:cs="宋体"/>
          <w:color w:val="000000"/>
          <w:lang w:eastAsia="zh-CN"/>
        </w:rPr>
        <w:t>（</w:t>
      </w:r>
      <w:r>
        <w:rPr>
          <w:rFonts w:hint="eastAsia" w:ascii="宋体" w:hAnsi="宋体" w:eastAsia="宋体" w:cs="宋体"/>
          <w:color w:val="000000"/>
          <w:lang w:val="en-US" w:eastAsia="zh-CN"/>
        </w:rPr>
        <w:t>每种规格配备20%</w:t>
      </w:r>
      <w:r>
        <w:rPr>
          <w:rFonts w:hint="eastAsia" w:ascii="宋体" w:hAnsi="宋体" w:eastAsia="宋体" w:cs="宋体"/>
          <w:color w:val="000000"/>
          <w:lang w:eastAsia="zh-CN"/>
        </w:rPr>
        <w:t>）</w:t>
      </w:r>
      <w:r>
        <w:rPr>
          <w:rFonts w:hint="eastAsia" w:ascii="宋体" w:hAnsi="宋体" w:eastAsia="宋体" w:cs="宋体"/>
          <w:color w:val="000000"/>
        </w:rPr>
        <w:t>的备用格栅，以便更换清洗。</w:t>
      </w:r>
    </w:p>
    <w:p w14:paraId="2CCC04E5">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所有室体</w:t>
      </w:r>
      <w:r>
        <w:rPr>
          <w:rFonts w:hint="eastAsia" w:ascii="宋体" w:hAnsi="宋体" w:eastAsia="宋体" w:cs="宋体"/>
          <w:color w:val="000000"/>
          <w:lang w:val="en-US" w:eastAsia="zh-CN"/>
        </w:rPr>
        <w:t>新增</w:t>
      </w:r>
      <w:r>
        <w:rPr>
          <w:rFonts w:hint="eastAsia" w:ascii="宋体" w:hAnsi="宋体" w:eastAsia="宋体" w:cs="宋体"/>
          <w:color w:val="000000"/>
        </w:rPr>
        <w:t>照明灯管采用LED。照度均匀，在室体内任何方向和部位不小于800Lux 。</w:t>
      </w:r>
    </w:p>
    <w:p w14:paraId="3EEDC1C6">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门为10mm钢化玻璃结构+不锈钢门框结构，门框应至少采用2mm厚度的SUS304不锈钢制作，通过不锈钢半圆头内六角螺栓连接到墙体上水平安装部位，半圆头朝上。门需配有不锈钢门把手和高性能闭门器。门和钢板、地板、柱子之间要密封，铰链采用不锈钢，并保证足够的强度。门、窗、立柱、过滤框架连接的壁板、隔板分别按及门、窗、立柱、过滤框架上的孔配钻，过滤框架连接孔为长孔；立柱内部可用作灯箱照明及机器人管线的穿线用，立柱盖板与立柱间用自供螺钉连接，间距约200mm。</w:t>
      </w:r>
    </w:p>
    <w:p w14:paraId="1B29DE19">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工作平台配有两个压缩空气接口，接口有球阀和快接接头，快速接头要有阴阳两端。</w:t>
      </w:r>
    </w:p>
    <w:p w14:paraId="341E5948">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擦净室的进口安装防火卷帘门。卷帘门本身应有很好的气密性，卷帘门框和喷房的进口边框之间的安装要密封良好，门的开关和输送设备联锁，在输送设备开动之前，门应自动开启，防止车身碰撞。控制采用自动和手动模式，门出现故障时应自动报警。排风装置要保证维修保养工作简便易行。</w:t>
      </w:r>
    </w:p>
    <w:p w14:paraId="04DBA3E8">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人工擦净段配有压缩空气悬挂C形轻滑轨及滑轮。</w:t>
      </w:r>
    </w:p>
    <w:p w14:paraId="193B23EC">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工作踏步、料架、工具盒、等属于供货范围，踏步的高度及长度在图纸会签时确定。须符合国家相关规范。</w:t>
      </w:r>
    </w:p>
    <w:p w14:paraId="2A019A92">
      <w:pPr>
        <w:pStyle w:val="17"/>
        <w:pageBreakBefore w:val="0"/>
        <w:widowControl/>
        <w:numPr>
          <w:ilvl w:val="0"/>
          <w:numId w:val="8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两侧分别有2个水池，分别供应纯水及工业水。纯水槽和工业水槽做成一个整体，中间使用挡板进行隔离，槽下部设排水阀，距槽底100mm高处设活动的过滤网，网孔为φ10，槽子是SUS304不锈钢的，包括龙头和管路及排水管路，并将槽子进行固定。</w:t>
      </w:r>
    </w:p>
    <w:p w14:paraId="309CFD9A">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6.气封段室体（含色漆到清漆过渡间，不包含流平室）：</w:t>
      </w:r>
    </w:p>
    <w:p w14:paraId="71D045F3">
      <w:pPr>
        <w:pStyle w:val="17"/>
        <w:pageBreakBefore w:val="0"/>
        <w:widowControl/>
        <w:numPr>
          <w:ilvl w:val="0"/>
          <w:numId w:val="8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上空调送风，经过F5顶棚过滤棉过滤送风至室内；</w:t>
      </w:r>
    </w:p>
    <w:p w14:paraId="0C0DBD07">
      <w:pPr>
        <w:pStyle w:val="17"/>
        <w:pageBreakBefore w:val="0"/>
        <w:widowControl/>
        <w:numPr>
          <w:ilvl w:val="0"/>
          <w:numId w:val="8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下压风速0.2m/s，无排风系统，气流分别向擦净室、喷漆室分流，呈微正压；</w:t>
      </w:r>
    </w:p>
    <w:p w14:paraId="1E7A96CD">
      <w:pPr>
        <w:pStyle w:val="17"/>
        <w:pageBreakBefore w:val="0"/>
        <w:widowControl/>
        <w:numPr>
          <w:ilvl w:val="0"/>
          <w:numId w:val="8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操作面铺设镀锌格栅板，室体前后端采用仿形钢化玻璃门分室隔开，设备结构形式及具体要求同擦净室。</w:t>
      </w:r>
    </w:p>
    <w:p w14:paraId="6A6ECDEA">
      <w:pPr>
        <w:pStyle w:val="17"/>
        <w:pageBreakBefore w:val="0"/>
        <w:widowControl/>
        <w:numPr>
          <w:ilvl w:val="0"/>
          <w:numId w:val="8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色漆到清漆过渡间地面设有不锈钢防尘接水盘，预留出检修通道，防尘接水盘设有加自来水的水管及阀门，排水溢流水管接到喷漆室内（水层的最浅的深度不小于30mm）。要求水盘必须平整，在没有达到溢流口的情况下确保接水盘内的水位深度基本一致。接水盘内与水能接触的材料必须为2mm厚度不锈钢。</w:t>
      </w:r>
    </w:p>
    <w:p w14:paraId="66693FF0">
      <w:pPr>
        <w:pStyle w:val="17"/>
        <w:pageBreakBefore w:val="0"/>
        <w:widowControl/>
        <w:numPr>
          <w:ilvl w:val="0"/>
          <w:numId w:val="8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色漆到清漆过渡间排风口设在晾干室的底部，使用离心风机，排风回到喷漆室风道，排风量与供风量保持平衡，排风口的上沿高出防尘接水盘液面250mm，排风口设置数量与开口尺寸按风量排放要求确定（接水盘与排风口不允许串水）。排风口上设带止口框的镀锌格栅板，并在运输链的一侧与壁板之间设一道行人的镀锌格栅板的走道，格栅规格与喷漆室格栅规格统一。</w:t>
      </w:r>
    </w:p>
    <w:p w14:paraId="29392C58">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7.喷漆段室体：</w:t>
      </w:r>
    </w:p>
    <w:p w14:paraId="4AF998E4">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喷漆室的结构设计，</w:t>
      </w:r>
      <w:r>
        <w:rPr>
          <w:rFonts w:hint="eastAsia" w:ascii="宋体" w:hAnsi="宋体" w:cs="宋体"/>
          <w:color w:val="000000"/>
          <w:lang w:eastAsia="zh-CN"/>
        </w:rPr>
        <w:t>投标人</w:t>
      </w:r>
      <w:r>
        <w:rPr>
          <w:rFonts w:hint="eastAsia" w:ascii="宋体" w:hAnsi="宋体" w:eastAsia="宋体" w:cs="宋体"/>
          <w:color w:val="000000"/>
        </w:rPr>
        <w:t>应与专业的消防部门进行协商，确保所有的设计符合当地的消防法规。</w:t>
      </w:r>
    </w:p>
    <w:p w14:paraId="3E6ACF10">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整个喷漆室体以操作者操作平台为基点，以上分为三部分，喷涂区；静压室；动压室，下部</w:t>
      </w:r>
      <w:r>
        <w:rPr>
          <w:rFonts w:hint="eastAsia" w:ascii="宋体" w:hAnsi="宋体" w:eastAsia="宋体" w:cs="宋体"/>
        </w:rPr>
        <w:t>纸箱式干式结构。</w:t>
      </w:r>
    </w:p>
    <w:p w14:paraId="7F97A5F4">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主体由框架和壁板组成，采用整面玻璃结构，喷房室体采用内层不锈钢，外侧骨架及C型槽封板采用</w:t>
      </w:r>
      <w:r>
        <w:rPr>
          <w:rFonts w:hint="eastAsia" w:ascii="宋体" w:hAnsi="宋体" w:eastAsia="宋体" w:cs="宋体"/>
          <w:color w:val="000000"/>
          <w:lang w:val="en-US" w:eastAsia="zh-CN"/>
        </w:rPr>
        <w:t>不锈钢</w:t>
      </w:r>
      <w:r>
        <w:rPr>
          <w:rFonts w:hint="eastAsia" w:ascii="宋体" w:hAnsi="宋体" w:eastAsia="宋体" w:cs="宋体"/>
          <w:color w:val="000000"/>
        </w:rPr>
        <w:t>。上部为动压室和静压室，内设维修防爆照明灯，照度为300Lx。在动压室内设有手动调节风量的机构，动压室采用袋式过滤器，动静压室及静压室与喷涂区间，配备压差计检测压差变化。静压室内设过滤层，控制气流分布，过滤层支撑网用不锈钢板制作，并设置可移动的滤材更换小车，操作空间高度不小于1.65m。动压室和静压室设内开检修气密门，外侧设有带梯子的检修平台。</w:t>
      </w:r>
    </w:p>
    <w:p w14:paraId="13566A46">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主体操作间室内必须保证密封严防灰尘进入，内部壁板光滑、平整、不挂灰。并设置应急照明，应急照明时间保证30min。每个工作区的两端设置玻璃仿形门。自动喷涂区进出口应设置有效的安全保护装置，以防工作时人员误入。地面为镀锌格栅板，底部装</w:t>
      </w:r>
      <w:r>
        <w:rPr>
          <w:rFonts w:hint="eastAsia" w:ascii="宋体" w:hAnsi="宋体" w:eastAsia="宋体" w:cs="宋体"/>
          <w:color w:val="000000"/>
          <w:lang w:val="en-US" w:eastAsia="zh-CN"/>
        </w:rPr>
        <w:t>干式</w:t>
      </w:r>
      <w:r>
        <w:rPr>
          <w:rFonts w:hint="eastAsia" w:ascii="宋体" w:hAnsi="宋体" w:eastAsia="宋体" w:cs="宋体"/>
          <w:color w:val="000000"/>
        </w:rPr>
        <w:t>漆雾捕集装置。</w:t>
      </w:r>
    </w:p>
    <w:p w14:paraId="4241DA9A">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主体做成落地式钢框架支撑结构。主框架为折制型钢螺栓连接-方便保洁及日后拆卸维修，结构形式考虑不积灰。</w:t>
      </w:r>
    </w:p>
    <w:p w14:paraId="4E85F9C1">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供风人工段采用新鲜风、自动段采用循环风方式，循环风系统由循环风机、风箱、风管、风阀、风道、过滤等组成。系统配有除水板、调风风挡、自动防火风档。风道由不锈钢板焊接制作，配进出气密门、管道支架。风机为防火花变频风机（变频电机），配柔性连接和减震机座。</w:t>
      </w:r>
    </w:p>
    <w:p w14:paraId="40D430A4">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喷漆废气处理采用活性炭吸附+催化燃烧装置，满足国家和地方废气排放要求</w:t>
      </w:r>
      <w:r>
        <w:rPr>
          <w:rFonts w:hint="eastAsia" w:ascii="宋体" w:hAnsi="宋体" w:eastAsia="宋体" w:cs="宋体"/>
          <w:lang w:eastAsia="zh-CN"/>
        </w:rPr>
        <w:t>（</w:t>
      </w:r>
      <w:r>
        <w:rPr>
          <w:rFonts w:hint="eastAsia" w:ascii="宋体" w:hAnsi="宋体" w:eastAsia="宋体" w:cs="宋体"/>
          <w:lang w:val="en-US" w:eastAsia="zh-CN"/>
        </w:rPr>
        <w:t>利旧</w:t>
      </w:r>
      <w:r>
        <w:rPr>
          <w:rFonts w:hint="eastAsia" w:ascii="宋体" w:hAnsi="宋体" w:eastAsia="宋体" w:cs="宋体"/>
          <w:lang w:eastAsia="zh-CN"/>
        </w:rPr>
        <w:t>）</w:t>
      </w:r>
      <w:r>
        <w:rPr>
          <w:rFonts w:hint="eastAsia" w:ascii="宋体" w:hAnsi="宋体" w:eastAsia="宋体" w:cs="宋体"/>
          <w:color w:val="000000"/>
        </w:rPr>
        <w:t>。</w:t>
      </w:r>
    </w:p>
    <w:p w14:paraId="08CFD1B5">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喷漆室内设置温、湿度表，数字式显示，壁挂式安装。</w:t>
      </w:r>
    </w:p>
    <w:p w14:paraId="046208A3">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人工喷涂区两侧上部装有用于吊漆管和压缩空气管的不锈钢C形轻滑轨及滑轮，壁板装有挂喷枪的挂钩。</w:t>
      </w:r>
    </w:p>
    <w:p w14:paraId="37D905DA">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喷涂室内考虑涂料进出口位置并满足其安装要求，涂料输送进出口位置考虑不安装灯箱。</w:t>
      </w:r>
    </w:p>
    <w:p w14:paraId="69F1DCFD">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室体应为自支撑的模块化壁板拼接结构，所有模块壁板及支撑框架应至少采用SUS304不锈钢制作（哑光面）。设计时应保证内侧壁板光滑平整，外侧壁板美观。除门洞外均为气密型结构，要求确保气密性，机械化输送链经过处，输送链安装完毕后必须作好密封处理。所有矩型钢焊接前除锈、涂防锈漆，所有的未镀锌件均涂防锈漆，所有的螺钉、螺母、垫圈均为镀锌件，镀锌件焊缝和焊点用锌粉漆处理，焊接遵循焊接技术规范，所有的不锈钢件焊缝在安装后酸蚀处理。</w:t>
      </w:r>
    </w:p>
    <w:p w14:paraId="34CAEFDF">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车间内不允许使用含硅酮材料。在壁板的接缝处应采用不含硅酮的密封胶密封，并提供由第三方机构出具的不含硅酮的检测报告。所有喷漆室壁板及内部结构应是不容易积灰的结构，便于人员清洁。壁板所有的连接螺栓应采用不锈钢半圆头内六角螺栓，水平安装部位时，半圆头朝上，防止清洁时钩拉纤维。</w:t>
      </w:r>
    </w:p>
    <w:p w14:paraId="3600B52E">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val="en-US" w:eastAsia="zh-CN"/>
        </w:rPr>
        <w:t>新增</w:t>
      </w:r>
      <w:r>
        <w:rPr>
          <w:rFonts w:hint="eastAsia" w:ascii="宋体" w:hAnsi="宋体" w:eastAsia="宋体" w:cs="宋体"/>
          <w:color w:val="000000"/>
        </w:rPr>
        <w:t>人行门</w:t>
      </w:r>
      <w:r>
        <w:rPr>
          <w:rFonts w:hint="eastAsia" w:ascii="宋体" w:hAnsi="宋体" w:eastAsia="宋体" w:cs="宋体"/>
          <w:color w:val="000000" w:themeColor="text1"/>
          <w14:textFill>
            <w14:solidFill>
              <w14:schemeClr w14:val="tx1"/>
            </w14:solidFill>
          </w14:textFill>
        </w:rPr>
        <w:t>厚度10mm钢化玻璃结构+不锈钢铰链结构形式</w:t>
      </w:r>
      <w:r>
        <w:rPr>
          <w:rFonts w:hint="eastAsia" w:ascii="宋体" w:hAnsi="宋体" w:eastAsia="宋体" w:cs="宋体"/>
          <w:color w:val="000000"/>
        </w:rPr>
        <w:t>，门铰链应采用不锈钢制的工业重型铰链，确保有足够的强度满足长期使用的要求。通过不锈钢半圆头内六角螺栓连接到墙体上水平安装部位，半圆头朝上。门需配有不锈钢门把手和高性能闭门器。门和钢板、地板、柱子之间要密封，铰链采用不锈钢，并保证足够的强度。</w:t>
      </w:r>
    </w:p>
    <w:p w14:paraId="3DCD6925">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门、窗、立柱、过滤框架连接的壁板、隔板分别按及门、窗、立柱、过滤框架上的孔配钻，过滤框架连接孔为长孔；立柱预制时预留灯箱及机器人管线穿线孔，立柱盖板与立柱间用便于拆卸的自锁式连接装置（舌形锁）。</w:t>
      </w:r>
    </w:p>
    <w:p w14:paraId="6A785B62">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照明：喷漆室机器人喷涂区和检查区的照明均应采用4管灯箱，带铰接式结构，灯箱横向布置在室体外部。灯管应采用LED。灯管的布置应使照度均匀，并达到以下要求：人工检查区，室内各个位置在各个方向上的照度（即室内平均照度）至少达到800Lux；对于机器人喷涂区，室内各个位置在各个方向上的照度至少达到600Lux。流平室区域的照明可采用2管灯箱，横向布置在室体外部，灯管同样采用LED，该区域内各个位置在各个方向上的照度至少达到300Lux。所有灯箱表面要求光滑平整。光照度应采用进口仪器进行测量，测量点位于室体地板上方1m左右的位置（处于机运线中心位置）。</w:t>
      </w:r>
    </w:p>
    <w:p w14:paraId="1B95C061">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喷漆室内各个区域的照明（包括流平室、洁净室等）可以通过现场开关或总控制柜进行单独的开关控制。在停产期间车间进行清洁工作时，应能选择性地开启一部分照明灯光，并确保各个区域的照度均匀。</w:t>
      </w:r>
    </w:p>
    <w:p w14:paraId="1F0E8A55">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照明灯箱应能稳固地固定在室体墙壁上，与玻璃接触面装缓冲垫，并与观察玻璃紧密贴合，从而达到最佳照明效果。灯箱应为单独控制，有独立的电源插头与总线桥架相连。灯箱应布置在室体外部，带铰链和支撑杆，便于维修。</w:t>
      </w:r>
    </w:p>
    <w:p w14:paraId="05CB575D">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墙壁（包括操作平台下方区域）应由1.5mm的模块式不锈钢板（哑光面）、3mm外侧骨架及C型槽封板（镀锌板）和6mm的夹胶玻璃共同构成。玻璃应固定在δ2mm不锈钢压框中，内衬“U”型橡胶密封衬垫，并用不锈钢压条紧压玻璃四边。固定玻璃用的压框、压条等均应通过螺丝连接到室体的构架上，形成一种可拆卸的结构便于玻璃更换。玻璃和墙体之间所衬的密封材料应为阻燃型。墙壁内侧玻璃与壁板以及壁板与构架之间连接应光滑平整，所有壁板与立柱之间的接缝处都应采用不含硅酮的密封胶密封，若输送设备的驱动装置位于室外，需在平台下方的壁板上留有传动轴的开口并带密封。压差计、温湿度计安装在靠洁净间侧，温湿度计每个喷漆段安装一个，位置应便于观察。</w:t>
      </w:r>
    </w:p>
    <w:p w14:paraId="0DCE18F5">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输送设备的格栅面与喷漆房格栅之间的间隙≤3mm。模块化壁板间采用C型钢连接，外表采用不锈钢扣板，可内穿电路线槽，不锈钢扣板采用螺栓连接方式，可方便线路维修。</w:t>
      </w:r>
    </w:p>
    <w:p w14:paraId="6A8F8053">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喷漆室进出口和各喷漆区域之间应采用玻璃仿形门结构。玻璃仿形门采用厚度10mm钢化玻璃+不锈钢铰链形式。仿形门应与所有潜在车型尺寸相匹配，并留有足够的安全距离。仿形玻璃门上考虑安装机器人安全装置的位置当喷漆室出现故障停机时，可以允许人员在不碰车身的情况下穿过仿形门进入指定区域维修设备。自动喷涂区域的仿形门洞处，设置保护光栅。在人员进入自动喷涂区时停止设备运行，保证人员操作安全。</w:t>
      </w:r>
    </w:p>
    <w:p w14:paraId="02E8F80A">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的手工检查区和流平区都应布置人员进出用门，门的外型尺寸至少为900×2000mm，采用外开式结构。每个区域可在其两侧墙板的对称位置处各布置一个门。门应为玻璃结构，门框应至少采用2mm的SUS304不锈钢制作，通过不锈钢半圆头内六角螺栓连接到墙体上水平安装部位，半圆头朝上。门需配有不锈钢门把手和高性能闭门器，喷漆段靠近洁净间侧玻璃人行门设双面把手，靠近车间侧玻璃人行门在喷漆室内侧设单面把手。门和墙板、地板、支撑框架之间的接缝都应用不含硅的密封胶进行密封。门铰链应采用不锈钢制的工业重型铰链，确保有足够的强度满足长期使用的要求。</w:t>
      </w:r>
    </w:p>
    <w:p w14:paraId="23785146">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的支撑框架、立柱至少应采用厚度3mm的SUS304不锈钢C型钢制作，安装时应使C型钢翻边结构朝外，并用至少厚度1.5mm的SUS304不锈钢板进行封闭，达到光滑平整的要求。位于喷漆室体顶部的动压室和静压室，其是整体结构一部分、动压室和静压室之间隔板（多孔板）、调节盖板可采用镀锌材料，过滤顶棉支撑框架（钢丝网）应采用不锈钢材料。</w:t>
      </w:r>
    </w:p>
    <w:p w14:paraId="6FDD5411">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地板应铺设镀锌钢格栅板，其尺寸考虑统一。考虑到施工环境的不同，格栅板在手工区的网孔大小应100×30mm，在自动区的网孔大小应100×40mm。格栅板应由5mm厚的扁铁和6×6mm的扭方钢共同构成。格栅板的支撑框架应用矩形钢角钢焊接而成，其设计应能使格栅板更换方便。喷漆室需提供格栅总量20%的备用格栅板</w:t>
      </w:r>
      <w:r>
        <w:rPr>
          <w:rFonts w:hint="eastAsia" w:ascii="宋体" w:hAnsi="宋体" w:eastAsia="宋体" w:cs="宋体"/>
          <w:color w:val="000000"/>
          <w:lang w:eastAsia="zh-CN"/>
        </w:rPr>
        <w:t>（</w:t>
      </w:r>
      <w:r>
        <w:rPr>
          <w:rFonts w:hint="eastAsia" w:ascii="宋体" w:hAnsi="宋体" w:eastAsia="宋体" w:cs="宋体"/>
          <w:color w:val="000000"/>
          <w:lang w:val="en-US" w:eastAsia="zh-CN"/>
        </w:rPr>
        <w:t>每种规格配备20%</w:t>
      </w:r>
      <w:r>
        <w:rPr>
          <w:rFonts w:hint="eastAsia" w:ascii="宋体" w:hAnsi="宋体" w:eastAsia="宋体" w:cs="宋体"/>
          <w:color w:val="000000"/>
          <w:lang w:eastAsia="zh-CN"/>
        </w:rPr>
        <w:t>）</w:t>
      </w:r>
      <w:r>
        <w:rPr>
          <w:rFonts w:hint="eastAsia" w:ascii="宋体" w:hAnsi="宋体" w:eastAsia="宋体" w:cs="宋体"/>
          <w:color w:val="000000"/>
        </w:rPr>
        <w:t>。</w:t>
      </w:r>
    </w:p>
    <w:p w14:paraId="2BD01759">
      <w:pPr>
        <w:pStyle w:val="17"/>
        <w:pageBreakBefore w:val="0"/>
        <w:widowControl/>
        <w:numPr>
          <w:ilvl w:val="0"/>
          <w:numId w:val="8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自动段车身侧裙底部距地面格栅500mm高间距。人工区300mm间距，最终以设计为准。</w:t>
      </w:r>
    </w:p>
    <w:p w14:paraId="0C82B6C7">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8</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干式漆雾捕集系统</w:t>
      </w:r>
    </w:p>
    <w:p w14:paraId="5D3B89DC">
      <w:pPr>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干式喷房采用纸箱过滤器加袋式过滤器来捕集漆雾，采用循环风系统来控制喷漆房内的风平衡。详细结构在图纸设计阶段最终确定。</w:t>
      </w:r>
    </w:p>
    <w:p w14:paraId="494E96C8">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干式漆雾捕集系统位于喷房下部区域。</w:t>
      </w:r>
    </w:p>
    <w:p w14:paraId="3AEF1945">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干式漆雾捕集系统采用纸箱过滤器使油漆直接粘附在过滤元件上使油漆干燥，而同时工艺送风在喷房循环。</w:t>
      </w:r>
    </w:p>
    <w:p w14:paraId="1A6E9E8E">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喷漆室应保证漆雾捕集率≥97%。</w:t>
      </w:r>
    </w:p>
    <w:p w14:paraId="78C68940">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干式漆雾捕集系统所有的过滤器必须不定期的替换以保持过滤系统的运作，避免过滤器被过多的油漆颗粒阻塞。</w:t>
      </w:r>
    </w:p>
    <w:p w14:paraId="18D5606D">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color w:val="auto"/>
          <w:sz w:val="24"/>
          <w:szCs w:val="22"/>
        </w:rPr>
      </w:pPr>
      <w:r>
        <w:rPr>
          <w:rFonts w:hint="eastAsia" w:ascii="宋体" w:hAnsi="宋体" w:eastAsia="宋体" w:cs="宋体"/>
          <w:color w:val="auto"/>
          <w:sz w:val="24"/>
          <w:szCs w:val="22"/>
        </w:rPr>
        <w:t>过滤器更换采用过滤小车形式</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或其它经过招标人认可的方式</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，运行可靠且操作简单，便于过滤器更换和清洁。</w:t>
      </w:r>
    </w:p>
    <w:p w14:paraId="54220F98">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当纸箱漆雾捕集达到饱和状态时系统应指示并自动通知，提示更换纸箱过滤器。</w:t>
      </w:r>
    </w:p>
    <w:p w14:paraId="7F7EDC44">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干式喷漆室设备系统（含新鲜过滤纸盒、废过滤纸盒存储区域），需由公用设置消防系统。</w:t>
      </w:r>
    </w:p>
    <w:p w14:paraId="3EE3E5C3">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喷漆室干式空气过滤系统及废气排放风道应方便人员进入，需配有符合安全规范的斜梯、带栏杆的钢平台以及充分密封的检修门。设备内部及设备周边区域应配有足够的照明。应能方便人员对设备任何区域进行维修和清洁工作。</w:t>
      </w:r>
    </w:p>
    <w:p w14:paraId="1FCB7EB0">
      <w:pPr>
        <w:pStyle w:val="89"/>
        <w:pageBreakBefore w:val="0"/>
        <w:numPr>
          <w:ilvl w:val="0"/>
          <w:numId w:val="90"/>
        </w:numPr>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outlineLvl w:val="0"/>
        <w:rPr>
          <w:rFonts w:hint="eastAsia" w:ascii="宋体" w:hAnsi="宋体" w:eastAsia="宋体" w:cs="宋体"/>
          <w:sz w:val="24"/>
          <w:szCs w:val="22"/>
        </w:rPr>
      </w:pPr>
      <w:r>
        <w:rPr>
          <w:rFonts w:hint="eastAsia" w:ascii="宋体" w:hAnsi="宋体" w:eastAsia="宋体" w:cs="宋体"/>
          <w:sz w:val="24"/>
          <w:szCs w:val="22"/>
        </w:rPr>
        <w:t>气流速度在喷漆室的高度上都应保持一致，应对喷漆室内每个区域的送风量进行测量。</w:t>
      </w:r>
    </w:p>
    <w:p w14:paraId="44DBA186">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9.晾干室：</w:t>
      </w:r>
    </w:p>
    <w:p w14:paraId="3EE8ADCC">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喷漆室的供排风设备要担负着各个晾干室的供排风。</w:t>
      </w:r>
    </w:p>
    <w:p w14:paraId="6031859E">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晾干室供风量必须满足安全上的要求，供风口必须采用F8过滤材料，供风口的位置直对车身的顶部，过滤器与过滤框之间必须密封，在其之间设有无硅酮的密封垫。压紧机构简单，方便操作，又不易积灰尘（</w:t>
      </w:r>
      <w:r>
        <w:rPr>
          <w:rFonts w:hint="eastAsia" w:ascii="宋体" w:hAnsi="宋体" w:eastAsia="宋体" w:cs="宋体"/>
          <w:color w:val="000000"/>
          <w:lang w:val="en-US" w:eastAsia="zh-CN"/>
        </w:rPr>
        <w:t>具体结构以图纸为准</w:t>
      </w:r>
      <w:r>
        <w:rPr>
          <w:rFonts w:hint="eastAsia" w:ascii="宋体" w:hAnsi="宋体" w:eastAsia="宋体" w:cs="宋体"/>
          <w:color w:val="000000"/>
        </w:rPr>
        <w:t>）。供排风管带有调节风量分配的分配风阀，调节后可以锁定。</w:t>
      </w:r>
    </w:p>
    <w:p w14:paraId="255E61FA">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晾干室采用自承重的镀锌板翻边组装而成（同喷漆室壁板结构），供风室设有更换过滤棉人进出的密封门，门带有手柄和压紧机构。供风管接到每个供风室上，且每个供风管设有调节风量的风阀。</w:t>
      </w:r>
    </w:p>
    <w:p w14:paraId="29F75848">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地面设有不锈钢防尘接水盘，防尘接水盘设有加自来水的水管及阀门，排水溢流水管接到喷漆室内（水层的最浅的深度不小于30mm）。要求水盘必须平整，在没有达到溢流口的情况下确保接水盘内的水位深度基本一致。</w:t>
      </w:r>
      <w:r>
        <w:rPr>
          <w:rFonts w:hint="eastAsia" w:ascii="宋体" w:hAnsi="宋体" w:eastAsia="宋体" w:cs="宋体"/>
          <w:color w:val="000000" w:themeColor="text1"/>
          <w14:textFill>
            <w14:solidFill>
              <w14:schemeClr w14:val="tx1"/>
            </w14:solidFill>
          </w14:textFill>
        </w:rPr>
        <w:t>接水盘内与水能接触的材料必须为2mm不锈钢</w:t>
      </w:r>
      <w:r>
        <w:rPr>
          <w:rFonts w:hint="eastAsia" w:ascii="宋体" w:hAnsi="宋体" w:eastAsia="宋体" w:cs="宋体"/>
          <w:color w:val="000000"/>
        </w:rPr>
        <w:t>。</w:t>
      </w:r>
    </w:p>
    <w:p w14:paraId="3121FCB1">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排风口设在晾干室的底部，排风量与供风量保持平衡，排风口的上沿高出防尘接水盘液面250mm，排风口设置数量与开口尺寸按风量排放要求确定（接水盘与排风口不允许串水）。排风口上设带止口框的镀锌格栅板，并在运输链的一侧与壁板之间设一道行人的镀锌格栅板的走道，格栅规格与喷漆室格栅规格统一。</w:t>
      </w:r>
    </w:p>
    <w:p w14:paraId="2C0A8F88">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晾干室室体长度方向中部，两侧壁板设有带压严手柄的密封门，两门之间设有带镀锌格栅板的通道，两门外设有带栏杆、梯凳的小平台。</w:t>
      </w:r>
    </w:p>
    <w:p w14:paraId="2AB3A004">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晾干室室体两侧壁板外设有LED照明灯箱，每6m 每侧各设一盏灯箱，照度为300Lux。</w:t>
      </w:r>
    </w:p>
    <w:p w14:paraId="20D354BD">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晾干室室体壁板为自承重结构，材料全部为镀锌钢板。</w:t>
      </w:r>
    </w:p>
    <w:p w14:paraId="4E6C197B">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晾干室室体内必须是无尘的，保持微正压，喷漆室内的漆雾不能飘移到晾干间。壁板之间安装时涂不含硅酮的密封胶后紧固压严，不得有缝隙。</w:t>
      </w:r>
    </w:p>
    <w:p w14:paraId="456E195B">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晾干室室体内顶棚设有水喷淋管路固定支架座的螺纹孔，由消防提出要求，晾干室施工单位负责加工螺纹孔并施工。</w:t>
      </w:r>
    </w:p>
    <w:p w14:paraId="38280153">
      <w:pPr>
        <w:pStyle w:val="17"/>
        <w:pageBreakBefore w:val="0"/>
        <w:widowControl/>
        <w:numPr>
          <w:ilvl w:val="0"/>
          <w:numId w:val="9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晾干室与喷漆室、晾干室与烘干室相接处设有仿形门，室体之间相交接处壁板必须封严。</w:t>
      </w:r>
    </w:p>
    <w:p w14:paraId="3CEB58D2">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10.洁净间：</w:t>
      </w:r>
    </w:p>
    <w:p w14:paraId="4B07D536">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洁净间布置位置详见《涂装工艺平面图》。</w:t>
      </w:r>
    </w:p>
    <w:p w14:paraId="3301673E">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每个洁净间内要把喷涂室入口、过渡段和喷漆后的检查工段包含在内。</w:t>
      </w:r>
    </w:p>
    <w:p w14:paraId="7A454557">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洁净间的高度与喷漆室静压室过滤棉框架底标高一平。</w:t>
      </w:r>
    </w:p>
    <w:p w14:paraId="1EEDB93F">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洁净间采用镀锌钢板做顶棚</w:t>
      </w:r>
      <w:r>
        <w:rPr>
          <w:rFonts w:hint="eastAsia" w:ascii="宋体" w:hAnsi="宋体" w:eastAsia="宋体" w:cs="宋体"/>
          <w:color w:val="000000"/>
        </w:rPr>
        <w:t>，骨架采用两端固定，中间采用悬吊加强，骨架上面布置供风支干风管，风管悬吊在风管支架或支架梁上。</w:t>
      </w:r>
    </w:p>
    <w:p w14:paraId="6937FABE">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洁净间顶棚骨架上设有走台。</w:t>
      </w:r>
    </w:p>
    <w:p w14:paraId="60EC5F19">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洁净间内顶设有LED照明灯箱，灯箱与顶棚下表面一平，相接处要密封，洁净间的照度为400Lux，分三个回路控制。</w:t>
      </w:r>
    </w:p>
    <w:p w14:paraId="7618F6FA">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洁净间两侧壁板借助基本设备室体壁板，顶棚与室体壁板之间必须封严，并且美观。</w:t>
      </w:r>
    </w:p>
    <w:p w14:paraId="58ED7ED3">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洁净间端头风淋室踏台以下、喷漆室靠厂房柱子侧端头、隔离门踏台下部、喷漆室长出洁净间段下部两侧要求用镀锌板封严且美观。</w:t>
      </w:r>
    </w:p>
    <w:p w14:paraId="72BE9EAF">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洁净间内的排风：在洁净间地板每4m设有带格栅板并与地面一平、格栅板下设有中效过滤棉及支撑过滤棉的网架的排风口</w:t>
      </w:r>
      <w:r>
        <w:rPr>
          <w:rFonts w:hint="eastAsia" w:ascii="宋体" w:hAnsi="宋体" w:eastAsia="宋体" w:cs="宋体"/>
          <w:color w:val="000000"/>
          <w:lang w:eastAsia="zh-CN"/>
        </w:rPr>
        <w:t>。</w:t>
      </w:r>
    </w:p>
    <w:p w14:paraId="41930FD8">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在洁净间东侧入口内侧</w:t>
      </w:r>
      <w:r>
        <w:rPr>
          <w:rFonts w:hint="eastAsia" w:ascii="宋体" w:hAnsi="宋体" w:eastAsia="宋体" w:cs="宋体"/>
          <w:color w:val="000000"/>
          <w:lang w:val="en-US" w:eastAsia="zh-CN"/>
        </w:rPr>
        <w:t>设计预留</w:t>
      </w:r>
      <w:r>
        <w:rPr>
          <w:rFonts w:hint="eastAsia" w:ascii="宋体" w:hAnsi="宋体" w:eastAsia="宋体" w:cs="宋体"/>
          <w:color w:val="000000"/>
        </w:rPr>
        <w:t>喷涂员工更衣室</w:t>
      </w:r>
      <w:r>
        <w:rPr>
          <w:rFonts w:hint="eastAsia" w:ascii="宋体" w:hAnsi="宋体" w:eastAsia="宋体" w:cs="宋体"/>
          <w:color w:val="000000"/>
          <w:lang w:val="en-US" w:eastAsia="zh-CN"/>
        </w:rPr>
        <w:t>空间。</w:t>
      </w:r>
    </w:p>
    <w:p w14:paraId="17DAC933">
      <w:pPr>
        <w:pStyle w:val="17"/>
        <w:pageBreakBefore w:val="0"/>
        <w:widowControl/>
        <w:numPr>
          <w:ilvl w:val="0"/>
          <w:numId w:val="9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洁净间内厂房立柱均使用不锈钢钢板进行包裹，保证外观光滑、美观。</w:t>
      </w:r>
    </w:p>
    <w:p w14:paraId="0212B255">
      <w:pPr>
        <w:pStyle w:val="4"/>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11.风淋室（含车间入口风淋室）：</w:t>
      </w:r>
    </w:p>
    <w:p w14:paraId="5E8464BD">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1.1.每个洁净间的两端头设有自动控制的风淋室，风速：25m/s，室内最小空气循环量应为14次/min，室内可同时容纳四人进行吹净。</w:t>
      </w:r>
    </w:p>
    <w:p w14:paraId="2A413136">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1.2.风淋室风嘴设在室内顶部和四个角对角线上的立面上，风嘴可自动旋转。在左右两侧底部，设有与室体内壁板一平的回风过滤装置，要求框与过滤件之间要密封，过滤件的压紧机构要便于过滤棉的更换。</w:t>
      </w:r>
    </w:p>
    <w:p w14:paraId="6B015988">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1.3.人员进入风淋室后关上外侧的门，启动电机，开始吹风，门的开关和电机互锁，风机停止后才能打开内侧的门进入洁净区，吹风时间可以在0～99s任意调节，门的开、关设有自动和手动控制，并与风淋时间互锁。</w:t>
      </w:r>
    </w:p>
    <w:p w14:paraId="6763E6A8">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1.4.风淋室出入口门为厚透明玻璃单扇门，玻璃门内外设有不锈钢开关手柄。</w:t>
      </w:r>
    </w:p>
    <w:p w14:paraId="2BC527DD">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1.5.风淋室入口处设有平台和踏步及安全栏杆，台面为平钢板。</w:t>
      </w:r>
    </w:p>
    <w:p w14:paraId="1C70DA74">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1.6.风淋室内设有与顶棚内板一平的照明灯，灯的开关与门的开关互锁。</w:t>
      </w:r>
    </w:p>
    <w:p w14:paraId="535C8BD8">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1.7.风淋室循环风机安装位置要便于检修。</w:t>
      </w:r>
    </w:p>
    <w:p w14:paraId="2F8CA265">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1.8.电气控制外平面板与风淋室内板一平，要求便于拉出或打开，方便检修。</w:t>
      </w:r>
    </w:p>
    <w:p w14:paraId="11B05F03">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1.9.风淋室内壁板均要求采用光亮型不锈钢板，底板采用不锈钢板，吹风电机应采用进口防爆电机。</w:t>
      </w:r>
    </w:p>
    <w:p w14:paraId="42E29D12">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1.10.风淋室的电气控制必须安全可靠，所用材质必须是阻燃的。</w:t>
      </w:r>
    </w:p>
    <w:p w14:paraId="5BBD3B94">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1.11.风淋室设有报警按扭及声光显示。</w:t>
      </w:r>
    </w:p>
    <w:p w14:paraId="4A7E8F85">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1.12.风淋室的风嘴必须将风淋者各方面的表面包容住，吹净。</w:t>
      </w:r>
    </w:p>
    <w:p w14:paraId="012A872E">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1.13.风淋室进出口都要设紧急进出的按扭，此按扭与声光报警联锁。</w:t>
      </w:r>
    </w:p>
    <w:p w14:paraId="156D664A">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1.15.车间风淋室：</w:t>
      </w:r>
    </w:p>
    <w:p w14:paraId="21FCD936">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1.16.进入车间的风淋通道具体要求为：双侧360度旋转吹淋，电子联锁，红外线感应启动，U型或者L型连续型。内外门应与风机联锁，风机运行时内外门不应打开或关闭。下部设置格栅、接水盘（包括进水阀门及管路，排水接至地漏）。玻璃采用厚度5mm钢化玻璃，吹风时间可以在0～99s任意调节。</w:t>
      </w:r>
    </w:p>
    <w:p w14:paraId="7EF53629">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1.17.风淋室壁板及喷嘴、底板、箱体、门体等均采用不锈钢材料，外壁板采用镜面不锈钢材料。采用进口电机，吹风嘴风速为25m/s，最小循环量14次/min。进出门应设计成感应式平移门，门开启时风机应同时启动（进口门关闭后开始吹风，达到一定时间出口门才打开，确保吹风的时间），通过延时或感应控制在人离开通道后关闭风机。门的开、关设有自动和手动控制，风淋通道数量及长度以设计为准。</w:t>
      </w:r>
    </w:p>
    <w:p w14:paraId="78077AD7">
      <w:pPr>
        <w:pStyle w:val="3"/>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bookmarkStart w:id="106" w:name="_Toc8821_WPSOffice_Level2"/>
      <w:bookmarkStart w:id="107" w:name="_Toc12047_WPSOffice_Level2"/>
      <w:bookmarkStart w:id="108" w:name="_Toc435620278"/>
      <w:r>
        <w:rPr>
          <w:rFonts w:hint="eastAsia" w:ascii="宋体" w:hAnsi="宋体" w:eastAsia="宋体" w:cs="宋体"/>
          <w:b/>
          <w:bCs/>
          <w:sz w:val="24"/>
          <w:szCs w:val="24"/>
        </w:rPr>
        <w:t>（四）、烘干室及强冷室</w:t>
      </w:r>
      <w:bookmarkEnd w:id="106"/>
      <w:bookmarkEnd w:id="107"/>
      <w:bookmarkEnd w:id="108"/>
      <w:r>
        <w:rPr>
          <w:rFonts w:hint="eastAsia" w:ascii="宋体" w:hAnsi="宋体" w:eastAsia="宋体" w:cs="宋体"/>
          <w:b/>
          <w:bCs/>
          <w:sz w:val="24"/>
          <w:szCs w:val="24"/>
        </w:rPr>
        <w:t>技术任务书</w:t>
      </w:r>
    </w:p>
    <w:p w14:paraId="65FE9FA3">
      <w:pPr>
        <w:pStyle w:val="2"/>
        <w:pageBreakBefore w:val="0"/>
        <w:numPr>
          <w:ilvl w:val="0"/>
          <w:numId w:val="93"/>
        </w:numPr>
        <w:tabs>
          <w:tab w:val="left" w:pos="0"/>
        </w:tabs>
        <w:kinsoku/>
        <w:wordWrap/>
        <w:overflowPunct/>
        <w:topLinePunct w:val="0"/>
        <w:bidi w:val="0"/>
        <w:adjustRightInd w:val="0"/>
        <w:snapToGrid w:val="0"/>
        <w:spacing w:before="0" w:afterAutospacing="0" w:line="360" w:lineRule="auto"/>
        <w:ind w:left="420" w:leftChars="0" w:hanging="420" w:firstLineChars="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sz w:val="24"/>
          <w:szCs w:val="24"/>
          <w:lang w:val="en-US" w:eastAsia="zh-CN"/>
        </w:rPr>
        <w:t>现状概述</w:t>
      </w:r>
      <w:r>
        <w:rPr>
          <w:rFonts w:hint="eastAsia" w:ascii="宋体" w:hAnsi="宋体" w:eastAsia="宋体" w:cs="宋体"/>
          <w:b/>
          <w:bCs/>
          <w:color w:val="000000" w:themeColor="text1"/>
          <w:sz w:val="24"/>
          <w:szCs w:val="24"/>
          <w14:textFill>
            <w14:solidFill>
              <w14:schemeClr w14:val="tx1"/>
            </w14:solidFill>
          </w14:textFill>
        </w:rPr>
        <w:tab/>
      </w:r>
    </w:p>
    <w:p w14:paraId="58C096C8">
      <w:pPr>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现涂装车间烘干室设备主要内容：</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0"/>
        <w:gridCol w:w="2662"/>
        <w:gridCol w:w="1122"/>
        <w:gridCol w:w="3623"/>
        <w:gridCol w:w="1123"/>
      </w:tblGrid>
      <w:tr w14:paraId="2248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28217BA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序号</w:t>
            </w:r>
          </w:p>
        </w:tc>
        <w:tc>
          <w:tcPr>
            <w:tcW w:w="1378" w:type="pct"/>
            <w:vAlign w:val="center"/>
          </w:tcPr>
          <w:p w14:paraId="62CBDB7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设备名称</w:t>
            </w:r>
          </w:p>
        </w:tc>
        <w:tc>
          <w:tcPr>
            <w:tcW w:w="581" w:type="pct"/>
            <w:vAlign w:val="center"/>
          </w:tcPr>
          <w:p w14:paraId="3CB069E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数量</w:t>
            </w:r>
          </w:p>
        </w:tc>
        <w:tc>
          <w:tcPr>
            <w:tcW w:w="1877" w:type="pct"/>
            <w:vAlign w:val="center"/>
          </w:tcPr>
          <w:p w14:paraId="324A107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规格</w:t>
            </w:r>
          </w:p>
        </w:tc>
        <w:tc>
          <w:tcPr>
            <w:tcW w:w="582" w:type="pct"/>
            <w:vAlign w:val="center"/>
          </w:tcPr>
          <w:p w14:paraId="15C08E7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备注</w:t>
            </w:r>
          </w:p>
        </w:tc>
      </w:tr>
      <w:tr w14:paraId="4BA0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7CC5F56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78" w:type="pct"/>
            <w:vAlign w:val="center"/>
          </w:tcPr>
          <w:p w14:paraId="1483EB4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电泳烘干室一</w:t>
            </w:r>
          </w:p>
        </w:tc>
        <w:tc>
          <w:tcPr>
            <w:tcW w:w="581" w:type="pct"/>
            <w:vAlign w:val="center"/>
          </w:tcPr>
          <w:p w14:paraId="570E3CF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877" w:type="pct"/>
            <w:vAlign w:val="center"/>
          </w:tcPr>
          <w:p w14:paraId="46F1A43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28000×4350×4700</w:t>
            </w:r>
          </w:p>
        </w:tc>
        <w:tc>
          <w:tcPr>
            <w:tcW w:w="582" w:type="pct"/>
            <w:vAlign w:val="center"/>
          </w:tcPr>
          <w:p w14:paraId="2A72D5D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利旧</w:t>
            </w:r>
          </w:p>
        </w:tc>
      </w:tr>
      <w:tr w14:paraId="14A83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0C8062E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w:t>
            </w:r>
          </w:p>
        </w:tc>
        <w:tc>
          <w:tcPr>
            <w:tcW w:w="1378" w:type="pct"/>
            <w:vAlign w:val="center"/>
          </w:tcPr>
          <w:p w14:paraId="7710720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电泳强冷室一</w:t>
            </w:r>
          </w:p>
        </w:tc>
        <w:tc>
          <w:tcPr>
            <w:tcW w:w="581" w:type="pct"/>
            <w:vAlign w:val="center"/>
          </w:tcPr>
          <w:p w14:paraId="7F99D18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877" w:type="pct"/>
            <w:vAlign w:val="center"/>
          </w:tcPr>
          <w:p w14:paraId="74B53E1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14000×4350×4700</w:t>
            </w:r>
          </w:p>
        </w:tc>
        <w:tc>
          <w:tcPr>
            <w:tcW w:w="582" w:type="pct"/>
            <w:vAlign w:val="center"/>
          </w:tcPr>
          <w:p w14:paraId="55F9C26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利旧</w:t>
            </w:r>
          </w:p>
        </w:tc>
      </w:tr>
      <w:tr w14:paraId="5A85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1C35BCF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3</w:t>
            </w:r>
          </w:p>
        </w:tc>
        <w:tc>
          <w:tcPr>
            <w:tcW w:w="1378" w:type="pct"/>
            <w:vAlign w:val="center"/>
          </w:tcPr>
          <w:p w14:paraId="0CF1B1B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原子灰烘干室</w:t>
            </w:r>
          </w:p>
        </w:tc>
        <w:tc>
          <w:tcPr>
            <w:tcW w:w="581" w:type="pct"/>
            <w:vAlign w:val="center"/>
          </w:tcPr>
          <w:p w14:paraId="1988E2C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877" w:type="pct"/>
            <w:vAlign w:val="center"/>
          </w:tcPr>
          <w:p w14:paraId="512C553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14000×4650×5000</w:t>
            </w:r>
          </w:p>
        </w:tc>
        <w:tc>
          <w:tcPr>
            <w:tcW w:w="582" w:type="pct"/>
            <w:vAlign w:val="center"/>
          </w:tcPr>
          <w:p w14:paraId="0221DB3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r>
      <w:tr w14:paraId="4E1C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76761FE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4</w:t>
            </w:r>
          </w:p>
        </w:tc>
        <w:tc>
          <w:tcPr>
            <w:tcW w:w="1378" w:type="pct"/>
            <w:vAlign w:val="center"/>
          </w:tcPr>
          <w:p w14:paraId="2FF6885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中涂烘干室</w:t>
            </w:r>
          </w:p>
        </w:tc>
        <w:tc>
          <w:tcPr>
            <w:tcW w:w="581" w:type="pct"/>
            <w:vAlign w:val="center"/>
          </w:tcPr>
          <w:p w14:paraId="363E9D7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877" w:type="pct"/>
            <w:vAlign w:val="center"/>
          </w:tcPr>
          <w:p w14:paraId="5EBBFD6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14000×4650×5000</w:t>
            </w:r>
          </w:p>
        </w:tc>
        <w:tc>
          <w:tcPr>
            <w:tcW w:w="582" w:type="pct"/>
            <w:vAlign w:val="center"/>
          </w:tcPr>
          <w:p w14:paraId="792D7E4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r>
      <w:tr w14:paraId="438B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5EEE7DC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5</w:t>
            </w:r>
          </w:p>
        </w:tc>
        <w:tc>
          <w:tcPr>
            <w:tcW w:w="1378" w:type="pct"/>
            <w:vAlign w:val="center"/>
          </w:tcPr>
          <w:p w14:paraId="2B2C94C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面漆烘干室</w:t>
            </w:r>
          </w:p>
        </w:tc>
        <w:tc>
          <w:tcPr>
            <w:tcW w:w="581" w:type="pct"/>
            <w:vAlign w:val="center"/>
          </w:tcPr>
          <w:p w14:paraId="40B88CE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w:t>
            </w:r>
          </w:p>
        </w:tc>
        <w:tc>
          <w:tcPr>
            <w:tcW w:w="1877" w:type="pct"/>
            <w:vAlign w:val="center"/>
          </w:tcPr>
          <w:p w14:paraId="1213DF8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14000×4650×5000</w:t>
            </w:r>
          </w:p>
        </w:tc>
        <w:tc>
          <w:tcPr>
            <w:tcW w:w="582" w:type="pct"/>
            <w:vAlign w:val="center"/>
          </w:tcPr>
          <w:p w14:paraId="2368C28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r>
      <w:tr w14:paraId="12AAB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4BBFA60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6</w:t>
            </w:r>
          </w:p>
        </w:tc>
        <w:tc>
          <w:tcPr>
            <w:tcW w:w="1378" w:type="pct"/>
            <w:vAlign w:val="center"/>
          </w:tcPr>
          <w:p w14:paraId="64C398C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彩条烘干室</w:t>
            </w:r>
          </w:p>
        </w:tc>
        <w:tc>
          <w:tcPr>
            <w:tcW w:w="581" w:type="pct"/>
            <w:vAlign w:val="center"/>
          </w:tcPr>
          <w:p w14:paraId="4009633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w:t>
            </w:r>
          </w:p>
        </w:tc>
        <w:tc>
          <w:tcPr>
            <w:tcW w:w="1877" w:type="pct"/>
            <w:vAlign w:val="center"/>
          </w:tcPr>
          <w:p w14:paraId="2A79CB6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14000×4650×5000</w:t>
            </w:r>
          </w:p>
        </w:tc>
        <w:tc>
          <w:tcPr>
            <w:tcW w:w="582" w:type="pct"/>
            <w:vAlign w:val="center"/>
          </w:tcPr>
          <w:p w14:paraId="62575AB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r>
      <w:tr w14:paraId="1A21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0" w:type="pct"/>
            <w:vAlign w:val="center"/>
          </w:tcPr>
          <w:p w14:paraId="05585F0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7</w:t>
            </w:r>
          </w:p>
        </w:tc>
        <w:tc>
          <w:tcPr>
            <w:tcW w:w="1378" w:type="pct"/>
            <w:vAlign w:val="center"/>
          </w:tcPr>
          <w:p w14:paraId="73D431A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清漆烘干室</w:t>
            </w:r>
          </w:p>
        </w:tc>
        <w:tc>
          <w:tcPr>
            <w:tcW w:w="581" w:type="pct"/>
            <w:vAlign w:val="center"/>
          </w:tcPr>
          <w:p w14:paraId="1861EBE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w:t>
            </w:r>
          </w:p>
        </w:tc>
        <w:tc>
          <w:tcPr>
            <w:tcW w:w="1877" w:type="pct"/>
            <w:vAlign w:val="center"/>
          </w:tcPr>
          <w:p w14:paraId="7004355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14000×4650×5000</w:t>
            </w:r>
          </w:p>
        </w:tc>
        <w:tc>
          <w:tcPr>
            <w:tcW w:w="582" w:type="pct"/>
            <w:vAlign w:val="center"/>
          </w:tcPr>
          <w:p w14:paraId="5D27244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r>
      <w:tr w14:paraId="53E06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959" w:type="pct"/>
            <w:gridSpan w:val="2"/>
            <w:vAlign w:val="center"/>
          </w:tcPr>
          <w:p w14:paraId="3DDBB44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default"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合计</w:t>
            </w:r>
          </w:p>
        </w:tc>
        <w:tc>
          <w:tcPr>
            <w:tcW w:w="581" w:type="pct"/>
            <w:vAlign w:val="center"/>
          </w:tcPr>
          <w:p w14:paraId="3B2AD69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default"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10</w:t>
            </w:r>
          </w:p>
        </w:tc>
        <w:tc>
          <w:tcPr>
            <w:tcW w:w="1877" w:type="pct"/>
            <w:vAlign w:val="center"/>
          </w:tcPr>
          <w:p w14:paraId="3D8B80C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c>
          <w:tcPr>
            <w:tcW w:w="582" w:type="pct"/>
            <w:vAlign w:val="center"/>
          </w:tcPr>
          <w:p w14:paraId="1FAAA45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r>
    </w:tbl>
    <w:p w14:paraId="471F4D61">
      <w:pPr>
        <w:pStyle w:val="2"/>
        <w:pageBreakBefore w:val="0"/>
        <w:numPr>
          <w:ilvl w:val="0"/>
          <w:numId w:val="93"/>
        </w:numPr>
        <w:tabs>
          <w:tab w:val="left" w:pos="0"/>
        </w:tabs>
        <w:kinsoku/>
        <w:wordWrap/>
        <w:overflowPunct/>
        <w:topLinePunct w:val="0"/>
        <w:bidi w:val="0"/>
        <w:adjustRightInd w:val="0"/>
        <w:snapToGrid w:val="0"/>
        <w:spacing w:before="0" w:afterAutospacing="0" w:line="360" w:lineRule="auto"/>
        <w:ind w:left="420" w:leftChars="0" w:hanging="420" w:firstLine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改造内容</w:t>
      </w:r>
    </w:p>
    <w:p w14:paraId="422832FE">
      <w:pPr>
        <w:pageBreakBefore w:val="0"/>
        <w:numPr>
          <w:ilvl w:val="0"/>
          <w:numId w:val="0"/>
        </w:numPr>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改造内容如下：拆除涂装车间原子灰烘干室一套、中涂烘干室一套、面漆烘干室两套、彩条烘干室两套、清漆烘干室两套，新增电泳烘干二及强冷室二、胶烘干及强冷室、闪干及强冷室、面漆烘干及强冷室及各烘干炉附属设备与设施</w:t>
      </w:r>
      <w:r>
        <w:rPr>
          <w:rFonts w:hint="eastAsia" w:ascii="宋体" w:hAnsi="宋体" w:cs="宋体"/>
          <w:color w:val="000000" w:themeColor="text1"/>
          <w:kern w:val="2"/>
          <w:sz w:val="24"/>
          <w:szCs w:val="24"/>
          <w:lang w:val="en-US" w:eastAsia="zh-CN" w:bidi="ar-SA"/>
          <w14:textFill>
            <w14:solidFill>
              <w14:schemeClr w14:val="tx1"/>
            </w14:solidFill>
          </w14:textFill>
        </w:rPr>
        <w:t>。(新建部分规格仅供参考，具体以会签图纸为准）</w:t>
      </w:r>
    </w:p>
    <w:tbl>
      <w:tblPr>
        <w:tblStyle w:val="4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6"/>
        <w:gridCol w:w="2577"/>
        <w:gridCol w:w="1406"/>
        <w:gridCol w:w="2528"/>
        <w:gridCol w:w="1907"/>
      </w:tblGrid>
      <w:tr w14:paraId="3320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0ECB35D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序号</w:t>
            </w:r>
          </w:p>
        </w:tc>
        <w:tc>
          <w:tcPr>
            <w:tcW w:w="1334" w:type="pct"/>
            <w:vAlign w:val="center"/>
          </w:tcPr>
          <w:p w14:paraId="11E2891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改造内容</w:t>
            </w:r>
          </w:p>
        </w:tc>
        <w:tc>
          <w:tcPr>
            <w:tcW w:w="728" w:type="pct"/>
            <w:vAlign w:val="center"/>
          </w:tcPr>
          <w:p w14:paraId="2C0C84A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数量</w:t>
            </w:r>
          </w:p>
        </w:tc>
        <w:tc>
          <w:tcPr>
            <w:tcW w:w="1309" w:type="pct"/>
            <w:vAlign w:val="center"/>
          </w:tcPr>
          <w:p w14:paraId="5F88275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规格</w:t>
            </w:r>
          </w:p>
        </w:tc>
        <w:tc>
          <w:tcPr>
            <w:tcW w:w="987" w:type="pct"/>
            <w:vAlign w:val="center"/>
          </w:tcPr>
          <w:p w14:paraId="345C9C1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备注</w:t>
            </w:r>
          </w:p>
        </w:tc>
      </w:tr>
      <w:tr w14:paraId="63132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3C62182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34" w:type="pct"/>
            <w:vAlign w:val="center"/>
          </w:tcPr>
          <w:p w14:paraId="08C5957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电泳烘干室二</w:t>
            </w:r>
          </w:p>
        </w:tc>
        <w:tc>
          <w:tcPr>
            <w:tcW w:w="728" w:type="pct"/>
            <w:vAlign w:val="center"/>
          </w:tcPr>
          <w:p w14:paraId="6413FB2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3071785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14000×4350×3300</w:t>
            </w:r>
          </w:p>
        </w:tc>
        <w:tc>
          <w:tcPr>
            <w:tcW w:w="987" w:type="pct"/>
            <w:vAlign w:val="center"/>
          </w:tcPr>
          <w:p w14:paraId="2F0E8FA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51123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4022A8E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w:t>
            </w:r>
          </w:p>
        </w:tc>
        <w:tc>
          <w:tcPr>
            <w:tcW w:w="1334" w:type="pct"/>
            <w:vAlign w:val="center"/>
          </w:tcPr>
          <w:p w14:paraId="621B12D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电泳强冷室二</w:t>
            </w:r>
          </w:p>
        </w:tc>
        <w:tc>
          <w:tcPr>
            <w:tcW w:w="728" w:type="pct"/>
            <w:vAlign w:val="center"/>
          </w:tcPr>
          <w:p w14:paraId="0DAB330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4070895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14000×4350×3300</w:t>
            </w:r>
          </w:p>
        </w:tc>
        <w:tc>
          <w:tcPr>
            <w:tcW w:w="987" w:type="pct"/>
            <w:vAlign w:val="center"/>
          </w:tcPr>
          <w:p w14:paraId="22A0BBB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3C0A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68EB9D0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3</w:t>
            </w:r>
          </w:p>
        </w:tc>
        <w:tc>
          <w:tcPr>
            <w:tcW w:w="1334" w:type="pct"/>
            <w:vAlign w:val="center"/>
          </w:tcPr>
          <w:p w14:paraId="511E548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胶烘干室</w:t>
            </w:r>
          </w:p>
        </w:tc>
        <w:tc>
          <w:tcPr>
            <w:tcW w:w="728" w:type="pct"/>
            <w:vAlign w:val="center"/>
          </w:tcPr>
          <w:p w14:paraId="267B734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22844AF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38000×3800×3800</w:t>
            </w:r>
          </w:p>
        </w:tc>
        <w:tc>
          <w:tcPr>
            <w:tcW w:w="987" w:type="pct"/>
            <w:vAlign w:val="center"/>
          </w:tcPr>
          <w:p w14:paraId="45EF5F6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6C09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5F1DDD8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4</w:t>
            </w:r>
          </w:p>
        </w:tc>
        <w:tc>
          <w:tcPr>
            <w:tcW w:w="1334" w:type="pct"/>
            <w:vAlign w:val="center"/>
          </w:tcPr>
          <w:p w14:paraId="1C882DC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胶强冷室</w:t>
            </w:r>
          </w:p>
        </w:tc>
        <w:tc>
          <w:tcPr>
            <w:tcW w:w="728" w:type="pct"/>
            <w:vAlign w:val="center"/>
          </w:tcPr>
          <w:p w14:paraId="1C97CA2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6CA55FA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7000×3800×3800</w:t>
            </w:r>
          </w:p>
        </w:tc>
        <w:tc>
          <w:tcPr>
            <w:tcW w:w="987" w:type="pct"/>
            <w:vAlign w:val="center"/>
          </w:tcPr>
          <w:p w14:paraId="3B8D072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02F25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74507AE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5</w:t>
            </w:r>
          </w:p>
        </w:tc>
        <w:tc>
          <w:tcPr>
            <w:tcW w:w="1334" w:type="pct"/>
            <w:vAlign w:val="center"/>
          </w:tcPr>
          <w:p w14:paraId="182E9D8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闪干室</w:t>
            </w:r>
          </w:p>
        </w:tc>
        <w:tc>
          <w:tcPr>
            <w:tcW w:w="728" w:type="pct"/>
            <w:vAlign w:val="center"/>
          </w:tcPr>
          <w:p w14:paraId="71FD59A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099F4F9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27000×4000×3800</w:t>
            </w:r>
          </w:p>
        </w:tc>
        <w:tc>
          <w:tcPr>
            <w:tcW w:w="987" w:type="pct"/>
            <w:vAlign w:val="center"/>
          </w:tcPr>
          <w:p w14:paraId="2ED3D88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56187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7165595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6</w:t>
            </w:r>
          </w:p>
        </w:tc>
        <w:tc>
          <w:tcPr>
            <w:tcW w:w="1334" w:type="pct"/>
            <w:vAlign w:val="center"/>
          </w:tcPr>
          <w:p w14:paraId="7768BE9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闪干强冷室</w:t>
            </w:r>
          </w:p>
        </w:tc>
        <w:tc>
          <w:tcPr>
            <w:tcW w:w="728" w:type="pct"/>
            <w:vAlign w:val="center"/>
          </w:tcPr>
          <w:p w14:paraId="0BFC146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3CA9F5D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7000×4000×3800</w:t>
            </w:r>
          </w:p>
        </w:tc>
        <w:tc>
          <w:tcPr>
            <w:tcW w:w="987" w:type="pct"/>
            <w:vAlign w:val="center"/>
          </w:tcPr>
          <w:p w14:paraId="188DD6B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05D1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4DA9E04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7</w:t>
            </w:r>
          </w:p>
        </w:tc>
        <w:tc>
          <w:tcPr>
            <w:tcW w:w="1334" w:type="pct"/>
            <w:vAlign w:val="center"/>
          </w:tcPr>
          <w:p w14:paraId="3D6203D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面漆烘干室</w:t>
            </w:r>
          </w:p>
        </w:tc>
        <w:tc>
          <w:tcPr>
            <w:tcW w:w="728" w:type="pct"/>
            <w:vAlign w:val="center"/>
          </w:tcPr>
          <w:p w14:paraId="13DA47E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742DBAD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45000×4000×3800</w:t>
            </w:r>
          </w:p>
        </w:tc>
        <w:tc>
          <w:tcPr>
            <w:tcW w:w="987" w:type="pct"/>
            <w:vAlign w:val="center"/>
          </w:tcPr>
          <w:p w14:paraId="2BE6A3E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21642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4199F24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8</w:t>
            </w:r>
          </w:p>
        </w:tc>
        <w:tc>
          <w:tcPr>
            <w:tcW w:w="1334" w:type="pct"/>
            <w:vAlign w:val="center"/>
          </w:tcPr>
          <w:p w14:paraId="220BFED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面漆强冷室</w:t>
            </w:r>
          </w:p>
        </w:tc>
        <w:tc>
          <w:tcPr>
            <w:tcW w:w="728" w:type="pct"/>
            <w:vAlign w:val="center"/>
          </w:tcPr>
          <w:p w14:paraId="32682D3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1</w:t>
            </w:r>
          </w:p>
        </w:tc>
        <w:tc>
          <w:tcPr>
            <w:tcW w:w="1309" w:type="pct"/>
            <w:vAlign w:val="center"/>
          </w:tcPr>
          <w:p w14:paraId="3B5EF1B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7000×4000×3800</w:t>
            </w:r>
          </w:p>
        </w:tc>
        <w:tc>
          <w:tcPr>
            <w:tcW w:w="987" w:type="pct"/>
            <w:vAlign w:val="center"/>
          </w:tcPr>
          <w:p w14:paraId="083F990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新建</w:t>
            </w:r>
          </w:p>
        </w:tc>
      </w:tr>
      <w:tr w14:paraId="00567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pct"/>
            <w:vAlign w:val="center"/>
          </w:tcPr>
          <w:p w14:paraId="7DFCA7B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lang w:val="en-US" w:eastAsia="zh-CN"/>
                <w14:textFill>
                  <w14:solidFill>
                    <w14:schemeClr w14:val="tx1"/>
                  </w14:solidFill>
                </w14:textFill>
              </w:rPr>
            </w:pPr>
          </w:p>
        </w:tc>
        <w:tc>
          <w:tcPr>
            <w:tcW w:w="1334" w:type="pct"/>
            <w:shd w:val="clear" w:color="auto" w:fill="auto"/>
            <w:vAlign w:val="center"/>
          </w:tcPr>
          <w:p w14:paraId="0C75377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合计</w:t>
            </w:r>
          </w:p>
        </w:tc>
        <w:tc>
          <w:tcPr>
            <w:tcW w:w="728" w:type="pct"/>
            <w:shd w:val="clear" w:color="auto" w:fill="auto"/>
            <w:vAlign w:val="center"/>
          </w:tcPr>
          <w:p w14:paraId="7B4CB5A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kern w:val="2"/>
                <w:sz w:val="24"/>
                <w:szCs w:val="24"/>
                <w:lang w:val="en-US" w:eastAsia="zh-CN" w:bidi="ar-SA"/>
                <w14:textFill>
                  <w14:solidFill>
                    <w14:schemeClr w14:val="tx1"/>
                  </w14:solidFill>
                </w14:textFill>
              </w:rPr>
            </w:pPr>
            <w:r>
              <w:rPr>
                <w:rFonts w:hint="eastAsia" w:ascii="宋体" w:hAnsi="宋体" w:eastAsia="宋体" w:cs="宋体"/>
                <w:bCs/>
                <w:color w:val="000000" w:themeColor="text1"/>
                <w:spacing w:val="-4"/>
                <w:sz w:val="24"/>
                <w:szCs w:val="24"/>
                <w:lang w:val="en-US" w:eastAsia="zh-CN"/>
                <w14:textFill>
                  <w14:solidFill>
                    <w14:schemeClr w14:val="tx1"/>
                  </w14:solidFill>
                </w14:textFill>
              </w:rPr>
              <w:t>8</w:t>
            </w:r>
          </w:p>
        </w:tc>
        <w:tc>
          <w:tcPr>
            <w:tcW w:w="1309" w:type="pct"/>
            <w:vAlign w:val="center"/>
          </w:tcPr>
          <w:p w14:paraId="0B9B0E01">
            <w:pPr>
              <w:pStyle w:val="2"/>
              <w:pageBreakBefore w:val="0"/>
              <w:kinsoku/>
              <w:wordWrap/>
              <w:overflowPunct/>
              <w:topLinePunct w:val="0"/>
              <w:bidi w:val="0"/>
              <w:adjustRightInd w:val="0"/>
              <w:snapToGrid w:val="0"/>
              <w:spacing w:before="0" w:afterAutospacing="0" w:line="240" w:lineRule="auto"/>
              <w:ind w:left="0" w:leftChars="0" w:firstLine="0" w:firstLineChars="0"/>
              <w:jc w:val="center"/>
              <w:textAlignment w:val="auto"/>
              <w:rPr>
                <w:rFonts w:hint="eastAsia" w:ascii="宋体" w:hAnsi="宋体" w:eastAsia="宋体" w:cs="宋体"/>
                <w:sz w:val="24"/>
                <w:szCs w:val="24"/>
                <w:vertAlign w:val="baseline"/>
              </w:rPr>
            </w:pPr>
          </w:p>
        </w:tc>
        <w:tc>
          <w:tcPr>
            <w:tcW w:w="987" w:type="pct"/>
            <w:vAlign w:val="center"/>
          </w:tcPr>
          <w:p w14:paraId="26357376">
            <w:pPr>
              <w:pStyle w:val="2"/>
              <w:pageBreakBefore w:val="0"/>
              <w:kinsoku/>
              <w:wordWrap/>
              <w:overflowPunct/>
              <w:topLinePunct w:val="0"/>
              <w:bidi w:val="0"/>
              <w:adjustRightInd w:val="0"/>
              <w:snapToGrid w:val="0"/>
              <w:spacing w:before="0" w:afterAutospacing="0" w:line="240" w:lineRule="auto"/>
              <w:ind w:left="0" w:leftChars="0" w:firstLine="0" w:firstLineChars="0"/>
              <w:jc w:val="center"/>
              <w:textAlignment w:val="auto"/>
              <w:rPr>
                <w:rFonts w:hint="eastAsia" w:ascii="宋体" w:hAnsi="宋体" w:eastAsia="宋体" w:cs="宋体"/>
                <w:sz w:val="24"/>
                <w:szCs w:val="24"/>
                <w:vertAlign w:val="baseline"/>
              </w:rPr>
            </w:pPr>
          </w:p>
        </w:tc>
      </w:tr>
    </w:tbl>
    <w:p w14:paraId="17B9DA4E">
      <w:pPr>
        <w:pStyle w:val="2"/>
        <w:pageBreakBefore w:val="0"/>
        <w:numPr>
          <w:ilvl w:val="0"/>
          <w:numId w:val="93"/>
        </w:numPr>
        <w:tabs>
          <w:tab w:val="left" w:pos="0"/>
        </w:tabs>
        <w:kinsoku/>
        <w:wordWrap/>
        <w:overflowPunct/>
        <w:topLinePunct w:val="0"/>
        <w:bidi w:val="0"/>
        <w:adjustRightInd w:val="0"/>
        <w:snapToGrid w:val="0"/>
        <w:spacing w:before="0" w:afterAutospacing="0" w:line="360" w:lineRule="auto"/>
        <w:ind w:left="420" w:leftChars="0" w:hanging="420" w:firstLineChars="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改造要求</w:t>
      </w:r>
    </w:p>
    <w:p w14:paraId="3E4952E9">
      <w:pPr>
        <w:pStyle w:val="2"/>
        <w:pageBreakBefore w:val="0"/>
        <w:numPr>
          <w:ilvl w:val="0"/>
          <w:numId w:val="94"/>
        </w:numPr>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szCs w:val="24"/>
          <w:lang w:val="en-GB"/>
        </w:rPr>
      </w:pPr>
      <w:r>
        <w:rPr>
          <w:rFonts w:hint="eastAsia" w:ascii="宋体" w:hAnsi="宋体" w:eastAsia="宋体" w:cs="宋体"/>
          <w:sz w:val="24"/>
          <w:szCs w:val="24"/>
          <w:lang w:val="en-GB"/>
        </w:rPr>
        <w:t>烘干室功能要求表</w:t>
      </w:r>
    </w:p>
    <w:p w14:paraId="0191EB1B">
      <w:pPr>
        <w:pageBreakBefore w:val="0"/>
        <w:numPr>
          <w:ilvl w:val="0"/>
          <w:numId w:val="0"/>
        </w:numPr>
        <w:tabs>
          <w:tab w:val="left" w:pos="6435"/>
        </w:tabs>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范围：</w:t>
      </w:r>
      <w:r>
        <w:rPr>
          <w:rFonts w:hint="eastAsia" w:ascii="宋体" w:hAnsi="宋体" w:eastAsia="宋体" w:cs="宋体"/>
          <w:color w:val="000000" w:themeColor="text1"/>
          <w:sz w:val="24"/>
          <w:szCs w:val="24"/>
          <w14:textFill>
            <w14:solidFill>
              <w14:schemeClr w14:val="tx1"/>
            </w14:solidFill>
          </w14:textFill>
        </w:rPr>
        <w:tab/>
      </w:r>
    </w:p>
    <w:p w14:paraId="3670A537">
      <w:pPr>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包括电泳烘干室</w:t>
      </w:r>
      <w:r>
        <w:rPr>
          <w:rFonts w:hint="eastAsia" w:ascii="宋体" w:hAnsi="宋体" w:eastAsia="宋体" w:cs="宋体"/>
          <w:color w:val="000000" w:themeColor="text1"/>
          <w:sz w:val="24"/>
          <w:szCs w:val="24"/>
          <w:lang w:val="en-US" w:eastAsia="zh-CN"/>
          <w14:textFill>
            <w14:solidFill>
              <w14:schemeClr w14:val="tx1"/>
            </w14:solidFill>
          </w14:textFill>
        </w:rPr>
        <w:t>二</w:t>
      </w:r>
      <w:r>
        <w:rPr>
          <w:rFonts w:hint="eastAsia" w:ascii="宋体" w:hAnsi="宋体" w:eastAsia="宋体" w:cs="宋体"/>
          <w:color w:val="000000" w:themeColor="text1"/>
          <w:sz w:val="24"/>
          <w:szCs w:val="24"/>
          <w14:textFill>
            <w14:solidFill>
              <w14:schemeClr w14:val="tx1"/>
            </w14:solidFill>
          </w14:textFill>
        </w:rPr>
        <w:t>、胶烘干室、面漆烘干室、闪干室及其强冷室的室体、加热单元、燃烧机及其电控、换气装置及设备平台等.</w:t>
      </w:r>
    </w:p>
    <w:p w14:paraId="32DACFD0">
      <w:pPr>
        <w:pageBreakBefore w:val="0"/>
        <w:numPr>
          <w:ilvl w:val="0"/>
          <w:numId w:val="0"/>
        </w:numPr>
        <w:tabs>
          <w:tab w:val="left" w:pos="6435"/>
        </w:tabs>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主要参数</w:t>
      </w:r>
    </w:p>
    <w:tbl>
      <w:tblPr>
        <w:tblStyle w:val="44"/>
        <w:tblW w:w="9707" w:type="dxa"/>
        <w:jc w:val="center"/>
        <w:tblLayout w:type="autofit"/>
        <w:tblCellMar>
          <w:top w:w="0" w:type="dxa"/>
          <w:left w:w="30" w:type="dxa"/>
          <w:bottom w:w="0" w:type="dxa"/>
          <w:right w:w="30" w:type="dxa"/>
        </w:tblCellMar>
      </w:tblPr>
      <w:tblGrid>
        <w:gridCol w:w="566"/>
        <w:gridCol w:w="2157"/>
        <w:gridCol w:w="1734"/>
        <w:gridCol w:w="13"/>
        <w:gridCol w:w="1689"/>
        <w:gridCol w:w="55"/>
        <w:gridCol w:w="1646"/>
        <w:gridCol w:w="1840"/>
        <w:gridCol w:w="7"/>
      </w:tblGrid>
      <w:tr w14:paraId="15619573">
        <w:tblPrEx>
          <w:tblCellMar>
            <w:top w:w="0" w:type="dxa"/>
            <w:left w:w="30" w:type="dxa"/>
            <w:bottom w:w="0" w:type="dxa"/>
            <w:right w:w="30" w:type="dxa"/>
          </w:tblCellMar>
        </w:tblPrEx>
        <w:trPr>
          <w:gridAfter w:val="1"/>
          <w:wAfter w:w="7" w:type="dxa"/>
          <w:cantSplit/>
          <w:trHeight w:val="583" w:hRule="atLeast"/>
          <w:tblHeader/>
          <w:jc w:val="center"/>
        </w:trPr>
        <w:tc>
          <w:tcPr>
            <w:tcW w:w="566" w:type="dxa"/>
            <w:tcBorders>
              <w:top w:val="single" w:color="auto" w:sz="4" w:space="0"/>
              <w:left w:val="single" w:color="auto" w:sz="4" w:space="0"/>
              <w:bottom w:val="single" w:color="auto" w:sz="4" w:space="0"/>
              <w:right w:val="single" w:color="auto" w:sz="4" w:space="0"/>
            </w:tcBorders>
            <w:textDirection w:val="tbRlV"/>
            <w:vAlign w:val="center"/>
          </w:tcPr>
          <w:p w14:paraId="45989C81">
            <w:pPr>
              <w:pageBreakBefore w:val="0"/>
              <w:kinsoku/>
              <w:wordWrap/>
              <w:overflowPunct/>
              <w:topLinePunct w:val="0"/>
              <w:autoSpaceDE w:val="0"/>
              <w:autoSpaceDN w:val="0"/>
              <w:bidi w:val="0"/>
              <w:adjustRightInd w:val="0"/>
              <w:snapToGrid w:val="0"/>
              <w:spacing w:afterAutospacing="0" w:line="240" w:lineRule="auto"/>
              <w:ind w:left="0" w:leftChars="0" w:right="113"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类型</w:t>
            </w:r>
          </w:p>
        </w:tc>
        <w:tc>
          <w:tcPr>
            <w:tcW w:w="2157" w:type="dxa"/>
            <w:tcBorders>
              <w:top w:val="single" w:color="auto" w:sz="4" w:space="0"/>
              <w:left w:val="single" w:color="auto" w:sz="4" w:space="0"/>
              <w:bottom w:val="single" w:color="auto" w:sz="4" w:space="0"/>
              <w:right w:val="single" w:color="auto" w:sz="4" w:space="0"/>
              <w:tl2br w:val="single" w:color="auto" w:sz="4" w:space="0"/>
            </w:tcBorders>
            <w:vAlign w:val="center"/>
          </w:tcPr>
          <w:p w14:paraId="203208C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      设备名称</w:t>
            </w:r>
          </w:p>
          <w:p w14:paraId="33302DA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项目</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7BF8D2C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电泳烘干室</w:t>
            </w:r>
          </w:p>
        </w:tc>
        <w:tc>
          <w:tcPr>
            <w:tcW w:w="1689" w:type="dxa"/>
            <w:tcBorders>
              <w:top w:val="single" w:color="auto" w:sz="4" w:space="0"/>
              <w:left w:val="single" w:color="auto" w:sz="4" w:space="0"/>
              <w:bottom w:val="single" w:color="auto" w:sz="4" w:space="0"/>
              <w:right w:val="single" w:color="auto" w:sz="4" w:space="0"/>
            </w:tcBorders>
            <w:vAlign w:val="center"/>
          </w:tcPr>
          <w:p w14:paraId="2C66856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胶烘干室</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2F5ECB3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面漆烘干室</w:t>
            </w:r>
          </w:p>
        </w:tc>
        <w:tc>
          <w:tcPr>
            <w:tcW w:w="1840" w:type="dxa"/>
            <w:tcBorders>
              <w:top w:val="single" w:color="auto" w:sz="4" w:space="0"/>
              <w:left w:val="single" w:color="auto" w:sz="4" w:space="0"/>
              <w:bottom w:val="single" w:color="auto" w:sz="4" w:space="0"/>
              <w:right w:val="single" w:color="auto" w:sz="4" w:space="0"/>
            </w:tcBorders>
            <w:vAlign w:val="center"/>
          </w:tcPr>
          <w:p w14:paraId="6A52058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闪干室</w:t>
            </w:r>
          </w:p>
        </w:tc>
      </w:tr>
      <w:tr w14:paraId="2C1C1693">
        <w:tblPrEx>
          <w:tblCellMar>
            <w:top w:w="0" w:type="dxa"/>
            <w:left w:w="30" w:type="dxa"/>
            <w:bottom w:w="0" w:type="dxa"/>
            <w:right w:w="30" w:type="dxa"/>
          </w:tblCellMar>
        </w:tblPrEx>
        <w:trPr>
          <w:gridAfter w:val="1"/>
          <w:wAfter w:w="7" w:type="dxa"/>
          <w:cantSplit/>
          <w:trHeight w:val="500" w:hRule="atLeast"/>
          <w:jc w:val="center"/>
        </w:trPr>
        <w:tc>
          <w:tcPr>
            <w:tcW w:w="566" w:type="dxa"/>
            <w:vMerge w:val="restart"/>
            <w:tcBorders>
              <w:top w:val="single" w:color="auto" w:sz="4" w:space="0"/>
              <w:left w:val="single" w:color="auto" w:sz="4" w:space="0"/>
              <w:right w:val="single" w:color="auto" w:sz="4" w:space="0"/>
            </w:tcBorders>
            <w:vAlign w:val="center"/>
          </w:tcPr>
          <w:p w14:paraId="7CF66A2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烘</w:t>
            </w:r>
          </w:p>
          <w:p w14:paraId="178D35D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干</w:t>
            </w:r>
          </w:p>
          <w:p w14:paraId="2728702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室</w:t>
            </w:r>
          </w:p>
        </w:tc>
        <w:tc>
          <w:tcPr>
            <w:tcW w:w="2157" w:type="dxa"/>
            <w:tcBorders>
              <w:top w:val="single" w:color="auto" w:sz="4" w:space="0"/>
              <w:left w:val="single" w:color="auto" w:sz="4" w:space="0"/>
              <w:bottom w:val="single" w:color="auto" w:sz="4" w:space="0"/>
              <w:right w:val="single" w:color="auto" w:sz="4" w:space="0"/>
            </w:tcBorders>
            <w:vAlign w:val="center"/>
          </w:tcPr>
          <w:p w14:paraId="1BEAAB1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设备形式</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35E9445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直通炉</w:t>
            </w:r>
          </w:p>
        </w:tc>
        <w:tc>
          <w:tcPr>
            <w:tcW w:w="1689" w:type="dxa"/>
            <w:tcBorders>
              <w:top w:val="single" w:color="auto" w:sz="4" w:space="0"/>
              <w:left w:val="single" w:color="auto" w:sz="4" w:space="0"/>
              <w:bottom w:val="single" w:color="auto" w:sz="4" w:space="0"/>
              <w:right w:val="single" w:color="auto" w:sz="4" w:space="0"/>
            </w:tcBorders>
            <w:vAlign w:val="center"/>
          </w:tcPr>
          <w:p w14:paraId="263C235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直通炉</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2C201D0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直通炉</w:t>
            </w:r>
          </w:p>
        </w:tc>
        <w:tc>
          <w:tcPr>
            <w:tcW w:w="1840" w:type="dxa"/>
            <w:tcBorders>
              <w:top w:val="single" w:color="auto" w:sz="4" w:space="0"/>
              <w:left w:val="single" w:color="auto" w:sz="4" w:space="0"/>
              <w:bottom w:val="single" w:color="auto" w:sz="4" w:space="0"/>
              <w:right w:val="single" w:color="auto" w:sz="4" w:space="0"/>
            </w:tcBorders>
            <w:vAlign w:val="center"/>
          </w:tcPr>
          <w:p w14:paraId="6D874CD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直通炉</w:t>
            </w:r>
          </w:p>
        </w:tc>
      </w:tr>
      <w:tr w14:paraId="6FCA583E">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72DF01A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5D57A7D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工件加热方式</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3FBAFF9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对流间接加热</w:t>
            </w:r>
          </w:p>
        </w:tc>
        <w:tc>
          <w:tcPr>
            <w:tcW w:w="1689" w:type="dxa"/>
            <w:tcBorders>
              <w:top w:val="single" w:color="auto" w:sz="4" w:space="0"/>
              <w:left w:val="single" w:color="auto" w:sz="4" w:space="0"/>
              <w:bottom w:val="single" w:color="auto" w:sz="4" w:space="0"/>
              <w:right w:val="single" w:color="auto" w:sz="4" w:space="0"/>
            </w:tcBorders>
            <w:vAlign w:val="center"/>
          </w:tcPr>
          <w:p w14:paraId="6F0C3BB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对流直接加热</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4CE8A96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对流间接加热</w:t>
            </w:r>
          </w:p>
        </w:tc>
        <w:tc>
          <w:tcPr>
            <w:tcW w:w="1840" w:type="dxa"/>
            <w:tcBorders>
              <w:top w:val="single" w:color="auto" w:sz="4" w:space="0"/>
              <w:left w:val="single" w:color="auto" w:sz="4" w:space="0"/>
              <w:bottom w:val="single" w:color="auto" w:sz="4" w:space="0"/>
              <w:right w:val="single" w:color="auto" w:sz="4" w:space="0"/>
            </w:tcBorders>
            <w:vAlign w:val="center"/>
          </w:tcPr>
          <w:p w14:paraId="72A8B0E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对流间接加热</w:t>
            </w:r>
          </w:p>
        </w:tc>
      </w:tr>
      <w:tr w14:paraId="0861319E">
        <w:tblPrEx>
          <w:tblCellMar>
            <w:top w:w="0" w:type="dxa"/>
            <w:left w:w="30" w:type="dxa"/>
            <w:bottom w:w="0" w:type="dxa"/>
            <w:right w:w="30" w:type="dxa"/>
          </w:tblCellMar>
        </w:tblPrEx>
        <w:trPr>
          <w:gridAfter w:val="1"/>
          <w:wAfter w:w="7" w:type="dxa"/>
          <w:cantSplit/>
          <w:trHeight w:val="500" w:hRule="atLeast"/>
          <w:jc w:val="center"/>
        </w:trPr>
        <w:tc>
          <w:tcPr>
            <w:tcW w:w="566" w:type="dxa"/>
            <w:vMerge w:val="continue"/>
            <w:tcBorders>
              <w:left w:val="single" w:color="auto" w:sz="4" w:space="0"/>
              <w:right w:val="single" w:color="auto" w:sz="4" w:space="0"/>
            </w:tcBorders>
            <w:vAlign w:val="center"/>
          </w:tcPr>
          <w:p w14:paraId="09DDE34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609E1F6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室体尺寸（mm）</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4872A69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由设计确定</w:t>
            </w:r>
          </w:p>
        </w:tc>
        <w:tc>
          <w:tcPr>
            <w:tcW w:w="1689" w:type="dxa"/>
            <w:tcBorders>
              <w:top w:val="single" w:color="auto" w:sz="4" w:space="0"/>
              <w:left w:val="single" w:color="auto" w:sz="4" w:space="0"/>
              <w:bottom w:val="single" w:color="auto" w:sz="4" w:space="0"/>
              <w:right w:val="single" w:color="auto" w:sz="4" w:space="0"/>
            </w:tcBorders>
            <w:vAlign w:val="center"/>
          </w:tcPr>
          <w:p w14:paraId="12227E7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由设计确定</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08CC7DA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由设计确定</w:t>
            </w:r>
          </w:p>
        </w:tc>
        <w:tc>
          <w:tcPr>
            <w:tcW w:w="1840" w:type="dxa"/>
            <w:tcBorders>
              <w:top w:val="single" w:color="auto" w:sz="4" w:space="0"/>
              <w:left w:val="single" w:color="auto" w:sz="4" w:space="0"/>
              <w:bottom w:val="single" w:color="auto" w:sz="4" w:space="0"/>
              <w:right w:val="single" w:color="auto" w:sz="4" w:space="0"/>
            </w:tcBorders>
            <w:vAlign w:val="center"/>
          </w:tcPr>
          <w:p w14:paraId="31E20FE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由设计确定</w:t>
            </w:r>
          </w:p>
        </w:tc>
      </w:tr>
      <w:tr w14:paraId="3A35BF3D">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4AD969D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792216C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输送机械类型</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602ED2B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c>
          <w:tcPr>
            <w:tcW w:w="1689" w:type="dxa"/>
            <w:tcBorders>
              <w:top w:val="single" w:color="auto" w:sz="4" w:space="0"/>
              <w:left w:val="single" w:color="auto" w:sz="4" w:space="0"/>
              <w:bottom w:val="single" w:color="auto" w:sz="4" w:space="0"/>
              <w:right w:val="single" w:color="auto" w:sz="4" w:space="0"/>
            </w:tcBorders>
            <w:vAlign w:val="center"/>
          </w:tcPr>
          <w:p w14:paraId="34C062F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7FFE42A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c>
          <w:tcPr>
            <w:tcW w:w="1840" w:type="dxa"/>
            <w:tcBorders>
              <w:top w:val="single" w:color="auto" w:sz="4" w:space="0"/>
              <w:left w:val="single" w:color="auto" w:sz="4" w:space="0"/>
              <w:bottom w:val="single" w:color="auto" w:sz="4" w:space="0"/>
              <w:right w:val="single" w:color="auto" w:sz="4" w:space="0"/>
            </w:tcBorders>
            <w:vAlign w:val="center"/>
          </w:tcPr>
          <w:p w14:paraId="66E5411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r>
      <w:tr w14:paraId="33C934CE">
        <w:tblPrEx>
          <w:tblCellMar>
            <w:top w:w="0" w:type="dxa"/>
            <w:left w:w="30" w:type="dxa"/>
            <w:bottom w:w="0" w:type="dxa"/>
            <w:right w:w="30" w:type="dxa"/>
          </w:tblCellMar>
        </w:tblPrEx>
        <w:trPr>
          <w:gridAfter w:val="1"/>
          <w:wAfter w:w="7" w:type="dxa"/>
          <w:cantSplit/>
          <w:trHeight w:val="500" w:hRule="atLeast"/>
          <w:jc w:val="center"/>
        </w:trPr>
        <w:tc>
          <w:tcPr>
            <w:tcW w:w="566" w:type="dxa"/>
            <w:vMerge w:val="continue"/>
            <w:tcBorders>
              <w:left w:val="single" w:color="auto" w:sz="4" w:space="0"/>
              <w:right w:val="single" w:color="auto" w:sz="4" w:space="0"/>
            </w:tcBorders>
            <w:vAlign w:val="center"/>
          </w:tcPr>
          <w:p w14:paraId="4F5FC3B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625BD40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升温段烘干温度</w:t>
            </w:r>
            <w:r>
              <w:rPr>
                <w:rFonts w:hint="eastAsia" w:ascii="宋体" w:hAnsi="宋体" w:eastAsia="宋体" w:cs="宋体"/>
                <w:bCs/>
                <w:color w:val="000000" w:themeColor="text1"/>
                <w:spacing w:val="-4"/>
                <w:sz w:val="24"/>
                <w:szCs w:val="24"/>
                <w:vertAlign w:val="superscript"/>
                <w14:textFill>
                  <w14:solidFill>
                    <w14:schemeClr w14:val="tx1"/>
                  </w14:solidFill>
                </w14:textFill>
              </w:rPr>
              <w:t>o</w:t>
            </w:r>
            <w:r>
              <w:rPr>
                <w:rFonts w:hint="eastAsia" w:ascii="宋体" w:hAnsi="宋体" w:eastAsia="宋体" w:cs="宋体"/>
                <w:bCs/>
                <w:color w:val="000000" w:themeColor="text1"/>
                <w:spacing w:val="-4"/>
                <w:sz w:val="24"/>
                <w:szCs w:val="24"/>
                <w14:textFill>
                  <w14:solidFill>
                    <w14:schemeClr w14:val="tx1"/>
                  </w14:solidFill>
                </w14:textFill>
              </w:rPr>
              <w:t>C</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48BDB9F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90~180</w:t>
            </w:r>
          </w:p>
        </w:tc>
        <w:tc>
          <w:tcPr>
            <w:tcW w:w="1689" w:type="dxa"/>
            <w:tcBorders>
              <w:top w:val="single" w:color="auto" w:sz="4" w:space="0"/>
              <w:left w:val="single" w:color="auto" w:sz="4" w:space="0"/>
              <w:bottom w:val="single" w:color="auto" w:sz="4" w:space="0"/>
              <w:right w:val="single" w:color="auto" w:sz="4" w:space="0"/>
            </w:tcBorders>
            <w:vAlign w:val="center"/>
          </w:tcPr>
          <w:p w14:paraId="3E995A7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0~1</w:t>
            </w:r>
            <w:r>
              <w:rPr>
                <w:rFonts w:hint="eastAsia" w:ascii="宋体" w:hAnsi="宋体" w:eastAsia="宋体" w:cs="宋体"/>
                <w:bCs/>
                <w:color w:val="000000" w:themeColor="text1"/>
                <w:spacing w:val="-4"/>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pacing w:val="-4"/>
                <w:sz w:val="24"/>
                <w:szCs w:val="24"/>
                <w:highlight w:val="none"/>
                <w14:textFill>
                  <w14:solidFill>
                    <w14:schemeClr w14:val="tx1"/>
                  </w14:solidFill>
                </w14:textFill>
              </w:rPr>
              <w:t>0</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7E6D4C6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90～140</w:t>
            </w:r>
          </w:p>
        </w:tc>
        <w:tc>
          <w:tcPr>
            <w:tcW w:w="1840" w:type="dxa"/>
            <w:tcBorders>
              <w:top w:val="single" w:color="auto" w:sz="4" w:space="0"/>
              <w:left w:val="single" w:color="auto" w:sz="4" w:space="0"/>
              <w:bottom w:val="single" w:color="auto" w:sz="4" w:space="0"/>
              <w:right w:val="single" w:color="auto" w:sz="4" w:space="0"/>
            </w:tcBorders>
            <w:vAlign w:val="center"/>
          </w:tcPr>
          <w:p w14:paraId="24F4AB3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80～90</w:t>
            </w:r>
          </w:p>
        </w:tc>
      </w:tr>
      <w:tr w14:paraId="63DA67BE">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7FFE853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43C9707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升温段时间  min</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6E0C1CD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15</w:t>
            </w:r>
          </w:p>
        </w:tc>
        <w:tc>
          <w:tcPr>
            <w:tcW w:w="1689" w:type="dxa"/>
            <w:tcBorders>
              <w:top w:val="single" w:color="auto" w:sz="4" w:space="0"/>
              <w:left w:val="single" w:color="auto" w:sz="4" w:space="0"/>
              <w:bottom w:val="single" w:color="auto" w:sz="4" w:space="0"/>
              <w:right w:val="single" w:color="auto" w:sz="4" w:space="0"/>
            </w:tcBorders>
            <w:vAlign w:val="center"/>
          </w:tcPr>
          <w:p w14:paraId="2BF0A82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8</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2E509D6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15</w:t>
            </w:r>
          </w:p>
        </w:tc>
        <w:tc>
          <w:tcPr>
            <w:tcW w:w="1840" w:type="dxa"/>
            <w:tcBorders>
              <w:top w:val="single" w:color="auto" w:sz="4" w:space="0"/>
              <w:left w:val="single" w:color="auto" w:sz="4" w:space="0"/>
              <w:bottom w:val="single" w:color="auto" w:sz="4" w:space="0"/>
              <w:right w:val="single" w:color="auto" w:sz="4" w:space="0"/>
            </w:tcBorders>
            <w:vAlign w:val="center"/>
          </w:tcPr>
          <w:p w14:paraId="2B32FCC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3</w:t>
            </w:r>
          </w:p>
        </w:tc>
      </w:tr>
      <w:tr w14:paraId="147EA29A">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6A8FBBE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1A74DBE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 xml:space="preserve">保温段温度  </w:t>
            </w:r>
            <w:r>
              <w:rPr>
                <w:rFonts w:hint="eastAsia" w:ascii="宋体" w:hAnsi="宋体" w:eastAsia="宋体" w:cs="宋体"/>
                <w:bCs/>
                <w:color w:val="000000" w:themeColor="text1"/>
                <w:spacing w:val="-4"/>
                <w:sz w:val="24"/>
                <w:szCs w:val="24"/>
                <w:vertAlign w:val="superscript"/>
                <w14:textFill>
                  <w14:solidFill>
                    <w14:schemeClr w14:val="tx1"/>
                  </w14:solidFill>
                </w14:textFill>
              </w:rPr>
              <w:t>o</w:t>
            </w:r>
            <w:r>
              <w:rPr>
                <w:rFonts w:hint="eastAsia" w:ascii="宋体" w:hAnsi="宋体" w:eastAsia="宋体" w:cs="宋体"/>
                <w:bCs/>
                <w:color w:val="000000" w:themeColor="text1"/>
                <w:spacing w:val="-4"/>
                <w:sz w:val="24"/>
                <w:szCs w:val="24"/>
                <w14:textFill>
                  <w14:solidFill>
                    <w14:schemeClr w14:val="tx1"/>
                  </w14:solidFill>
                </w14:textFill>
              </w:rPr>
              <w:t>C</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72EFA24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180</w:t>
            </w:r>
          </w:p>
        </w:tc>
        <w:tc>
          <w:tcPr>
            <w:tcW w:w="1689" w:type="dxa"/>
            <w:tcBorders>
              <w:top w:val="single" w:color="auto" w:sz="4" w:space="0"/>
              <w:left w:val="single" w:color="auto" w:sz="4" w:space="0"/>
              <w:bottom w:val="single" w:color="auto" w:sz="4" w:space="0"/>
              <w:right w:val="single" w:color="auto" w:sz="4" w:space="0"/>
            </w:tcBorders>
            <w:vAlign w:val="center"/>
          </w:tcPr>
          <w:p w14:paraId="783A5C8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1</w:t>
            </w:r>
            <w:r>
              <w:rPr>
                <w:rFonts w:hint="eastAsia" w:ascii="宋体" w:hAnsi="宋体" w:eastAsia="宋体" w:cs="宋体"/>
                <w:bCs/>
                <w:color w:val="000000" w:themeColor="text1"/>
                <w:spacing w:val="-4"/>
                <w:sz w:val="24"/>
                <w:szCs w:val="24"/>
                <w:highlight w:val="none"/>
                <w:lang w:val="en-US" w:eastAsia="zh-CN"/>
                <w14:textFill>
                  <w14:solidFill>
                    <w14:schemeClr w14:val="tx1"/>
                  </w14:solidFill>
                </w14:textFill>
              </w:rPr>
              <w:t>2</w:t>
            </w:r>
            <w:r>
              <w:rPr>
                <w:rFonts w:hint="eastAsia" w:ascii="宋体" w:hAnsi="宋体" w:eastAsia="宋体" w:cs="宋体"/>
                <w:bCs/>
                <w:color w:val="000000" w:themeColor="text1"/>
                <w:spacing w:val="-4"/>
                <w:sz w:val="24"/>
                <w:szCs w:val="24"/>
                <w:highlight w:val="none"/>
                <w14:textFill>
                  <w14:solidFill>
                    <w14:schemeClr w14:val="tx1"/>
                  </w14:solidFill>
                </w14:textFill>
              </w:rPr>
              <w:t>0</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2CE190E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140</w:t>
            </w:r>
          </w:p>
        </w:tc>
        <w:tc>
          <w:tcPr>
            <w:tcW w:w="1840" w:type="dxa"/>
            <w:tcBorders>
              <w:top w:val="single" w:color="auto" w:sz="4" w:space="0"/>
              <w:left w:val="single" w:color="auto" w:sz="4" w:space="0"/>
              <w:bottom w:val="single" w:color="auto" w:sz="4" w:space="0"/>
              <w:right w:val="single" w:color="auto" w:sz="4" w:space="0"/>
            </w:tcBorders>
            <w:vAlign w:val="center"/>
          </w:tcPr>
          <w:p w14:paraId="43D7C7B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90</w:t>
            </w:r>
          </w:p>
        </w:tc>
      </w:tr>
      <w:tr w14:paraId="4D40AA19">
        <w:tblPrEx>
          <w:tblCellMar>
            <w:top w:w="0" w:type="dxa"/>
            <w:left w:w="30" w:type="dxa"/>
            <w:bottom w:w="0" w:type="dxa"/>
            <w:right w:w="30" w:type="dxa"/>
          </w:tblCellMar>
        </w:tblPrEx>
        <w:trPr>
          <w:gridAfter w:val="1"/>
          <w:wAfter w:w="7" w:type="dxa"/>
          <w:cantSplit/>
          <w:trHeight w:val="500" w:hRule="atLeast"/>
          <w:jc w:val="center"/>
        </w:trPr>
        <w:tc>
          <w:tcPr>
            <w:tcW w:w="566" w:type="dxa"/>
            <w:vMerge w:val="continue"/>
            <w:tcBorders>
              <w:left w:val="single" w:color="auto" w:sz="4" w:space="0"/>
              <w:right w:val="single" w:color="auto" w:sz="4" w:space="0"/>
            </w:tcBorders>
            <w:vAlign w:val="center"/>
          </w:tcPr>
          <w:p w14:paraId="426ECCB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539DE13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保温段时间  min</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5E34D71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25</w:t>
            </w:r>
          </w:p>
        </w:tc>
        <w:tc>
          <w:tcPr>
            <w:tcW w:w="1689" w:type="dxa"/>
            <w:tcBorders>
              <w:top w:val="single" w:color="auto" w:sz="4" w:space="0"/>
              <w:left w:val="single" w:color="auto" w:sz="4" w:space="0"/>
              <w:bottom w:val="single" w:color="auto" w:sz="4" w:space="0"/>
              <w:right w:val="single" w:color="auto" w:sz="4" w:space="0"/>
            </w:tcBorders>
            <w:vAlign w:val="center"/>
          </w:tcPr>
          <w:p w14:paraId="14C7C2C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trike/>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12</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0368C77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2</w:t>
            </w:r>
            <w:r>
              <w:rPr>
                <w:rFonts w:hint="eastAsia" w:ascii="宋体" w:hAnsi="宋体" w:eastAsia="宋体" w:cs="宋体"/>
                <w:bCs/>
                <w:color w:val="000000" w:themeColor="text1"/>
                <w:spacing w:val="-4"/>
                <w:sz w:val="24"/>
                <w:szCs w:val="24"/>
                <w:highlight w:val="none"/>
                <w:lang w:val="en-US" w:eastAsia="zh-CN"/>
                <w14:textFill>
                  <w14:solidFill>
                    <w14:schemeClr w14:val="tx1"/>
                  </w14:solidFill>
                </w14:textFill>
              </w:rPr>
              <w:t>0</w:t>
            </w:r>
          </w:p>
        </w:tc>
        <w:tc>
          <w:tcPr>
            <w:tcW w:w="1840" w:type="dxa"/>
            <w:tcBorders>
              <w:top w:val="single" w:color="auto" w:sz="4" w:space="0"/>
              <w:left w:val="single" w:color="auto" w:sz="4" w:space="0"/>
              <w:bottom w:val="single" w:color="auto" w:sz="4" w:space="0"/>
              <w:right w:val="single" w:color="auto" w:sz="4" w:space="0"/>
            </w:tcBorders>
            <w:vAlign w:val="center"/>
          </w:tcPr>
          <w:p w14:paraId="65E83C9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5</w:t>
            </w:r>
          </w:p>
        </w:tc>
      </w:tr>
      <w:tr w14:paraId="6D095988">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7340478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2FFD2FF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 xml:space="preserve">室内温差 </w:t>
            </w:r>
            <w:r>
              <w:rPr>
                <w:rFonts w:hint="eastAsia" w:ascii="宋体" w:hAnsi="宋体" w:eastAsia="宋体" w:cs="宋体"/>
                <w:bCs/>
                <w:color w:val="000000" w:themeColor="text1"/>
                <w:spacing w:val="-4"/>
                <w:sz w:val="24"/>
                <w:szCs w:val="24"/>
                <w:vertAlign w:val="superscript"/>
                <w14:textFill>
                  <w14:solidFill>
                    <w14:schemeClr w14:val="tx1"/>
                  </w14:solidFill>
                </w14:textFill>
              </w:rPr>
              <w:t>o</w:t>
            </w:r>
            <w:r>
              <w:rPr>
                <w:rFonts w:hint="eastAsia" w:ascii="宋体" w:hAnsi="宋体" w:eastAsia="宋体" w:cs="宋体"/>
                <w:bCs/>
                <w:color w:val="000000" w:themeColor="text1"/>
                <w:spacing w:val="-4"/>
                <w:sz w:val="24"/>
                <w:szCs w:val="24"/>
                <w14:textFill>
                  <w14:solidFill>
                    <w14:schemeClr w14:val="tx1"/>
                  </w14:solidFill>
                </w14:textFill>
              </w:rPr>
              <w:t>C</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200045F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689" w:type="dxa"/>
            <w:tcBorders>
              <w:top w:val="single" w:color="auto" w:sz="4" w:space="0"/>
              <w:left w:val="single" w:color="auto" w:sz="4" w:space="0"/>
              <w:bottom w:val="single" w:color="auto" w:sz="4" w:space="0"/>
              <w:right w:val="single" w:color="auto" w:sz="4" w:space="0"/>
            </w:tcBorders>
            <w:vAlign w:val="center"/>
          </w:tcPr>
          <w:p w14:paraId="62C94BD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7E9398E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1840" w:type="dxa"/>
            <w:tcBorders>
              <w:top w:val="single" w:color="auto" w:sz="4" w:space="0"/>
              <w:left w:val="single" w:color="auto" w:sz="4" w:space="0"/>
              <w:bottom w:val="single" w:color="auto" w:sz="4" w:space="0"/>
              <w:right w:val="single" w:color="auto" w:sz="4" w:space="0"/>
            </w:tcBorders>
            <w:vAlign w:val="center"/>
          </w:tcPr>
          <w:p w14:paraId="5AB55A3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r>
      <w:tr w14:paraId="513DC2D0">
        <w:tblPrEx>
          <w:tblCellMar>
            <w:top w:w="0" w:type="dxa"/>
            <w:left w:w="30" w:type="dxa"/>
            <w:bottom w:w="0" w:type="dxa"/>
            <w:right w:w="30" w:type="dxa"/>
          </w:tblCellMar>
        </w:tblPrEx>
        <w:trPr>
          <w:gridAfter w:val="1"/>
          <w:wAfter w:w="7" w:type="dxa"/>
          <w:cantSplit/>
          <w:trHeight w:val="288" w:hRule="atLeast"/>
          <w:jc w:val="center"/>
        </w:trPr>
        <w:tc>
          <w:tcPr>
            <w:tcW w:w="566" w:type="dxa"/>
            <w:vMerge w:val="continue"/>
            <w:tcBorders>
              <w:left w:val="single" w:color="auto" w:sz="4" w:space="0"/>
              <w:right w:val="single" w:color="auto" w:sz="4" w:space="0"/>
            </w:tcBorders>
            <w:vAlign w:val="center"/>
          </w:tcPr>
          <w:p w14:paraId="79C2046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vMerge w:val="restart"/>
            <w:tcBorders>
              <w:top w:val="single" w:color="auto" w:sz="4" w:space="0"/>
              <w:left w:val="single" w:color="auto" w:sz="4" w:space="0"/>
              <w:right w:val="single" w:color="auto" w:sz="4" w:space="0"/>
            </w:tcBorders>
            <w:vAlign w:val="center"/>
          </w:tcPr>
          <w:p w14:paraId="1CF73CF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spacing w:val="-4"/>
                <w:sz w:val="24"/>
                <w:szCs w:val="24"/>
              </w:rPr>
              <w:t>升温时间  min</w:t>
            </w:r>
          </w:p>
        </w:tc>
        <w:tc>
          <w:tcPr>
            <w:tcW w:w="1734" w:type="dxa"/>
            <w:tcBorders>
              <w:top w:val="single" w:color="auto" w:sz="4" w:space="0"/>
              <w:left w:val="single" w:color="auto" w:sz="4" w:space="0"/>
              <w:bottom w:val="single" w:color="auto" w:sz="4" w:space="0"/>
              <w:right w:val="single" w:color="auto" w:sz="4" w:space="0"/>
            </w:tcBorders>
            <w:vAlign w:val="center"/>
          </w:tcPr>
          <w:p w14:paraId="3AD5B7A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pacing w:val="-4"/>
                <w:sz w:val="24"/>
                <w:szCs w:val="24"/>
              </w:rPr>
              <w:t>冷炉≤120；</w:t>
            </w:r>
          </w:p>
        </w:tc>
        <w:tc>
          <w:tcPr>
            <w:tcW w:w="3403" w:type="dxa"/>
            <w:gridSpan w:val="4"/>
            <w:tcBorders>
              <w:top w:val="single" w:color="auto" w:sz="4" w:space="0"/>
              <w:left w:val="single" w:color="auto" w:sz="4" w:space="0"/>
              <w:bottom w:val="single" w:color="auto" w:sz="4" w:space="0"/>
              <w:right w:val="single" w:color="auto" w:sz="4" w:space="0"/>
            </w:tcBorders>
            <w:vAlign w:val="center"/>
          </w:tcPr>
          <w:p w14:paraId="07B5E96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pacing w:val="-4"/>
                <w:sz w:val="24"/>
                <w:szCs w:val="24"/>
              </w:rPr>
              <w:t>冷炉≤90；</w:t>
            </w:r>
          </w:p>
        </w:tc>
        <w:tc>
          <w:tcPr>
            <w:tcW w:w="1840" w:type="dxa"/>
            <w:vMerge w:val="restart"/>
            <w:tcBorders>
              <w:top w:val="single" w:color="auto" w:sz="4" w:space="0"/>
              <w:left w:val="single" w:color="auto" w:sz="4" w:space="0"/>
              <w:right w:val="single" w:color="auto" w:sz="4" w:space="0"/>
            </w:tcBorders>
            <w:vAlign w:val="center"/>
          </w:tcPr>
          <w:p w14:paraId="5B6CBF4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pacing w:val="-4"/>
                <w:sz w:val="24"/>
                <w:szCs w:val="24"/>
              </w:rPr>
              <w:t>≤60</w:t>
            </w:r>
          </w:p>
        </w:tc>
      </w:tr>
      <w:tr w14:paraId="23DE0FD6">
        <w:tblPrEx>
          <w:tblCellMar>
            <w:top w:w="0" w:type="dxa"/>
            <w:left w:w="30" w:type="dxa"/>
            <w:bottom w:w="0" w:type="dxa"/>
            <w:right w:w="30" w:type="dxa"/>
          </w:tblCellMar>
        </w:tblPrEx>
        <w:trPr>
          <w:gridAfter w:val="1"/>
          <w:wAfter w:w="7" w:type="dxa"/>
          <w:cantSplit/>
          <w:trHeight w:val="288" w:hRule="atLeast"/>
          <w:jc w:val="center"/>
        </w:trPr>
        <w:tc>
          <w:tcPr>
            <w:tcW w:w="566" w:type="dxa"/>
            <w:vMerge w:val="continue"/>
            <w:tcBorders>
              <w:left w:val="single" w:color="auto" w:sz="4" w:space="0"/>
              <w:right w:val="single" w:color="auto" w:sz="4" w:space="0"/>
            </w:tcBorders>
            <w:vAlign w:val="center"/>
          </w:tcPr>
          <w:p w14:paraId="1438D58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vMerge w:val="continue"/>
            <w:tcBorders>
              <w:left w:val="single" w:color="auto" w:sz="4" w:space="0"/>
              <w:bottom w:val="single" w:color="auto" w:sz="4" w:space="0"/>
              <w:right w:val="single" w:color="auto" w:sz="4" w:space="0"/>
            </w:tcBorders>
            <w:vAlign w:val="center"/>
          </w:tcPr>
          <w:p w14:paraId="52B57D5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p>
        </w:tc>
        <w:tc>
          <w:tcPr>
            <w:tcW w:w="5137" w:type="dxa"/>
            <w:gridSpan w:val="5"/>
            <w:tcBorders>
              <w:top w:val="single" w:color="auto" w:sz="4" w:space="0"/>
              <w:left w:val="single" w:color="auto" w:sz="4" w:space="0"/>
              <w:bottom w:val="single" w:color="auto" w:sz="4" w:space="0"/>
              <w:right w:val="single" w:color="auto" w:sz="4" w:space="0"/>
            </w:tcBorders>
            <w:vAlign w:val="center"/>
          </w:tcPr>
          <w:p w14:paraId="4251407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正常上班≤60；</w:t>
            </w:r>
          </w:p>
        </w:tc>
        <w:tc>
          <w:tcPr>
            <w:tcW w:w="1840" w:type="dxa"/>
            <w:vMerge w:val="continue"/>
            <w:tcBorders>
              <w:left w:val="single" w:color="auto" w:sz="4" w:space="0"/>
              <w:bottom w:val="single" w:color="auto" w:sz="4" w:space="0"/>
              <w:right w:val="single" w:color="auto" w:sz="4" w:space="0"/>
            </w:tcBorders>
            <w:vAlign w:val="center"/>
          </w:tcPr>
          <w:p w14:paraId="5C94083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p>
        </w:tc>
      </w:tr>
      <w:tr w14:paraId="1F058DA3">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742C7D6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2CAF9D5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热源种类</w:t>
            </w:r>
          </w:p>
        </w:tc>
        <w:tc>
          <w:tcPr>
            <w:tcW w:w="6977" w:type="dxa"/>
            <w:gridSpan w:val="6"/>
            <w:tcBorders>
              <w:top w:val="single" w:color="auto" w:sz="4" w:space="0"/>
              <w:left w:val="single" w:color="auto" w:sz="4" w:space="0"/>
              <w:bottom w:val="single" w:color="auto" w:sz="4" w:space="0"/>
              <w:right w:val="single" w:color="auto" w:sz="4" w:space="0"/>
            </w:tcBorders>
            <w:vAlign w:val="center"/>
          </w:tcPr>
          <w:p w14:paraId="12FE0B2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天然气</w:t>
            </w:r>
          </w:p>
        </w:tc>
      </w:tr>
      <w:tr w14:paraId="458F9C39">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right w:val="single" w:color="auto" w:sz="4" w:space="0"/>
            </w:tcBorders>
            <w:vAlign w:val="center"/>
          </w:tcPr>
          <w:p w14:paraId="41B7397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5AA85D0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color w:val="000000" w:themeColor="text1"/>
                <w:spacing w:val="-4"/>
                <w:sz w:val="24"/>
                <w:szCs w:val="24"/>
                <w14:textFill>
                  <w14:solidFill>
                    <w14:schemeClr w14:val="tx1"/>
                  </w14:solidFill>
                </w14:textFill>
              </w:rPr>
              <w:t>加热装置</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0EA9BC7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 xml:space="preserve">三元体 </w:t>
            </w:r>
          </w:p>
        </w:tc>
        <w:tc>
          <w:tcPr>
            <w:tcW w:w="1744" w:type="dxa"/>
            <w:gridSpan w:val="2"/>
            <w:tcBorders>
              <w:top w:val="single" w:color="auto" w:sz="4" w:space="0"/>
              <w:left w:val="single" w:color="auto" w:sz="4" w:space="0"/>
              <w:bottom w:val="single" w:color="auto" w:sz="4" w:space="0"/>
              <w:right w:val="single" w:color="auto" w:sz="4" w:space="0"/>
            </w:tcBorders>
            <w:vAlign w:val="center"/>
          </w:tcPr>
          <w:p w14:paraId="3FB65BF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三元体</w:t>
            </w:r>
          </w:p>
        </w:tc>
        <w:tc>
          <w:tcPr>
            <w:tcW w:w="1646" w:type="dxa"/>
            <w:tcBorders>
              <w:top w:val="single" w:color="auto" w:sz="4" w:space="0"/>
              <w:left w:val="single" w:color="auto" w:sz="4" w:space="0"/>
              <w:bottom w:val="single" w:color="auto" w:sz="4" w:space="0"/>
              <w:right w:val="single" w:color="auto" w:sz="4" w:space="0"/>
            </w:tcBorders>
            <w:vAlign w:val="center"/>
          </w:tcPr>
          <w:p w14:paraId="5E036EE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三元体</w:t>
            </w:r>
          </w:p>
        </w:tc>
        <w:tc>
          <w:tcPr>
            <w:tcW w:w="1840" w:type="dxa"/>
            <w:tcBorders>
              <w:top w:val="single" w:color="auto" w:sz="4" w:space="0"/>
              <w:left w:val="single" w:color="auto" w:sz="4" w:space="0"/>
              <w:bottom w:val="single" w:color="auto" w:sz="4" w:space="0"/>
              <w:right w:val="single" w:color="auto" w:sz="4" w:space="0"/>
            </w:tcBorders>
            <w:vAlign w:val="center"/>
          </w:tcPr>
          <w:p w14:paraId="032478D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rPr>
            </w:pPr>
            <w:r>
              <w:rPr>
                <w:rFonts w:hint="eastAsia" w:ascii="宋体" w:hAnsi="宋体" w:eastAsia="宋体" w:cs="宋体"/>
                <w:bCs/>
                <w:spacing w:val="-4"/>
                <w:sz w:val="24"/>
                <w:szCs w:val="24"/>
              </w:rPr>
              <w:t>三元体</w:t>
            </w:r>
          </w:p>
        </w:tc>
      </w:tr>
      <w:tr w14:paraId="060F5A15">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left w:val="single" w:color="auto" w:sz="4" w:space="0"/>
              <w:bottom w:val="single" w:color="auto" w:sz="4" w:space="0"/>
              <w:right w:val="single" w:color="auto" w:sz="4" w:space="0"/>
            </w:tcBorders>
            <w:vAlign w:val="center"/>
          </w:tcPr>
          <w:p w14:paraId="5BFE9F0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3BCBEF5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废气处理方式</w:t>
            </w:r>
          </w:p>
        </w:tc>
        <w:tc>
          <w:tcPr>
            <w:tcW w:w="5137" w:type="dxa"/>
            <w:gridSpan w:val="5"/>
            <w:tcBorders>
              <w:top w:val="single" w:color="auto" w:sz="4" w:space="0"/>
              <w:left w:val="single" w:color="auto" w:sz="4" w:space="0"/>
              <w:bottom w:val="single" w:color="auto" w:sz="4" w:space="0"/>
              <w:right w:val="single" w:color="auto" w:sz="4" w:space="0"/>
            </w:tcBorders>
            <w:vAlign w:val="center"/>
          </w:tcPr>
          <w:p w14:paraId="6E0984A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lang w:val="en-US" w:eastAsia="zh-CN"/>
              </w:rPr>
            </w:pPr>
            <w:r>
              <w:rPr>
                <w:rFonts w:hint="eastAsia" w:ascii="宋体" w:hAnsi="宋体" w:eastAsia="宋体" w:cs="宋体"/>
                <w:bCs/>
                <w:spacing w:val="-4"/>
                <w:sz w:val="24"/>
                <w:szCs w:val="24"/>
              </w:rPr>
              <w:t>RTO</w:t>
            </w:r>
            <w:r>
              <w:rPr>
                <w:rFonts w:hint="eastAsia" w:ascii="宋体" w:hAnsi="宋体" w:eastAsia="宋体" w:cs="宋体"/>
                <w:bCs/>
                <w:spacing w:val="-4"/>
                <w:sz w:val="24"/>
                <w:szCs w:val="24"/>
                <w:lang w:eastAsia="zh-CN"/>
              </w:rPr>
              <w:t>，</w:t>
            </w:r>
            <w:r>
              <w:rPr>
                <w:rFonts w:hint="eastAsia" w:ascii="宋体" w:hAnsi="宋体" w:eastAsia="宋体" w:cs="宋体"/>
                <w:bCs/>
                <w:spacing w:val="-4"/>
                <w:sz w:val="24"/>
                <w:szCs w:val="24"/>
                <w:lang w:val="en-US" w:eastAsia="zh-CN"/>
              </w:rPr>
              <w:t>同时将原电泳烘干室1废气连接到废气管路</w:t>
            </w:r>
          </w:p>
        </w:tc>
        <w:tc>
          <w:tcPr>
            <w:tcW w:w="1840" w:type="dxa"/>
            <w:tcBorders>
              <w:top w:val="single" w:color="auto" w:sz="4" w:space="0"/>
              <w:left w:val="single" w:color="auto" w:sz="4" w:space="0"/>
              <w:bottom w:val="single" w:color="auto" w:sz="4" w:space="0"/>
              <w:right w:val="single" w:color="auto" w:sz="4" w:space="0"/>
            </w:tcBorders>
            <w:vAlign w:val="center"/>
          </w:tcPr>
          <w:p w14:paraId="6A845E0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spacing w:val="-4"/>
                <w:sz w:val="24"/>
                <w:szCs w:val="24"/>
                <w:lang w:val="en-US" w:eastAsia="zh-CN"/>
              </w:rPr>
            </w:pPr>
            <w:r>
              <w:rPr>
                <w:rFonts w:hint="eastAsia" w:ascii="宋体" w:hAnsi="宋体" w:eastAsia="宋体" w:cs="宋体"/>
                <w:bCs/>
                <w:spacing w:val="-4"/>
                <w:sz w:val="24"/>
                <w:szCs w:val="24"/>
                <w:lang w:val="en-US" w:eastAsia="zh-CN"/>
              </w:rPr>
              <w:t>活性炭（与喷漆废气合并）</w:t>
            </w:r>
          </w:p>
        </w:tc>
      </w:tr>
      <w:tr w14:paraId="7F66CC06">
        <w:tblPrEx>
          <w:tblCellMar>
            <w:top w:w="0" w:type="dxa"/>
            <w:left w:w="30" w:type="dxa"/>
            <w:bottom w:w="0" w:type="dxa"/>
            <w:right w:w="30" w:type="dxa"/>
          </w:tblCellMar>
        </w:tblPrEx>
        <w:trPr>
          <w:gridAfter w:val="1"/>
          <w:wAfter w:w="7" w:type="dxa"/>
          <w:cantSplit/>
          <w:trHeight w:val="345" w:hRule="atLeast"/>
          <w:jc w:val="center"/>
        </w:trPr>
        <w:tc>
          <w:tcPr>
            <w:tcW w:w="566" w:type="dxa"/>
            <w:vMerge w:val="restart"/>
            <w:tcBorders>
              <w:top w:val="single" w:color="auto" w:sz="4" w:space="0"/>
              <w:left w:val="single" w:color="auto" w:sz="4" w:space="0"/>
              <w:bottom w:val="single" w:color="auto" w:sz="4" w:space="0"/>
              <w:right w:val="single" w:color="auto" w:sz="4" w:space="0"/>
            </w:tcBorders>
            <w:vAlign w:val="center"/>
          </w:tcPr>
          <w:p w14:paraId="7706846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强</w:t>
            </w:r>
          </w:p>
          <w:p w14:paraId="14FBD6D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冷</w:t>
            </w:r>
          </w:p>
          <w:p w14:paraId="2C220AD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室</w:t>
            </w:r>
          </w:p>
        </w:tc>
        <w:tc>
          <w:tcPr>
            <w:tcW w:w="2157" w:type="dxa"/>
            <w:tcBorders>
              <w:top w:val="single" w:color="auto" w:sz="4" w:space="0"/>
              <w:left w:val="single" w:color="auto" w:sz="4" w:space="0"/>
              <w:bottom w:val="single" w:color="auto" w:sz="4" w:space="0"/>
              <w:right w:val="single" w:color="auto" w:sz="4" w:space="0"/>
            </w:tcBorders>
            <w:vAlign w:val="center"/>
          </w:tcPr>
          <w:p w14:paraId="78CB8BA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机械化类型</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7048361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c>
          <w:tcPr>
            <w:tcW w:w="1689" w:type="dxa"/>
            <w:tcBorders>
              <w:top w:val="single" w:color="auto" w:sz="4" w:space="0"/>
              <w:left w:val="single" w:color="auto" w:sz="4" w:space="0"/>
              <w:bottom w:val="single" w:color="auto" w:sz="4" w:space="0"/>
              <w:right w:val="single" w:color="auto" w:sz="4" w:space="0"/>
            </w:tcBorders>
            <w:vAlign w:val="center"/>
          </w:tcPr>
          <w:p w14:paraId="6A5A77D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2C9520C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c>
          <w:tcPr>
            <w:tcW w:w="1840" w:type="dxa"/>
            <w:tcBorders>
              <w:top w:val="single" w:color="auto" w:sz="4" w:space="0"/>
              <w:left w:val="single" w:color="auto" w:sz="4" w:space="0"/>
              <w:bottom w:val="single" w:color="auto" w:sz="4" w:space="0"/>
              <w:right w:val="single" w:color="auto" w:sz="4" w:space="0"/>
            </w:tcBorders>
            <w:vAlign w:val="center"/>
          </w:tcPr>
          <w:p w14:paraId="57774B3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烘干双链</w:t>
            </w:r>
          </w:p>
        </w:tc>
      </w:tr>
      <w:tr w14:paraId="24A82BA9">
        <w:tblPrEx>
          <w:tblCellMar>
            <w:top w:w="0" w:type="dxa"/>
            <w:left w:w="30" w:type="dxa"/>
            <w:bottom w:w="0" w:type="dxa"/>
            <w:right w:w="30" w:type="dxa"/>
          </w:tblCellMar>
        </w:tblPrEx>
        <w:trPr>
          <w:gridAfter w:val="1"/>
          <w:wAfter w:w="7" w:type="dxa"/>
          <w:cantSplit/>
          <w:trHeight w:val="625" w:hRule="atLeast"/>
          <w:jc w:val="center"/>
        </w:trPr>
        <w:tc>
          <w:tcPr>
            <w:tcW w:w="566" w:type="dxa"/>
            <w:vMerge w:val="continue"/>
            <w:tcBorders>
              <w:top w:val="single" w:color="auto" w:sz="4" w:space="0"/>
              <w:left w:val="single" w:color="auto" w:sz="4" w:space="0"/>
              <w:bottom w:val="single" w:color="auto" w:sz="4" w:space="0"/>
              <w:right w:val="single" w:color="auto" w:sz="4" w:space="0"/>
            </w:tcBorders>
            <w:vAlign w:val="center"/>
          </w:tcPr>
          <w:p w14:paraId="2963F44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42FDFC2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输送方式</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517D6E3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14:textFill>
                  <w14:solidFill>
                    <w14:schemeClr w14:val="tx1"/>
                  </w14:solidFill>
                </w14:textFill>
              </w:rPr>
              <w:t>间接输送</w:t>
            </w:r>
          </w:p>
        </w:tc>
        <w:tc>
          <w:tcPr>
            <w:tcW w:w="1689" w:type="dxa"/>
            <w:tcBorders>
              <w:top w:val="single" w:color="auto" w:sz="4" w:space="0"/>
              <w:left w:val="single" w:color="auto" w:sz="4" w:space="0"/>
              <w:bottom w:val="single" w:color="auto" w:sz="4" w:space="0"/>
              <w:right w:val="single" w:color="auto" w:sz="4" w:space="0"/>
            </w:tcBorders>
            <w:vAlign w:val="center"/>
          </w:tcPr>
          <w:p w14:paraId="234B6B2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lang w:val="en-US" w:eastAsia="zh-CN"/>
                <w14:textFill>
                  <w14:solidFill>
                    <w14:schemeClr w14:val="tx1"/>
                  </w14:solidFill>
                </w14:textFill>
              </w:rPr>
              <w:t>连续</w:t>
            </w:r>
            <w:r>
              <w:rPr>
                <w:rFonts w:hint="eastAsia" w:ascii="宋体" w:hAnsi="宋体" w:eastAsia="宋体" w:cs="宋体"/>
                <w:bCs/>
                <w:color w:val="000000" w:themeColor="text1"/>
                <w:spacing w:val="-4"/>
                <w:sz w:val="24"/>
                <w:szCs w:val="24"/>
                <w:highlight w:val="none"/>
                <w14:textFill>
                  <w14:solidFill>
                    <w14:schemeClr w14:val="tx1"/>
                  </w14:solidFill>
                </w14:textFill>
              </w:rPr>
              <w:t>输送</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6749815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lang w:val="en-US" w:eastAsia="zh-CN"/>
                <w14:textFill>
                  <w14:solidFill>
                    <w14:schemeClr w14:val="tx1"/>
                  </w14:solidFill>
                </w14:textFill>
              </w:rPr>
              <w:t>连续</w:t>
            </w:r>
            <w:r>
              <w:rPr>
                <w:rFonts w:hint="eastAsia" w:ascii="宋体" w:hAnsi="宋体" w:eastAsia="宋体" w:cs="宋体"/>
                <w:bCs/>
                <w:color w:val="000000" w:themeColor="text1"/>
                <w:spacing w:val="-4"/>
                <w:sz w:val="24"/>
                <w:szCs w:val="24"/>
                <w:highlight w:val="none"/>
                <w14:textFill>
                  <w14:solidFill>
                    <w14:schemeClr w14:val="tx1"/>
                  </w14:solidFill>
                </w14:textFill>
              </w:rPr>
              <w:t>输送</w:t>
            </w:r>
          </w:p>
        </w:tc>
        <w:tc>
          <w:tcPr>
            <w:tcW w:w="1840" w:type="dxa"/>
            <w:tcBorders>
              <w:top w:val="single" w:color="auto" w:sz="4" w:space="0"/>
              <w:left w:val="single" w:color="auto" w:sz="4" w:space="0"/>
              <w:bottom w:val="single" w:color="auto" w:sz="4" w:space="0"/>
              <w:right w:val="single" w:color="auto" w:sz="4" w:space="0"/>
            </w:tcBorders>
            <w:vAlign w:val="center"/>
          </w:tcPr>
          <w:p w14:paraId="7FDC530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highlight w:val="none"/>
                <w14:textFill>
                  <w14:solidFill>
                    <w14:schemeClr w14:val="tx1"/>
                  </w14:solidFill>
                </w14:textFill>
              </w:rPr>
            </w:pPr>
            <w:r>
              <w:rPr>
                <w:rFonts w:hint="eastAsia" w:ascii="宋体" w:hAnsi="宋体" w:eastAsia="宋体" w:cs="宋体"/>
                <w:bCs/>
                <w:color w:val="000000" w:themeColor="text1"/>
                <w:spacing w:val="-4"/>
                <w:sz w:val="24"/>
                <w:szCs w:val="24"/>
                <w:highlight w:val="none"/>
                <w:lang w:val="en-US" w:eastAsia="zh-CN"/>
                <w14:textFill>
                  <w14:solidFill>
                    <w14:schemeClr w14:val="tx1"/>
                  </w14:solidFill>
                </w14:textFill>
              </w:rPr>
              <w:t>连续</w:t>
            </w:r>
            <w:r>
              <w:rPr>
                <w:rFonts w:hint="eastAsia" w:ascii="宋体" w:hAnsi="宋体" w:eastAsia="宋体" w:cs="宋体"/>
                <w:bCs/>
                <w:color w:val="000000" w:themeColor="text1"/>
                <w:spacing w:val="-4"/>
                <w:sz w:val="24"/>
                <w:szCs w:val="24"/>
                <w:highlight w:val="none"/>
                <w14:textFill>
                  <w14:solidFill>
                    <w14:schemeClr w14:val="tx1"/>
                  </w14:solidFill>
                </w14:textFill>
              </w:rPr>
              <w:t>输送</w:t>
            </w:r>
          </w:p>
        </w:tc>
      </w:tr>
      <w:tr w14:paraId="2F1D4573">
        <w:tblPrEx>
          <w:tblCellMar>
            <w:top w:w="0" w:type="dxa"/>
            <w:left w:w="30" w:type="dxa"/>
            <w:bottom w:w="0" w:type="dxa"/>
            <w:right w:w="30" w:type="dxa"/>
          </w:tblCellMar>
        </w:tblPrEx>
        <w:trPr>
          <w:gridAfter w:val="1"/>
          <w:wAfter w:w="7" w:type="dxa"/>
          <w:cantSplit/>
          <w:trHeight w:val="524" w:hRule="atLeast"/>
          <w:jc w:val="center"/>
        </w:trPr>
        <w:tc>
          <w:tcPr>
            <w:tcW w:w="566" w:type="dxa"/>
            <w:vMerge w:val="continue"/>
            <w:tcBorders>
              <w:top w:val="single" w:color="auto" w:sz="4" w:space="0"/>
              <w:left w:val="single" w:color="auto" w:sz="4" w:space="0"/>
              <w:bottom w:val="single" w:color="auto" w:sz="4" w:space="0"/>
              <w:right w:val="single" w:color="auto" w:sz="4" w:space="0"/>
            </w:tcBorders>
            <w:vAlign w:val="center"/>
          </w:tcPr>
          <w:p w14:paraId="5215984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44F7B00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强冷风类型</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304F677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自然风强冷</w:t>
            </w:r>
          </w:p>
        </w:tc>
        <w:tc>
          <w:tcPr>
            <w:tcW w:w="1689" w:type="dxa"/>
            <w:tcBorders>
              <w:top w:val="single" w:color="auto" w:sz="4" w:space="0"/>
              <w:left w:val="single" w:color="auto" w:sz="4" w:space="0"/>
              <w:bottom w:val="single" w:color="auto" w:sz="4" w:space="0"/>
              <w:right w:val="single" w:color="auto" w:sz="4" w:space="0"/>
            </w:tcBorders>
            <w:vAlign w:val="center"/>
          </w:tcPr>
          <w:p w14:paraId="5732EDB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自然风强冷</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21B29BF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自然风强冷</w:t>
            </w:r>
          </w:p>
        </w:tc>
        <w:tc>
          <w:tcPr>
            <w:tcW w:w="1840" w:type="dxa"/>
            <w:tcBorders>
              <w:top w:val="single" w:color="auto" w:sz="4" w:space="0"/>
              <w:left w:val="single" w:color="auto" w:sz="4" w:space="0"/>
              <w:bottom w:val="single" w:color="auto" w:sz="4" w:space="0"/>
              <w:right w:val="single" w:color="auto" w:sz="4" w:space="0"/>
            </w:tcBorders>
            <w:vAlign w:val="center"/>
          </w:tcPr>
          <w:p w14:paraId="423F5A5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kern w:val="0"/>
                <w:sz w:val="24"/>
                <w:szCs w:val="24"/>
                <w14:textFill>
                  <w14:solidFill>
                    <w14:schemeClr w14:val="tx1"/>
                  </w14:solidFill>
                </w14:textFill>
              </w:rPr>
            </w:pPr>
            <w:r>
              <w:rPr>
                <w:rFonts w:hint="eastAsia" w:ascii="宋体" w:hAnsi="宋体" w:eastAsia="宋体" w:cs="宋体"/>
                <w:bCs/>
                <w:color w:val="000000" w:themeColor="text1"/>
                <w:spacing w:val="-4"/>
                <w:kern w:val="0"/>
                <w:sz w:val="24"/>
                <w:szCs w:val="24"/>
                <w14:textFill>
                  <w14:solidFill>
                    <w14:schemeClr w14:val="tx1"/>
                  </w14:solidFill>
                </w14:textFill>
              </w:rPr>
              <w:t>冷冻水换热强冷</w:t>
            </w:r>
          </w:p>
        </w:tc>
      </w:tr>
      <w:tr w14:paraId="3E870B02">
        <w:tblPrEx>
          <w:tblCellMar>
            <w:top w:w="0" w:type="dxa"/>
            <w:left w:w="30" w:type="dxa"/>
            <w:bottom w:w="0" w:type="dxa"/>
            <w:right w:w="30" w:type="dxa"/>
          </w:tblCellMar>
        </w:tblPrEx>
        <w:trPr>
          <w:gridAfter w:val="1"/>
          <w:wAfter w:w="7" w:type="dxa"/>
          <w:cantSplit/>
          <w:trHeight w:val="650" w:hRule="atLeast"/>
          <w:jc w:val="center"/>
        </w:trPr>
        <w:tc>
          <w:tcPr>
            <w:tcW w:w="566" w:type="dxa"/>
            <w:vMerge w:val="continue"/>
            <w:tcBorders>
              <w:top w:val="single" w:color="auto" w:sz="4" w:space="0"/>
              <w:left w:val="single" w:color="auto" w:sz="4" w:space="0"/>
              <w:bottom w:val="single" w:color="auto" w:sz="4" w:space="0"/>
              <w:right w:val="single" w:color="auto" w:sz="4" w:space="0"/>
            </w:tcBorders>
            <w:vAlign w:val="center"/>
          </w:tcPr>
          <w:p w14:paraId="59745C2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0BC97C7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强冷工位（参考）</w:t>
            </w:r>
          </w:p>
        </w:tc>
        <w:tc>
          <w:tcPr>
            <w:tcW w:w="1747" w:type="dxa"/>
            <w:gridSpan w:val="2"/>
            <w:tcBorders>
              <w:top w:val="single" w:color="auto" w:sz="4" w:space="0"/>
              <w:left w:val="single" w:color="auto" w:sz="4" w:space="0"/>
              <w:bottom w:val="single" w:color="auto" w:sz="4" w:space="0"/>
              <w:right w:val="single" w:color="auto" w:sz="4" w:space="0"/>
            </w:tcBorders>
            <w:vAlign w:val="center"/>
          </w:tcPr>
          <w:p w14:paraId="1A575D0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1个</w:t>
            </w:r>
          </w:p>
        </w:tc>
        <w:tc>
          <w:tcPr>
            <w:tcW w:w="1689" w:type="dxa"/>
            <w:tcBorders>
              <w:top w:val="single" w:color="auto" w:sz="4" w:space="0"/>
              <w:left w:val="single" w:color="auto" w:sz="4" w:space="0"/>
              <w:bottom w:val="single" w:color="auto" w:sz="4" w:space="0"/>
              <w:right w:val="single" w:color="auto" w:sz="4" w:space="0"/>
            </w:tcBorders>
            <w:vAlign w:val="center"/>
          </w:tcPr>
          <w:p w14:paraId="686DB7A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1个</w:t>
            </w:r>
          </w:p>
        </w:tc>
        <w:tc>
          <w:tcPr>
            <w:tcW w:w="1701" w:type="dxa"/>
            <w:gridSpan w:val="2"/>
            <w:tcBorders>
              <w:top w:val="single" w:color="auto" w:sz="4" w:space="0"/>
              <w:left w:val="single" w:color="auto" w:sz="4" w:space="0"/>
              <w:bottom w:val="single" w:color="auto" w:sz="4" w:space="0"/>
              <w:right w:val="single" w:color="auto" w:sz="4" w:space="0"/>
            </w:tcBorders>
            <w:vAlign w:val="center"/>
          </w:tcPr>
          <w:p w14:paraId="6BD6B1F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1个</w:t>
            </w:r>
          </w:p>
        </w:tc>
        <w:tc>
          <w:tcPr>
            <w:tcW w:w="1840" w:type="dxa"/>
            <w:tcBorders>
              <w:top w:val="single" w:color="auto" w:sz="4" w:space="0"/>
              <w:left w:val="single" w:color="auto" w:sz="4" w:space="0"/>
              <w:bottom w:val="single" w:color="auto" w:sz="4" w:space="0"/>
              <w:right w:val="single" w:color="auto" w:sz="4" w:space="0"/>
            </w:tcBorders>
            <w:vAlign w:val="center"/>
          </w:tcPr>
          <w:p w14:paraId="3C61186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kern w:val="0"/>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1个</w:t>
            </w:r>
          </w:p>
        </w:tc>
      </w:tr>
      <w:tr w14:paraId="4659F3AF">
        <w:tblPrEx>
          <w:tblCellMar>
            <w:top w:w="0" w:type="dxa"/>
            <w:left w:w="30" w:type="dxa"/>
            <w:bottom w:w="0" w:type="dxa"/>
            <w:right w:w="30" w:type="dxa"/>
          </w:tblCellMar>
        </w:tblPrEx>
        <w:trPr>
          <w:cantSplit/>
          <w:trHeight w:val="650" w:hRule="atLeast"/>
          <w:jc w:val="center"/>
        </w:trPr>
        <w:tc>
          <w:tcPr>
            <w:tcW w:w="566" w:type="dxa"/>
            <w:vMerge w:val="continue"/>
            <w:tcBorders>
              <w:top w:val="single" w:color="auto" w:sz="4" w:space="0"/>
              <w:left w:val="single" w:color="auto" w:sz="4" w:space="0"/>
              <w:bottom w:val="single" w:color="auto" w:sz="4" w:space="0"/>
              <w:right w:val="single" w:color="auto" w:sz="4" w:space="0"/>
            </w:tcBorders>
            <w:vAlign w:val="center"/>
          </w:tcPr>
          <w:p w14:paraId="252D629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spacing w:val="-4"/>
                <w:sz w:val="24"/>
                <w:szCs w:val="24"/>
                <w14:textFill>
                  <w14:solidFill>
                    <w14:schemeClr w14:val="tx1"/>
                  </w14:solidFill>
                </w14:textFill>
              </w:rPr>
            </w:pPr>
          </w:p>
        </w:tc>
        <w:tc>
          <w:tcPr>
            <w:tcW w:w="2157" w:type="dxa"/>
            <w:tcBorders>
              <w:top w:val="single" w:color="auto" w:sz="4" w:space="0"/>
              <w:left w:val="single" w:color="auto" w:sz="4" w:space="0"/>
              <w:bottom w:val="single" w:color="auto" w:sz="4" w:space="0"/>
              <w:right w:val="single" w:color="auto" w:sz="4" w:space="0"/>
            </w:tcBorders>
            <w:vAlign w:val="center"/>
          </w:tcPr>
          <w:p w14:paraId="2DCA285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themeColor="text1"/>
                <w:spacing w:val="-4"/>
                <w:sz w:val="24"/>
                <w:szCs w:val="24"/>
                <w14:textFill>
                  <w14:solidFill>
                    <w14:schemeClr w14:val="tx1"/>
                  </w14:solidFill>
                </w14:textFill>
              </w:rPr>
            </w:pPr>
            <w:r>
              <w:rPr>
                <w:rFonts w:hint="eastAsia" w:ascii="宋体" w:hAnsi="宋体" w:eastAsia="宋体" w:cs="宋体"/>
                <w:bCs/>
                <w:color w:val="000000" w:themeColor="text1"/>
                <w:spacing w:val="-4"/>
                <w:sz w:val="24"/>
                <w:szCs w:val="24"/>
                <w14:textFill>
                  <w14:solidFill>
                    <w14:schemeClr w14:val="tx1"/>
                  </w14:solidFill>
                </w14:textFill>
              </w:rPr>
              <w:t>强冷后车身温度</w:t>
            </w:r>
            <w:r>
              <w:rPr>
                <w:rFonts w:hint="eastAsia" w:ascii="宋体" w:hAnsi="宋体" w:eastAsia="宋体" w:cs="宋体"/>
                <w:bCs/>
                <w:color w:val="000000" w:themeColor="text1"/>
                <w:spacing w:val="-4"/>
                <w:sz w:val="24"/>
                <w:szCs w:val="24"/>
                <w:vertAlign w:val="superscript"/>
                <w14:textFill>
                  <w14:solidFill>
                    <w14:schemeClr w14:val="tx1"/>
                  </w14:solidFill>
                </w14:textFill>
              </w:rPr>
              <w:t>o</w:t>
            </w:r>
            <w:r>
              <w:rPr>
                <w:rFonts w:hint="eastAsia" w:ascii="宋体" w:hAnsi="宋体" w:eastAsia="宋体" w:cs="宋体"/>
                <w:bCs/>
                <w:color w:val="000000" w:themeColor="text1"/>
                <w:spacing w:val="-4"/>
                <w:sz w:val="24"/>
                <w:szCs w:val="24"/>
                <w14:textFill>
                  <w14:solidFill>
                    <w14:schemeClr w14:val="tx1"/>
                  </w14:solidFill>
                </w14:textFill>
              </w:rPr>
              <w:t>C</w:t>
            </w:r>
          </w:p>
        </w:tc>
        <w:tc>
          <w:tcPr>
            <w:tcW w:w="5137" w:type="dxa"/>
            <w:gridSpan w:val="5"/>
            <w:tcBorders>
              <w:top w:val="single" w:color="auto" w:sz="4" w:space="0"/>
              <w:left w:val="single" w:color="auto" w:sz="4" w:space="0"/>
              <w:bottom w:val="single" w:color="auto" w:sz="4" w:space="0"/>
              <w:right w:val="single" w:color="auto" w:sz="4" w:space="0"/>
            </w:tcBorders>
            <w:vAlign w:val="center"/>
          </w:tcPr>
          <w:p w14:paraId="35F63DD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45</w:t>
            </w:r>
            <w:r>
              <w:rPr>
                <w:rFonts w:hint="eastAsia" w:ascii="宋体" w:hAnsi="宋体" w:eastAsia="宋体" w:cs="宋体"/>
                <w:color w:val="000000" w:themeColor="text1"/>
                <w:kern w:val="0"/>
                <w:sz w:val="24"/>
                <w:szCs w:val="24"/>
                <w:highlight w:val="none"/>
                <w14:textFill>
                  <w14:solidFill>
                    <w14:schemeClr w14:val="tx1"/>
                  </w14:solidFill>
                </w14:textFill>
              </w:rPr>
              <w:t>（车身外表面</w:t>
            </w:r>
            <w:r>
              <w:rPr>
                <w:rFonts w:hint="eastAsia" w:ascii="宋体" w:hAnsi="宋体" w:eastAsia="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车身下局部除外</w:t>
            </w:r>
            <w:r>
              <w:rPr>
                <w:rFonts w:hint="eastAsia" w:ascii="宋体" w:hAnsi="宋体" w:eastAsia="宋体" w:cs="宋体"/>
                <w:color w:val="000000" w:themeColor="text1"/>
                <w:kern w:val="0"/>
                <w:sz w:val="24"/>
                <w:szCs w:val="24"/>
                <w:highlight w:val="none"/>
                <w14:textFill>
                  <w14:solidFill>
                    <w14:schemeClr w14:val="tx1"/>
                  </w14:solidFill>
                </w14:textFill>
              </w:rPr>
              <w:t>）</w:t>
            </w:r>
            <w:r>
              <w:rPr>
                <w:rFonts w:hint="eastAsia" w:ascii="宋体" w:hAnsi="宋体" w:eastAsia="宋体" w:cs="宋体"/>
                <w:bCs/>
                <w:color w:val="000000" w:themeColor="text1"/>
                <w:spacing w:val="-4"/>
                <w:sz w:val="24"/>
                <w:szCs w:val="24"/>
                <w:highlight w:val="none"/>
                <w14:textFill>
                  <w14:solidFill>
                    <w14:schemeClr w14:val="tx1"/>
                  </w14:solidFill>
                </w14:textFill>
              </w:rPr>
              <w:t xml:space="preserve"> </w:t>
            </w:r>
          </w:p>
        </w:tc>
        <w:tc>
          <w:tcPr>
            <w:tcW w:w="1847" w:type="dxa"/>
            <w:gridSpan w:val="2"/>
            <w:tcBorders>
              <w:top w:val="single" w:color="auto" w:sz="4" w:space="0"/>
              <w:left w:val="single" w:color="auto" w:sz="4" w:space="0"/>
              <w:bottom w:val="single" w:color="auto" w:sz="4" w:space="0"/>
              <w:right w:val="single" w:color="auto" w:sz="4" w:space="0"/>
            </w:tcBorders>
            <w:vAlign w:val="center"/>
          </w:tcPr>
          <w:p w14:paraId="2D7CDDD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≤35（车身外表面）</w:t>
            </w:r>
          </w:p>
        </w:tc>
      </w:tr>
    </w:tbl>
    <w:p w14:paraId="3570C932">
      <w:pPr>
        <w:pStyle w:val="210"/>
        <w:pageBreakBefore w:val="0"/>
        <w:kinsoku/>
        <w:wordWrap/>
        <w:overflowPunct/>
        <w:topLinePunct w:val="0"/>
        <w:bidi w:val="0"/>
        <w:adjustRightInd w:val="0"/>
        <w:snapToGrid w:val="0"/>
        <w:spacing w:afterAutospacing="0" w:line="360" w:lineRule="auto"/>
        <w:ind w:left="0" w:leftChars="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注：表中温度均为车身温度。烘干设备设计以满足工艺需求为准，具体设计图纸会签确认。</w:t>
      </w:r>
    </w:p>
    <w:p w14:paraId="174E542B">
      <w:pPr>
        <w:pStyle w:val="4"/>
        <w:pageBreakBefore w:val="0"/>
        <w:numPr>
          <w:ilvl w:val="0"/>
          <w:numId w:val="93"/>
        </w:numPr>
        <w:tabs>
          <w:tab w:val="left" w:pos="0"/>
        </w:tabs>
        <w:kinsoku/>
        <w:wordWrap/>
        <w:overflowPunct/>
        <w:topLinePunct w:val="0"/>
        <w:bidi w:val="0"/>
        <w:adjustRightInd w:val="0"/>
        <w:snapToGrid w:val="0"/>
        <w:spacing w:before="0" w:afterAutospacing="0" w:line="360" w:lineRule="auto"/>
        <w:ind w:left="420" w:leftChars="0" w:hanging="42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总体要求：</w:t>
      </w:r>
    </w:p>
    <w:p w14:paraId="2182AD46">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提供满足涂装工艺需要的涂装线电泳烘干及强冷设备、胶烘干及强冷设备、面漆烘干及强冷设备以及水份烘干及强冷设备。烘干炉体积尺寸计算目的是使室体产生一种最大兼容性来满足生产线的最大需求。</w:t>
      </w:r>
    </w:p>
    <w:p w14:paraId="3E44C01B">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废气处理量应大于按工件带入烘干室的最大溶剂量和爆炸下限计算出的安全排气量（满足GB14443-93《涂层烘干安全技术规定》烘房内溶剂的浓度小于其最低爆炸极限的25％）。</w:t>
      </w:r>
    </w:p>
    <w:p w14:paraId="03A96DEC">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排气量满足烘干室气流形成微负压状态，烘干室的结构设计和气流组织应保证烘干室内的废气不外溢。</w:t>
      </w:r>
    </w:p>
    <w:p w14:paraId="79DFA7FA">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设备配置及结构应确保烘干室的安全运行。</w:t>
      </w:r>
    </w:p>
    <w:p w14:paraId="004010EC">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烘干室应满足相应涂料的烘干温度时间曲线要求，以获得高品质的涂膜质量；该曲线是将来烘房验收的基本条件。</w:t>
      </w:r>
    </w:p>
    <w:p w14:paraId="2704635B">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烘干炉的结构必须考虑对热能的充分利用以及对车身烘烤的均匀性，</w:t>
      </w:r>
      <w:r>
        <w:rPr>
          <w:rFonts w:hint="eastAsia" w:ascii="宋体" w:hAnsi="宋体" w:eastAsia="宋体" w:cs="宋体"/>
          <w:color w:val="000000"/>
          <w:sz w:val="24"/>
          <w:szCs w:val="24"/>
          <w:lang w:val="sv-SE"/>
        </w:rPr>
        <w:t>保证车身各测量点（包括底部和内腔）都能满足材料固化需要的烘干温度曲线，车身温度测量点位置由</w:t>
      </w:r>
      <w:r>
        <w:rPr>
          <w:rFonts w:hint="eastAsia" w:ascii="宋体" w:hAnsi="宋体" w:cs="宋体"/>
          <w:color w:val="000000"/>
          <w:sz w:val="24"/>
          <w:szCs w:val="24"/>
          <w:lang w:val="sv-SE" w:eastAsia="zh-CN"/>
        </w:rPr>
        <w:t>招标人</w:t>
      </w:r>
      <w:r>
        <w:rPr>
          <w:rFonts w:hint="eastAsia" w:ascii="宋体" w:hAnsi="宋体" w:eastAsia="宋体" w:cs="宋体"/>
          <w:color w:val="000000"/>
          <w:sz w:val="24"/>
          <w:szCs w:val="24"/>
          <w:lang w:val="sv-SE"/>
        </w:rPr>
        <w:t>确定。</w:t>
      </w:r>
      <w:r>
        <w:rPr>
          <w:rFonts w:hint="eastAsia" w:ascii="宋体" w:hAnsi="宋体" w:eastAsia="宋体" w:cs="宋体"/>
          <w:color w:val="000000"/>
          <w:sz w:val="24"/>
          <w:szCs w:val="24"/>
        </w:rPr>
        <w:t>同时，其气流布置应同时满足使室内的可燃气体不产生积聚的要求。</w:t>
      </w:r>
    </w:p>
    <w:p w14:paraId="129DBF5F">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sz w:val="24"/>
          <w:szCs w:val="24"/>
        </w:rPr>
        <w:t>烘干室升温区、保温区、新风量、排风量、出入口进风或自然排风之间的风量可调，设有</w:t>
      </w:r>
      <w:r>
        <w:rPr>
          <w:rFonts w:hint="eastAsia" w:ascii="宋体" w:hAnsi="宋体" w:eastAsia="宋体" w:cs="宋体"/>
          <w:color w:val="000000"/>
        </w:rPr>
        <w:t>手动调节机构和风阀，使循环风量平衡，不允许烘干室内气体外溢。</w:t>
      </w:r>
    </w:p>
    <w:p w14:paraId="3F1F32F0">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val="sv-SE"/>
        </w:rPr>
      </w:pPr>
      <w:r>
        <w:rPr>
          <w:rFonts w:hint="eastAsia" w:ascii="宋体" w:hAnsi="宋体" w:eastAsia="宋体" w:cs="宋体"/>
          <w:color w:val="000000"/>
          <w:lang w:val="sv-SE"/>
        </w:rPr>
        <w:t>烘干室进出口及强冷室的结构设计要避免冷凝物低落在工件上。</w:t>
      </w:r>
    </w:p>
    <w:p w14:paraId="5EA9349A">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val="en-US" w:eastAsia="zh-CN"/>
        </w:rPr>
        <w:t>电泳、</w:t>
      </w:r>
      <w:r>
        <w:rPr>
          <w:rFonts w:hint="eastAsia" w:ascii="宋体" w:hAnsi="宋体" w:eastAsia="宋体" w:cs="宋体"/>
          <w:color w:val="000000"/>
        </w:rPr>
        <w:t>胶、</w:t>
      </w:r>
      <w:r>
        <w:rPr>
          <w:rFonts w:hint="eastAsia" w:ascii="宋体" w:hAnsi="宋体" w:eastAsia="宋体" w:cs="宋体"/>
          <w:color w:val="000000"/>
          <w:lang w:val="en-US" w:eastAsia="zh-CN"/>
        </w:rPr>
        <w:t>面漆</w:t>
      </w:r>
      <w:r>
        <w:rPr>
          <w:rFonts w:hint="eastAsia" w:ascii="宋体" w:hAnsi="宋体" w:eastAsia="宋体" w:cs="宋体"/>
          <w:color w:val="000000"/>
        </w:rPr>
        <w:t>烘干室</w:t>
      </w:r>
      <w:r>
        <w:rPr>
          <w:rFonts w:hint="eastAsia" w:ascii="宋体" w:hAnsi="宋体" w:eastAsia="宋体" w:cs="宋体"/>
          <w:color w:val="000000"/>
          <w:lang w:val="sv-SE"/>
        </w:rPr>
        <w:t xml:space="preserve">烘干废气采用RTO处理， </w:t>
      </w:r>
      <w:r>
        <w:rPr>
          <w:rFonts w:hint="eastAsia" w:ascii="宋体" w:hAnsi="宋体" w:eastAsia="宋体" w:cs="宋体"/>
          <w:color w:val="000000"/>
          <w:lang w:val="en-US" w:eastAsia="zh-CN"/>
        </w:rPr>
        <w:t>闪干室废气接入喷漆风道采用活性炭处理，</w:t>
      </w:r>
      <w:r>
        <w:rPr>
          <w:rFonts w:hint="eastAsia" w:ascii="宋体" w:hAnsi="宋体" w:eastAsia="宋体" w:cs="宋体"/>
          <w:color w:val="000000"/>
        </w:rPr>
        <w:t>到RTO废气风机采用变频控制，排气口位置应设在可燃气体浓度最高的区域。</w:t>
      </w:r>
    </w:p>
    <w:p w14:paraId="73C92D3D">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烘干室进口、强冷室出口设置自动卷帘门,随着烘干炉的关闭，卷帘门关闭，烘干炉升温到达，卷帘门打开；与输送系统连锁，并具备人工开启、关闭功能。</w:t>
      </w:r>
    </w:p>
    <w:p w14:paraId="411D2903">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val="en-US" w:eastAsia="zh-CN"/>
        </w:rPr>
      </w:pPr>
      <w:bookmarkStart w:id="109" w:name="_Hlk172703993"/>
      <w:r>
        <w:rPr>
          <w:rFonts w:hint="eastAsia" w:ascii="宋体" w:hAnsi="宋体" w:eastAsia="宋体" w:cs="宋体"/>
          <w:color w:val="000000"/>
          <w:lang w:val="en-US" w:eastAsia="zh-CN"/>
        </w:rPr>
        <w:t>闪干循环风含水量满足B1B2油漆厂家要求，混合之后循环风含水量≤12g/kg，新鲜风≤10g/kg。</w:t>
      </w:r>
    </w:p>
    <w:bookmarkEnd w:id="109"/>
    <w:p w14:paraId="086C4763">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lang w:val="en-US" w:eastAsia="zh-CN"/>
        </w:rPr>
      </w:pPr>
      <w:r>
        <w:rPr>
          <w:rFonts w:hint="eastAsia" w:ascii="宋体" w:hAnsi="宋体" w:eastAsia="宋体" w:cs="宋体"/>
          <w:color w:val="000000"/>
          <w:lang w:val="en-GB" w:eastAsia="zh-CN"/>
        </w:rPr>
        <w:t>烘房上的任何形式的设备都不使用含硅酮材料</w:t>
      </w:r>
      <w:r>
        <w:rPr>
          <w:rFonts w:hint="eastAsia" w:ascii="宋体" w:hAnsi="宋体" w:eastAsia="宋体" w:cs="宋体"/>
          <w:color w:val="000000"/>
          <w:lang w:val="en-US" w:eastAsia="zh-CN"/>
        </w:rPr>
        <w:t xml:space="preserve">。 </w:t>
      </w:r>
    </w:p>
    <w:p w14:paraId="5A94FE8F">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烘干室：</w:t>
      </w:r>
    </w:p>
    <w:p w14:paraId="3A594730">
      <w:pPr>
        <w:pStyle w:val="17"/>
        <w:pageBreakBefore w:val="0"/>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bookmarkStart w:id="110" w:name="_Toc289088138"/>
      <w:bookmarkStart w:id="111" w:name="_Toc435620280"/>
      <w:r>
        <w:rPr>
          <w:rFonts w:hint="eastAsia" w:ascii="宋体" w:hAnsi="宋体" w:eastAsia="宋体" w:cs="宋体"/>
          <w:color w:val="000000"/>
        </w:rPr>
        <w:t>烘干炉技术要求</w:t>
      </w:r>
      <w:bookmarkEnd w:id="110"/>
      <w:bookmarkEnd w:id="111"/>
      <w:r>
        <w:rPr>
          <w:rFonts w:hint="eastAsia" w:ascii="宋体" w:hAnsi="宋体" w:eastAsia="宋体" w:cs="宋体"/>
          <w:color w:val="000000"/>
        </w:rPr>
        <w:t>：烘干炉按功能分为3个区：升温区、保温区、冷却区，各功能区描述如下：</w:t>
      </w:r>
    </w:p>
    <w:p w14:paraId="6154EB0B">
      <w:pPr>
        <w:pStyle w:val="17"/>
        <w:pageBreakBefore w:val="0"/>
        <w:numPr>
          <w:ilvl w:val="0"/>
          <w:numId w:val="9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升温区：将车身均匀升温至要求的温度，升温时间：车身在升温区烘烤的时间。</w:t>
      </w:r>
    </w:p>
    <w:p w14:paraId="79E747D5">
      <w:pPr>
        <w:pStyle w:val="17"/>
        <w:pageBreakBefore w:val="0"/>
        <w:numPr>
          <w:ilvl w:val="0"/>
          <w:numId w:val="9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保温区：将车身在要求控制的温度范围内进行烘烤，保温时间：车身在保温区烘烤的时间。</w:t>
      </w:r>
    </w:p>
    <w:p w14:paraId="37E21DF8">
      <w:pPr>
        <w:pStyle w:val="17"/>
        <w:pageBreakBefore w:val="0"/>
        <w:numPr>
          <w:ilvl w:val="0"/>
          <w:numId w:val="9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冷却区：将烘烤后的车身用空气进行冷却。冬季用混风阀需要带手动调节功能，保证冷却空气不会太低而影响外观。</w:t>
      </w:r>
    </w:p>
    <w:p w14:paraId="18C8787A">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各烘干室炉温要求如下：</w:t>
      </w:r>
      <w:bookmarkStart w:id="112" w:name="_Toc289088145"/>
    </w:p>
    <w:tbl>
      <w:tblPr>
        <w:tblStyle w:val="44"/>
        <w:tblW w:w="4998" w:type="pct"/>
        <w:jc w:val="center"/>
        <w:shd w:val="clear" w:color="auto" w:fill="auto"/>
        <w:tblLayout w:type="autofit"/>
        <w:tblCellMar>
          <w:top w:w="0" w:type="dxa"/>
          <w:left w:w="30" w:type="dxa"/>
          <w:bottom w:w="0" w:type="dxa"/>
          <w:right w:w="30" w:type="dxa"/>
        </w:tblCellMar>
      </w:tblPr>
      <w:tblGrid>
        <w:gridCol w:w="631"/>
        <w:gridCol w:w="2145"/>
        <w:gridCol w:w="1677"/>
        <w:gridCol w:w="1681"/>
        <w:gridCol w:w="1677"/>
        <w:gridCol w:w="1683"/>
      </w:tblGrid>
      <w:tr w14:paraId="4273C53B">
        <w:tblPrEx>
          <w:shd w:val="clear" w:color="auto" w:fill="auto"/>
          <w:tblCellMar>
            <w:top w:w="0" w:type="dxa"/>
            <w:left w:w="30" w:type="dxa"/>
            <w:bottom w:w="0" w:type="dxa"/>
            <w:right w:w="30" w:type="dxa"/>
          </w:tblCellMar>
        </w:tblPrEx>
        <w:trPr>
          <w:cantSplit/>
          <w:trHeight w:val="0" w:hRule="atLeast"/>
          <w:tblHeader/>
          <w:jc w:val="center"/>
        </w:trPr>
        <w:tc>
          <w:tcPr>
            <w:tcW w:w="332" w:type="pct"/>
            <w:tcBorders>
              <w:top w:val="single" w:color="auto" w:sz="4" w:space="0"/>
              <w:left w:val="single" w:color="auto" w:sz="4" w:space="0"/>
              <w:bottom w:val="single" w:color="auto" w:sz="4" w:space="0"/>
              <w:right w:val="single" w:color="auto" w:sz="4" w:space="0"/>
            </w:tcBorders>
            <w:shd w:val="clear" w:color="auto" w:fill="auto"/>
            <w:textDirection w:val="tbRlV"/>
            <w:vAlign w:val="center"/>
          </w:tcPr>
          <w:p w14:paraId="4F39E946">
            <w:pPr>
              <w:pageBreakBefore w:val="0"/>
              <w:kinsoku/>
              <w:wordWrap/>
              <w:overflowPunct/>
              <w:topLinePunct w:val="0"/>
              <w:autoSpaceDE w:val="0"/>
              <w:autoSpaceDN w:val="0"/>
              <w:bidi w:val="0"/>
              <w:adjustRightInd w:val="0"/>
              <w:snapToGrid w:val="0"/>
              <w:spacing w:afterAutospacing="0" w:line="240" w:lineRule="auto"/>
              <w:ind w:left="0" w:leftChars="0" w:right="113"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类型</w:t>
            </w:r>
          </w:p>
        </w:tc>
        <w:tc>
          <w:tcPr>
            <w:tcW w:w="1129" w:type="pct"/>
            <w:tcBorders>
              <w:top w:val="single" w:color="auto" w:sz="4" w:space="0"/>
              <w:left w:val="single" w:color="auto" w:sz="4" w:space="0"/>
              <w:bottom w:val="single" w:color="auto" w:sz="4" w:space="0"/>
              <w:right w:val="single" w:color="auto" w:sz="4" w:space="0"/>
              <w:tl2br w:val="single" w:color="auto" w:sz="4" w:space="0"/>
            </w:tcBorders>
            <w:shd w:val="clear" w:color="auto" w:fill="auto"/>
            <w:vAlign w:val="center"/>
          </w:tcPr>
          <w:p w14:paraId="7C65DAF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cs="宋体"/>
                <w:color w:val="000000"/>
                <w:spacing w:val="-4"/>
                <w:sz w:val="24"/>
                <w:szCs w:val="24"/>
                <w:lang w:val="en-US" w:eastAsia="zh-CN"/>
              </w:rPr>
              <w:t xml:space="preserve">      </w:t>
            </w:r>
            <w:r>
              <w:rPr>
                <w:rFonts w:hint="eastAsia" w:ascii="宋体" w:hAnsi="宋体" w:eastAsia="宋体" w:cs="宋体"/>
                <w:color w:val="000000"/>
                <w:spacing w:val="-4"/>
                <w:sz w:val="24"/>
                <w:szCs w:val="24"/>
              </w:rPr>
              <w:t>设备名称</w:t>
            </w:r>
          </w:p>
          <w:p w14:paraId="3E03B26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项目</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22E5026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电泳烘干室</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275661E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胶烘干室</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6DA0B08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闪干室</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0639849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面漆烘干室</w:t>
            </w:r>
          </w:p>
        </w:tc>
      </w:tr>
      <w:tr w14:paraId="0524D719">
        <w:tblPrEx>
          <w:shd w:val="clear" w:color="auto" w:fill="auto"/>
          <w:tblCellMar>
            <w:top w:w="0" w:type="dxa"/>
            <w:left w:w="30" w:type="dxa"/>
            <w:bottom w:w="0" w:type="dxa"/>
            <w:right w:w="30" w:type="dxa"/>
          </w:tblCellMar>
        </w:tblPrEx>
        <w:trPr>
          <w:cantSplit/>
          <w:trHeight w:val="0" w:hRule="atLeast"/>
          <w:jc w:val="center"/>
        </w:trPr>
        <w:tc>
          <w:tcPr>
            <w:tcW w:w="33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7BB3F6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烘</w:t>
            </w:r>
          </w:p>
          <w:p w14:paraId="28F1874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干</w:t>
            </w:r>
          </w:p>
          <w:p w14:paraId="272592C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室</w:t>
            </w: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365C3E4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设备形式</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818A95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直通</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26D6055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直通</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809875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直通</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68182C2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直通</w:t>
            </w:r>
          </w:p>
        </w:tc>
      </w:tr>
      <w:tr w14:paraId="69F90B2B">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4CBD1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2918B0B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工件加热方式</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2B9235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对流间接加热</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636BDBE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对流直接加热</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1DF1CA8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对流间接加热</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77BCA21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对流间接加热</w:t>
            </w:r>
          </w:p>
        </w:tc>
      </w:tr>
      <w:tr w14:paraId="7CF6A341">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C3CD00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2835154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室体尺寸（mm）</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78A0284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由设计确定</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78812BE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由设计确定</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448979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由设计确定</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4985E5D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由设计确定</w:t>
            </w:r>
          </w:p>
        </w:tc>
      </w:tr>
      <w:tr w14:paraId="617B1882">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24E53D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215DB19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输送机械类型</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221B4F0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烘干双链</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634153C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烘干双链</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EA7052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烘干双链</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04FBD64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烘干双链</w:t>
            </w:r>
          </w:p>
        </w:tc>
      </w:tr>
      <w:tr w14:paraId="5A387674">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D31D5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516B8E5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 xml:space="preserve">预烘干温度  </w:t>
            </w:r>
            <w:r>
              <w:rPr>
                <w:rFonts w:hint="eastAsia" w:ascii="宋体" w:hAnsi="宋体" w:eastAsia="宋体" w:cs="宋体"/>
                <w:bCs/>
                <w:color w:val="000000"/>
                <w:spacing w:val="-4"/>
                <w:sz w:val="24"/>
                <w:szCs w:val="24"/>
                <w:vertAlign w:val="superscript"/>
              </w:rPr>
              <w:t>o</w:t>
            </w:r>
            <w:r>
              <w:rPr>
                <w:rFonts w:hint="eastAsia" w:ascii="宋体" w:hAnsi="宋体" w:eastAsia="宋体" w:cs="宋体"/>
                <w:bCs/>
                <w:color w:val="000000"/>
                <w:spacing w:val="-4"/>
                <w:sz w:val="24"/>
                <w:szCs w:val="24"/>
              </w:rPr>
              <w:t>C</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1A5C2C3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color w:val="000000"/>
                <w:sz w:val="24"/>
                <w:szCs w:val="24"/>
              </w:rPr>
              <w:t>0～90</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27118D2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无</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89A66C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无</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7382FDA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无</w:t>
            </w:r>
          </w:p>
        </w:tc>
      </w:tr>
      <w:tr w14:paraId="4A44C06E">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DE2DC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0FB055B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预烘干时间  min</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1ECC780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10</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10163C6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无</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7C0B275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无</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5BD2BC9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无</w:t>
            </w:r>
          </w:p>
        </w:tc>
      </w:tr>
      <w:tr w14:paraId="15CCE85E">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F24A2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1C1AA9F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升温段烘干温度</w:t>
            </w:r>
            <w:r>
              <w:rPr>
                <w:rFonts w:hint="eastAsia" w:ascii="宋体" w:hAnsi="宋体" w:eastAsia="宋体" w:cs="宋体"/>
                <w:bCs/>
                <w:color w:val="000000"/>
                <w:spacing w:val="-4"/>
                <w:sz w:val="24"/>
                <w:szCs w:val="24"/>
                <w:vertAlign w:val="superscript"/>
              </w:rPr>
              <w:t>o</w:t>
            </w:r>
            <w:r>
              <w:rPr>
                <w:rFonts w:hint="eastAsia" w:ascii="宋体" w:hAnsi="宋体" w:eastAsia="宋体" w:cs="宋体"/>
                <w:bCs/>
                <w:color w:val="000000"/>
                <w:spacing w:val="-4"/>
                <w:sz w:val="24"/>
                <w:szCs w:val="24"/>
              </w:rPr>
              <w:t>C</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F5CFD1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100</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180</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5B8022A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0</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140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6ED0C3A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90</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100</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15D6B31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0～160</w:t>
            </w:r>
          </w:p>
        </w:tc>
      </w:tr>
      <w:tr w14:paraId="1E21D04B">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231E2C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62DDAC1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升温段时间  min</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F3401B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8</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253335B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8</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DA92DF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4</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0D83134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10</w:t>
            </w:r>
          </w:p>
        </w:tc>
      </w:tr>
      <w:tr w14:paraId="6594A629">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6CBAB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2167600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 xml:space="preserve">保温段温度  </w:t>
            </w:r>
            <w:r>
              <w:rPr>
                <w:rFonts w:hint="eastAsia" w:ascii="宋体" w:hAnsi="宋体" w:eastAsia="宋体" w:cs="宋体"/>
                <w:bCs/>
                <w:color w:val="000000"/>
                <w:spacing w:val="-4"/>
                <w:sz w:val="24"/>
                <w:szCs w:val="24"/>
                <w:vertAlign w:val="superscript"/>
              </w:rPr>
              <w:t>o</w:t>
            </w:r>
            <w:r>
              <w:rPr>
                <w:rFonts w:hint="eastAsia" w:ascii="宋体" w:hAnsi="宋体" w:eastAsia="宋体" w:cs="宋体"/>
                <w:bCs/>
                <w:color w:val="000000"/>
                <w:spacing w:val="-4"/>
                <w:sz w:val="24"/>
                <w:szCs w:val="24"/>
              </w:rPr>
              <w:t>C</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32496E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180</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245103E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140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0E3609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90</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100</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2E56D6C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160</w:t>
            </w:r>
          </w:p>
        </w:tc>
      </w:tr>
      <w:tr w14:paraId="6D4510C0">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AC097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4C306A2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保温段时间  min</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4996FFC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20</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25</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0FED2D1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12</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20</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F558F8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6</w:t>
            </w:r>
            <w:r>
              <w:rPr>
                <w:rFonts w:hint="eastAsia" w:ascii="宋体" w:hAnsi="宋体" w:eastAsia="宋体" w:cs="宋体"/>
                <w:color w:val="000000"/>
                <w:sz w:val="24"/>
                <w:szCs w:val="24"/>
              </w:rPr>
              <w:t>～1</w:t>
            </w:r>
            <w:r>
              <w:rPr>
                <w:rFonts w:hint="eastAsia" w:ascii="宋体" w:hAnsi="宋体" w:eastAsia="宋体" w:cs="宋体"/>
                <w:bCs/>
                <w:color w:val="000000"/>
                <w:spacing w:val="-4"/>
                <w:sz w:val="24"/>
                <w:szCs w:val="24"/>
              </w:rPr>
              <w:t>0</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079DE84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20</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30</w:t>
            </w:r>
          </w:p>
        </w:tc>
      </w:tr>
      <w:tr w14:paraId="4DF64F22">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89AFB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613CF0E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 xml:space="preserve">室内温差 </w:t>
            </w:r>
            <w:r>
              <w:rPr>
                <w:rFonts w:hint="eastAsia" w:ascii="宋体" w:hAnsi="宋体" w:eastAsia="宋体" w:cs="宋体"/>
                <w:bCs/>
                <w:color w:val="000000"/>
                <w:spacing w:val="-4"/>
                <w:sz w:val="24"/>
                <w:szCs w:val="24"/>
                <w:vertAlign w:val="superscript"/>
              </w:rPr>
              <w:t>o</w:t>
            </w:r>
            <w:r>
              <w:rPr>
                <w:rFonts w:hint="eastAsia" w:ascii="宋体" w:hAnsi="宋体" w:eastAsia="宋体" w:cs="宋体"/>
                <w:bCs/>
                <w:color w:val="000000"/>
                <w:spacing w:val="-4"/>
                <w:sz w:val="24"/>
                <w:szCs w:val="24"/>
              </w:rPr>
              <w:t>C</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26003FD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color w:val="000000"/>
                <w:sz w:val="24"/>
                <w:szCs w:val="24"/>
              </w:rPr>
              <w:t>±5</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7451A40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AD9138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47F58ED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r>
      <w:tr w14:paraId="7C90A2B3">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C7B23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5A753E3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升温时间  min</w:t>
            </w:r>
          </w:p>
        </w:tc>
        <w:tc>
          <w:tcPr>
            <w:tcW w:w="353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7FA546D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冷炉≤120；正常上班≤60</w:t>
            </w:r>
          </w:p>
        </w:tc>
      </w:tr>
      <w:tr w14:paraId="4E9D3BFC">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9C80BD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4D33D4B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热源种类</w:t>
            </w:r>
          </w:p>
        </w:tc>
        <w:tc>
          <w:tcPr>
            <w:tcW w:w="353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922E60B">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天燃气</w:t>
            </w:r>
          </w:p>
        </w:tc>
      </w:tr>
      <w:tr w14:paraId="591D9A2F">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1A1AD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520B47A3">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vertAlign w:val="superscript"/>
              </w:rPr>
            </w:pPr>
            <w:r>
              <w:rPr>
                <w:rFonts w:hint="eastAsia" w:ascii="宋体" w:hAnsi="宋体" w:eastAsia="宋体" w:cs="宋体"/>
                <w:bCs/>
                <w:color w:val="000000"/>
                <w:spacing w:val="-4"/>
                <w:sz w:val="24"/>
                <w:szCs w:val="24"/>
              </w:rPr>
              <w:t>热源热值</w:t>
            </w:r>
          </w:p>
        </w:tc>
        <w:tc>
          <w:tcPr>
            <w:tcW w:w="353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2950793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8500大卡/标立</w:t>
            </w:r>
          </w:p>
        </w:tc>
      </w:tr>
      <w:tr w14:paraId="25B5E46C">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303870">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38E295A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加热装置</w:t>
            </w:r>
          </w:p>
        </w:tc>
        <w:tc>
          <w:tcPr>
            <w:tcW w:w="353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3C3A3595">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lang w:eastAsia="zh-CN"/>
              </w:rPr>
            </w:pPr>
            <w:r>
              <w:rPr>
                <w:rFonts w:hint="eastAsia" w:ascii="宋体" w:hAnsi="宋体" w:eastAsia="宋体" w:cs="宋体"/>
                <w:bCs/>
                <w:color w:val="000000"/>
                <w:spacing w:val="-4"/>
                <w:sz w:val="24"/>
                <w:szCs w:val="24"/>
                <w:lang w:val="en-US" w:eastAsia="zh-CN"/>
              </w:rPr>
              <w:t>三元体</w:t>
            </w:r>
          </w:p>
        </w:tc>
      </w:tr>
      <w:tr w14:paraId="1100D853">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BC894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2C25850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废气处理方式</w:t>
            </w:r>
          </w:p>
        </w:tc>
        <w:tc>
          <w:tcPr>
            <w:tcW w:w="3537" w:type="pct"/>
            <w:gridSpan w:val="4"/>
            <w:tcBorders>
              <w:top w:val="single" w:color="auto" w:sz="4" w:space="0"/>
              <w:left w:val="single" w:color="auto" w:sz="4" w:space="0"/>
              <w:bottom w:val="single" w:color="auto" w:sz="4" w:space="0"/>
              <w:right w:val="single" w:color="auto" w:sz="4" w:space="0"/>
            </w:tcBorders>
            <w:shd w:val="clear" w:color="auto" w:fill="auto"/>
            <w:vAlign w:val="center"/>
          </w:tcPr>
          <w:p w14:paraId="15887B61">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bCs/>
                <w:color w:val="000000"/>
                <w:spacing w:val="-4"/>
                <w:sz w:val="24"/>
                <w:szCs w:val="24"/>
              </w:rPr>
              <w:t>废气RTO处理</w:t>
            </w:r>
          </w:p>
        </w:tc>
      </w:tr>
      <w:tr w14:paraId="1111AE79">
        <w:tblPrEx>
          <w:shd w:val="clear" w:color="auto" w:fill="auto"/>
          <w:tblCellMar>
            <w:top w:w="0" w:type="dxa"/>
            <w:left w:w="30" w:type="dxa"/>
            <w:bottom w:w="0" w:type="dxa"/>
            <w:right w:w="30" w:type="dxa"/>
          </w:tblCellMar>
        </w:tblPrEx>
        <w:trPr>
          <w:cantSplit/>
          <w:trHeight w:val="0" w:hRule="atLeast"/>
          <w:jc w:val="center"/>
        </w:trPr>
        <w:tc>
          <w:tcPr>
            <w:tcW w:w="33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82B15E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强</w:t>
            </w:r>
          </w:p>
          <w:p w14:paraId="0B873BE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冷</w:t>
            </w:r>
          </w:p>
          <w:p w14:paraId="0453740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室</w:t>
            </w: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124FF2B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机械化类型</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6C0147B8">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color w:val="000000"/>
                <w:sz w:val="24"/>
                <w:szCs w:val="24"/>
              </w:rPr>
              <w:t>烘干双链</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775CBA0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烘干双链</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246F9E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color w:val="000000"/>
                <w:sz w:val="24"/>
                <w:szCs w:val="24"/>
              </w:rPr>
              <w:t>烘干双链</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0E52663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烘干双链</w:t>
            </w:r>
          </w:p>
        </w:tc>
      </w:tr>
      <w:tr w14:paraId="6D9D1C79">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52335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2270F1B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输送方式</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6DEE5AD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lang w:eastAsia="zh-CN"/>
              </w:rPr>
              <w:t>间接</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107719E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连续</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68063D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连续</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40AA91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连续</w:t>
            </w:r>
          </w:p>
        </w:tc>
      </w:tr>
      <w:tr w14:paraId="66E9D798">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60ECA6">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3D22C0A9">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强冷风类型</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78EEA274">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自然风强冷</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0F00F00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bCs/>
                <w:color w:val="000000"/>
                <w:spacing w:val="-4"/>
                <w:sz w:val="24"/>
                <w:szCs w:val="24"/>
              </w:rPr>
              <w:t>自然风强冷</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3FF7CBC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color w:val="000000"/>
                <w:sz w:val="24"/>
                <w:szCs w:val="24"/>
              </w:rPr>
              <w:t>表冷器</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0DFB1B3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bCs/>
                <w:color w:val="000000"/>
                <w:spacing w:val="-4"/>
                <w:sz w:val="24"/>
                <w:szCs w:val="24"/>
              </w:rPr>
              <w:t>自然风强冷</w:t>
            </w:r>
          </w:p>
        </w:tc>
      </w:tr>
      <w:tr w14:paraId="7F7A7CB8">
        <w:tblPrEx>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C3F97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421B55D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强冷时间 min</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5EB92AEE">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3</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5</w:t>
            </w:r>
          </w:p>
        </w:tc>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4A843DA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3</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5</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04F057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3</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5</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454D3CA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3</w:t>
            </w:r>
            <w:r>
              <w:rPr>
                <w:rFonts w:hint="eastAsia" w:ascii="宋体" w:hAnsi="宋体" w:eastAsia="宋体" w:cs="宋体"/>
                <w:color w:val="000000"/>
                <w:sz w:val="24"/>
                <w:szCs w:val="24"/>
              </w:rPr>
              <w:t>～</w:t>
            </w:r>
            <w:r>
              <w:rPr>
                <w:rFonts w:hint="eastAsia" w:ascii="宋体" w:hAnsi="宋体" w:eastAsia="宋体" w:cs="宋体"/>
                <w:bCs/>
                <w:color w:val="000000"/>
                <w:spacing w:val="-4"/>
                <w:sz w:val="24"/>
                <w:szCs w:val="24"/>
              </w:rPr>
              <w:t>5</w:t>
            </w:r>
          </w:p>
        </w:tc>
      </w:tr>
      <w:tr w14:paraId="6831B1EB">
        <w:tblPrEx>
          <w:shd w:val="clear" w:color="auto" w:fill="auto"/>
          <w:tblCellMar>
            <w:top w:w="0" w:type="dxa"/>
            <w:left w:w="30" w:type="dxa"/>
            <w:bottom w:w="0" w:type="dxa"/>
            <w:right w:w="30" w:type="dxa"/>
          </w:tblCellMar>
        </w:tblPrEx>
        <w:trPr>
          <w:cantSplit/>
          <w:trHeight w:val="0" w:hRule="atLeast"/>
          <w:jc w:val="center"/>
        </w:trPr>
        <w:tc>
          <w:tcPr>
            <w:tcW w:w="33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0BC027">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pacing w:val="-4"/>
                <w:sz w:val="24"/>
                <w:szCs w:val="24"/>
              </w:rPr>
            </w:pPr>
          </w:p>
        </w:tc>
        <w:tc>
          <w:tcPr>
            <w:tcW w:w="1129" w:type="pct"/>
            <w:tcBorders>
              <w:top w:val="single" w:color="auto" w:sz="4" w:space="0"/>
              <w:left w:val="single" w:color="auto" w:sz="4" w:space="0"/>
              <w:bottom w:val="single" w:color="auto" w:sz="4" w:space="0"/>
              <w:right w:val="single" w:color="auto" w:sz="4" w:space="0"/>
            </w:tcBorders>
            <w:shd w:val="clear" w:color="auto" w:fill="auto"/>
            <w:vAlign w:val="center"/>
          </w:tcPr>
          <w:p w14:paraId="4F21BCCC">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bCs/>
                <w:color w:val="000000"/>
                <w:spacing w:val="-4"/>
                <w:sz w:val="24"/>
                <w:szCs w:val="24"/>
              </w:rPr>
              <w:t>强冷后车身温度</w:t>
            </w:r>
            <w:r>
              <w:rPr>
                <w:rFonts w:hint="eastAsia" w:ascii="宋体" w:hAnsi="宋体" w:eastAsia="宋体" w:cs="宋体"/>
                <w:bCs/>
                <w:color w:val="000000"/>
                <w:spacing w:val="-4"/>
                <w:sz w:val="24"/>
                <w:szCs w:val="24"/>
                <w:vertAlign w:val="superscript"/>
              </w:rPr>
              <w:t>o</w:t>
            </w:r>
            <w:r>
              <w:rPr>
                <w:rFonts w:hint="eastAsia" w:ascii="宋体" w:hAnsi="宋体" w:eastAsia="宋体" w:cs="宋体"/>
                <w:bCs/>
                <w:color w:val="000000"/>
                <w:spacing w:val="-4"/>
                <w:sz w:val="24"/>
                <w:szCs w:val="24"/>
              </w:rPr>
              <w:t>C</w:t>
            </w:r>
          </w:p>
        </w:tc>
        <w:tc>
          <w:tcPr>
            <w:tcW w:w="176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467349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pacing w:val="-4"/>
                <w:sz w:val="24"/>
                <w:szCs w:val="24"/>
              </w:rPr>
            </w:pPr>
            <w:r>
              <w:rPr>
                <w:rFonts w:hint="eastAsia" w:ascii="宋体" w:hAnsi="宋体" w:eastAsia="宋体" w:cs="宋体"/>
                <w:color w:val="000000"/>
                <w:sz w:val="24"/>
                <w:szCs w:val="24"/>
              </w:rPr>
              <w:t>≤45</w:t>
            </w:r>
          </w:p>
        </w:tc>
        <w:tc>
          <w:tcPr>
            <w:tcW w:w="883" w:type="pct"/>
            <w:tcBorders>
              <w:top w:val="single" w:color="auto" w:sz="4" w:space="0"/>
              <w:left w:val="single" w:color="auto" w:sz="4" w:space="0"/>
              <w:bottom w:val="single" w:color="auto" w:sz="4" w:space="0"/>
              <w:right w:val="single" w:color="auto" w:sz="4" w:space="0"/>
            </w:tcBorders>
            <w:shd w:val="clear" w:color="auto" w:fill="auto"/>
            <w:vAlign w:val="center"/>
          </w:tcPr>
          <w:p w14:paraId="0F77840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5</w:t>
            </w:r>
          </w:p>
        </w:tc>
        <w:tc>
          <w:tcPr>
            <w:tcW w:w="886" w:type="pct"/>
            <w:tcBorders>
              <w:top w:val="single" w:color="auto" w:sz="4" w:space="0"/>
              <w:left w:val="single" w:color="auto" w:sz="4" w:space="0"/>
              <w:bottom w:val="single" w:color="auto" w:sz="4" w:space="0"/>
              <w:right w:val="single" w:color="auto" w:sz="4" w:space="0"/>
            </w:tcBorders>
            <w:shd w:val="clear" w:color="auto" w:fill="auto"/>
            <w:vAlign w:val="center"/>
          </w:tcPr>
          <w:p w14:paraId="5EC943FD">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≤45</w:t>
            </w:r>
          </w:p>
        </w:tc>
      </w:tr>
    </w:tbl>
    <w:p w14:paraId="044D8D3E">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烘干炉保证车身各测量点都能满足材料固化需要的烘干温度曲线，车身温度测量点位置由</w:t>
      </w:r>
      <w:r>
        <w:rPr>
          <w:rFonts w:hint="eastAsia" w:ascii="宋体" w:hAnsi="宋体" w:cs="宋体"/>
          <w:color w:val="000000"/>
          <w:lang w:eastAsia="zh-CN"/>
        </w:rPr>
        <w:t>招标人</w:t>
      </w:r>
      <w:r>
        <w:rPr>
          <w:rFonts w:hint="eastAsia" w:ascii="宋体" w:hAnsi="宋体" w:eastAsia="宋体" w:cs="宋体"/>
          <w:color w:val="000000"/>
        </w:rPr>
        <w:t>确定。</w:t>
      </w:r>
    </w:p>
    <w:p w14:paraId="02C17847">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烘干炉要适应油漆材料固化温度要求。</w:t>
      </w:r>
    </w:p>
    <w:p w14:paraId="3BD4DFE8">
      <w:pPr>
        <w:pStyle w:val="17"/>
        <w:pageBreakBefore w:val="0"/>
        <w:numPr>
          <w:ilvl w:val="0"/>
          <w:numId w:val="9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烘干炉废气采用</w:t>
      </w:r>
      <w:r>
        <w:rPr>
          <w:rFonts w:hint="eastAsia" w:ascii="宋体" w:hAnsi="宋体" w:eastAsia="宋体" w:cs="宋体"/>
        </w:rPr>
        <w:t>活性炭吸附+RCO（催化燃烧）废气</w:t>
      </w:r>
      <w:r>
        <w:rPr>
          <w:rFonts w:hint="eastAsia" w:ascii="宋体" w:hAnsi="宋体" w:eastAsia="宋体" w:cs="宋体"/>
          <w:color w:val="000000"/>
        </w:rPr>
        <w:t>处理。</w:t>
      </w:r>
    </w:p>
    <w:p w14:paraId="10239646">
      <w:pPr>
        <w:pStyle w:val="4"/>
        <w:pageBreakBefore w:val="0"/>
        <w:numPr>
          <w:ilvl w:val="0"/>
          <w:numId w:val="93"/>
        </w:numPr>
        <w:tabs>
          <w:tab w:val="left" w:pos="0"/>
        </w:tabs>
        <w:kinsoku/>
        <w:wordWrap/>
        <w:overflowPunct/>
        <w:topLinePunct w:val="0"/>
        <w:bidi w:val="0"/>
        <w:adjustRightInd w:val="0"/>
        <w:snapToGrid w:val="0"/>
        <w:spacing w:before="0" w:afterAutospacing="0" w:line="360" w:lineRule="auto"/>
        <w:ind w:left="420" w:leftChars="0" w:hanging="420" w:firstLineChars="0"/>
        <w:textAlignment w:val="auto"/>
        <w:rPr>
          <w:rFonts w:hint="eastAsia" w:ascii="宋体" w:hAnsi="宋体" w:eastAsia="宋体" w:cs="宋体"/>
          <w:b/>
          <w:bCs/>
          <w:sz w:val="24"/>
          <w:szCs w:val="24"/>
        </w:rPr>
      </w:pPr>
      <w:bookmarkStart w:id="113" w:name="_Toc289088139"/>
      <w:bookmarkStart w:id="114" w:name="_Toc435620281"/>
      <w:r>
        <w:rPr>
          <w:rFonts w:hint="eastAsia" w:ascii="宋体" w:hAnsi="宋体" w:eastAsia="宋体" w:cs="宋体"/>
          <w:b/>
          <w:bCs/>
          <w:sz w:val="24"/>
          <w:szCs w:val="24"/>
        </w:rPr>
        <w:t>烘干炉技术说明</w:t>
      </w:r>
      <w:bookmarkEnd w:id="113"/>
      <w:bookmarkEnd w:id="114"/>
    </w:p>
    <w:p w14:paraId="715A48B3">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工艺参数集中实时监控。烘干炉的排气温度也需要监控并显示在控制面板。</w:t>
      </w:r>
    </w:p>
    <w:p w14:paraId="2DB339EC">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烘干炉采用</w:t>
      </w:r>
      <w:r>
        <w:rPr>
          <w:rFonts w:hint="eastAsia" w:ascii="宋体" w:hAnsi="宋体" w:eastAsia="宋体" w:cs="宋体"/>
          <w:lang w:val="en-US" w:eastAsia="zh-CN"/>
        </w:rPr>
        <w:t>三元体</w:t>
      </w:r>
      <w:r>
        <w:rPr>
          <w:rFonts w:hint="eastAsia" w:ascii="宋体" w:hAnsi="宋体" w:eastAsia="宋体" w:cs="宋体"/>
          <w:color w:val="000000"/>
        </w:rPr>
        <w:t>加热空气，</w:t>
      </w:r>
      <w:r>
        <w:rPr>
          <w:rFonts w:hint="eastAsia" w:ascii="宋体" w:hAnsi="宋体" w:cs="宋体"/>
          <w:color w:val="000000"/>
          <w:lang w:eastAsia="zh-CN"/>
        </w:rPr>
        <w:t>投标人</w:t>
      </w:r>
      <w:r>
        <w:rPr>
          <w:rFonts w:hint="eastAsia" w:ascii="宋体" w:hAnsi="宋体" w:eastAsia="宋体" w:cs="宋体"/>
          <w:color w:val="000000"/>
        </w:rPr>
        <w:t>需要根据最大车型计算热量预留10%的加热能力，计算结果提交给</w:t>
      </w:r>
      <w:r>
        <w:rPr>
          <w:rFonts w:hint="eastAsia" w:ascii="宋体" w:hAnsi="宋体" w:cs="宋体"/>
          <w:color w:val="000000"/>
          <w:lang w:eastAsia="zh-CN"/>
        </w:rPr>
        <w:t>招标人</w:t>
      </w:r>
      <w:r>
        <w:rPr>
          <w:rFonts w:hint="eastAsia" w:ascii="宋体" w:hAnsi="宋体" w:eastAsia="宋体" w:cs="宋体"/>
          <w:color w:val="000000"/>
        </w:rPr>
        <w:t>并需要得到认可。</w:t>
      </w:r>
    </w:p>
    <w:p w14:paraId="04161DB9">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采用天然气间接加热提供热源。</w:t>
      </w:r>
    </w:p>
    <w:p w14:paraId="1AF8C6EF">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 xml:space="preserve">所有的检修门需配备专用照明（摇臂灯 </w:t>
      </w:r>
      <w:r>
        <w:rPr>
          <w:rFonts w:hint="eastAsia" w:ascii="宋体" w:hAnsi="宋体" w:eastAsia="宋体" w:cs="宋体"/>
          <w:color w:val="000000"/>
          <w:lang w:val="en-US" w:eastAsia="zh-CN"/>
        </w:rPr>
        <w:t>1</w:t>
      </w:r>
      <w:r>
        <w:rPr>
          <w:rFonts w:hint="eastAsia" w:ascii="宋体" w:hAnsi="宋体" w:eastAsia="宋体" w:cs="宋体"/>
          <w:color w:val="000000"/>
        </w:rPr>
        <w:t>00W）和插座。</w:t>
      </w:r>
    </w:p>
    <w:p w14:paraId="6E728C34">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烘房喷嘴详细的排列方式应当在设计期间讨论，喷嘴可以调节、旋转，喷嘴为SUS304不锈钢材料。</w:t>
      </w:r>
    </w:p>
    <w:p w14:paraId="056A9E66">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电泳燃烧器放置在烘干炉</w:t>
      </w:r>
      <w:r>
        <w:rPr>
          <w:rFonts w:hint="eastAsia" w:ascii="宋体" w:hAnsi="宋体" w:eastAsia="宋体" w:cs="宋体"/>
          <w:color w:val="000000"/>
          <w:lang w:val="en-US" w:eastAsia="zh-CN"/>
        </w:rPr>
        <w:t>上</w:t>
      </w:r>
      <w:r>
        <w:rPr>
          <w:rFonts w:hint="eastAsia" w:ascii="宋体" w:hAnsi="宋体" w:eastAsia="宋体" w:cs="宋体"/>
          <w:color w:val="000000"/>
        </w:rPr>
        <w:t>方，胶烘干炉、面漆烘干炉室体上方，方便电机维护、燃烧器维修维护。</w:t>
      </w:r>
    </w:p>
    <w:p w14:paraId="5DED9330">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val="en-US" w:eastAsia="zh-CN"/>
        </w:rPr>
        <w:t>新增</w:t>
      </w:r>
      <w:r>
        <w:rPr>
          <w:rFonts w:hint="eastAsia" w:ascii="宋体" w:hAnsi="宋体" w:eastAsia="宋体" w:cs="宋体"/>
          <w:color w:val="000000"/>
        </w:rPr>
        <w:t>烘干室进口、强冷室出口设置自动卷帘门，随着烘干炉的关闭或打开，卷帘门自动打开或关闭；与输送系统联锁，并具备人工开启、关闭功能。</w:t>
      </w:r>
    </w:p>
    <w:p w14:paraId="4B6FA219">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风机为离心式耐高温防火花风机，并且带减震机座和耐高温（250℃以上）的软连接。</w:t>
      </w:r>
    </w:p>
    <w:p w14:paraId="3926D268">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每台炉子的倒班升温时间不大于1h，冷炉升温时间不大于2h。</w:t>
      </w:r>
    </w:p>
    <w:p w14:paraId="0B75E668">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当运输链停止运行10min后，燃烧器应能自动停止，热风可继续延时</w:t>
      </w:r>
      <w:r>
        <w:rPr>
          <w:rFonts w:hint="eastAsia" w:ascii="宋体" w:hAnsi="宋体" w:eastAsia="宋体" w:cs="宋体"/>
          <w:color w:val="000000" w:themeColor="text1"/>
          <w:lang w:val="en-US" w:eastAsia="zh-CN"/>
          <w14:textFill>
            <w14:solidFill>
              <w14:schemeClr w14:val="tx1"/>
            </w14:solidFill>
          </w14:textFill>
        </w:rPr>
        <w:t>10</w:t>
      </w:r>
      <w:r>
        <w:rPr>
          <w:rFonts w:hint="eastAsia" w:ascii="宋体" w:hAnsi="宋体" w:eastAsia="宋体" w:cs="宋体"/>
          <w:color w:val="000000" w:themeColor="text1"/>
          <w14:textFill>
            <w14:solidFill>
              <w14:schemeClr w14:val="tx1"/>
            </w14:solidFill>
          </w14:textFill>
        </w:rPr>
        <w:t>min</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可调</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rPr>
        <w:t>关闭，当输送链再次启动时，能同时启动热风供给。输送链、循环风机、燃烧炉之间应互锁。</w:t>
      </w:r>
    </w:p>
    <w:p w14:paraId="5CD7701D">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用于设备进涂装厂房的吊装平台由</w:t>
      </w:r>
      <w:r>
        <w:rPr>
          <w:rFonts w:hint="eastAsia" w:ascii="宋体" w:hAnsi="宋体" w:cs="宋体"/>
          <w:color w:val="000000"/>
          <w:lang w:eastAsia="zh-CN"/>
        </w:rPr>
        <w:t>投标人</w:t>
      </w:r>
      <w:r>
        <w:rPr>
          <w:rFonts w:hint="eastAsia" w:ascii="宋体" w:hAnsi="宋体" w:eastAsia="宋体" w:cs="宋体"/>
          <w:color w:val="000000"/>
        </w:rPr>
        <w:t>提供。</w:t>
      </w:r>
      <w:bookmarkStart w:id="115" w:name="_Toc289088140"/>
    </w:p>
    <w:bookmarkEnd w:id="115"/>
    <w:p w14:paraId="4B70EC14">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所有的烘房都采用模块化结构设计。烘干系统“滑移”概念，固定点，膨胀结需要在设备详细设计时定义确认。</w:t>
      </w:r>
    </w:p>
    <w:p w14:paraId="57491297">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所有的模块化烘房内部壁板的接缝都要用防锈焊接材料完全焊接，密闭不漏气。</w:t>
      </w:r>
    </w:p>
    <w:p w14:paraId="020561AA">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模段在运送过程中要恰当地拴牢，防止运输、装载或卸货中的变形。模段和设备用合适的防水布覆盖或收缩布包裹，以保护运输及存储过程中来自天气的影响。模段外壁板保温棉应安装完成。</w:t>
      </w:r>
    </w:p>
    <w:p w14:paraId="7B2D20D9">
      <w:pPr>
        <w:pStyle w:val="17"/>
        <w:pageBreakBefore w:val="0"/>
        <w:numPr>
          <w:ilvl w:val="0"/>
          <w:numId w:val="9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模段之间的膨胀节应是密闭不漏气的，采用不锈钢材料制作，或者由</w:t>
      </w:r>
      <w:r>
        <w:rPr>
          <w:rFonts w:hint="eastAsia" w:ascii="宋体" w:hAnsi="宋体" w:cs="宋体"/>
          <w:color w:val="000000"/>
          <w:lang w:eastAsia="zh-CN"/>
        </w:rPr>
        <w:t>招标人</w:t>
      </w:r>
      <w:r>
        <w:rPr>
          <w:rFonts w:hint="eastAsia" w:ascii="宋体" w:hAnsi="宋体" w:eastAsia="宋体" w:cs="宋体"/>
          <w:color w:val="000000"/>
        </w:rPr>
        <w:t>认可的其它合适的材料。部件之间的接缝应由隔热材料填充，隔热材料的型号与使用须经过</w:t>
      </w:r>
      <w:r>
        <w:rPr>
          <w:rFonts w:hint="eastAsia" w:ascii="宋体" w:hAnsi="宋体" w:cs="宋体"/>
          <w:color w:val="000000"/>
          <w:lang w:eastAsia="zh-CN"/>
        </w:rPr>
        <w:t>招标人</w:t>
      </w:r>
      <w:r>
        <w:rPr>
          <w:rFonts w:hint="eastAsia" w:ascii="宋体" w:hAnsi="宋体" w:eastAsia="宋体" w:cs="宋体"/>
          <w:color w:val="000000"/>
        </w:rPr>
        <w:t>认可。</w:t>
      </w:r>
      <w:bookmarkStart w:id="116" w:name="_Toc289088141"/>
      <w:r>
        <w:rPr>
          <w:rFonts w:hint="eastAsia" w:ascii="宋体" w:hAnsi="宋体" w:eastAsia="宋体" w:cs="宋体"/>
          <w:color w:val="000000"/>
        </w:rPr>
        <w:t>所有材料必须不含硅酮。</w:t>
      </w:r>
    </w:p>
    <w:bookmarkEnd w:id="116"/>
    <w:p w14:paraId="040FF803">
      <w:pPr>
        <w:pStyle w:val="4"/>
        <w:pageBreakBefore w:val="0"/>
        <w:numPr>
          <w:ilvl w:val="0"/>
          <w:numId w:val="93"/>
        </w:numPr>
        <w:tabs>
          <w:tab w:val="left" w:pos="0"/>
        </w:tabs>
        <w:kinsoku/>
        <w:wordWrap/>
        <w:overflowPunct/>
        <w:topLinePunct w:val="0"/>
        <w:bidi w:val="0"/>
        <w:adjustRightInd w:val="0"/>
        <w:snapToGrid w:val="0"/>
        <w:spacing w:before="0" w:afterAutospacing="0" w:line="360" w:lineRule="auto"/>
        <w:ind w:left="420" w:leftChars="0" w:hanging="420" w:firstLineChars="0"/>
        <w:textAlignment w:val="auto"/>
        <w:rPr>
          <w:rFonts w:hint="eastAsia" w:ascii="宋体" w:hAnsi="宋体" w:eastAsia="宋体" w:cs="宋体"/>
          <w:b/>
          <w:bCs/>
          <w:sz w:val="24"/>
          <w:szCs w:val="24"/>
        </w:rPr>
      </w:pPr>
      <w:bookmarkStart w:id="117" w:name="_Toc289088143"/>
      <w:bookmarkStart w:id="118" w:name="_Toc435620282"/>
      <w:r>
        <w:rPr>
          <w:rFonts w:hint="eastAsia" w:ascii="宋体" w:hAnsi="宋体" w:eastAsia="宋体" w:cs="宋体"/>
          <w:b/>
          <w:bCs/>
          <w:sz w:val="24"/>
          <w:szCs w:val="24"/>
        </w:rPr>
        <w:t>烘干炉的总体设计</w:t>
      </w:r>
      <w:bookmarkEnd w:id="117"/>
      <w:bookmarkEnd w:id="118"/>
    </w:p>
    <w:p w14:paraId="69C370E6">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烘干炉采用天然气加热。</w:t>
      </w:r>
    </w:p>
    <w:p w14:paraId="60AC8A50">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烘干炉应密封可靠，烘炉内壁板及风管要满焊连接并确保光滑，要考虑维修方便，清洁容易。</w:t>
      </w:r>
    </w:p>
    <w:p w14:paraId="319C3675">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烘房要保证风平衡稳定、微负压，确保无烟气散发到车间。</w:t>
      </w:r>
    </w:p>
    <w:p w14:paraId="0591D026">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烘干炉内壁板完全光滑，结构考虑不易积灰、易于清扫。</w:t>
      </w:r>
    </w:p>
    <w:p w14:paraId="2127EF14">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烘干炉的结构必须考虑对热能的充分利用以及对车身烘烤的均匀性。</w:t>
      </w:r>
    </w:p>
    <w:p w14:paraId="121879F0">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对于电泳烘干炉要充分考虑和确保车身内腔和底板的烘干。</w:t>
      </w:r>
    </w:p>
    <w:p w14:paraId="117A9DA0">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有烘干炉伸缩底座采用碳钢。</w:t>
      </w:r>
    </w:p>
    <w:p w14:paraId="27F08F8E">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烘道分段。段与段之间连接节可自由伸缩，外部保温为一个整体。每一段在其两侧中间有一个膨胀节，每一个不锈钢膨胀节装有导向装置以便当烘干炉的一边发生位移时，整个烘干炉烘道能在同一轴线上位移。在烘道的相应部位之间安装有波形伸缩连接件，内部采用连续焊接以确保安全密封、保温材料不污染烘干炉内烘道。</w:t>
      </w:r>
    </w:p>
    <w:p w14:paraId="3B433A04">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烘道整体布置在易滑动的独立的钢板上。有带骨架的检修门，便于进行检查和维护。</w:t>
      </w:r>
    </w:p>
    <w:p w14:paraId="631B6EF0">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水份烘干炉满足水性漆烘干要求，新鲜空气送风要求：每千克空气中含水不能超过12g，水性漆烘干室三元体配表冷除湿补新风装置，以降低新风及循环风混风后的湿度，满足工艺要求，风机叶轮采用不锈钢风机。</w:t>
      </w:r>
    </w:p>
    <w:p w14:paraId="71D20F35">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lang w:eastAsia="zh-CN"/>
        </w:rPr>
        <w:t>闪干室</w:t>
      </w:r>
      <w:r>
        <w:rPr>
          <w:rFonts w:hint="eastAsia" w:ascii="宋体" w:hAnsi="宋体" w:eastAsia="宋体" w:cs="宋体"/>
          <w:color w:val="000000"/>
        </w:rPr>
        <w:t>循环风量及风温要确保在5min内车身表面上的涂层干燥的程度达到水性漆的技术要求，循环无尘。</w:t>
      </w:r>
    </w:p>
    <w:p w14:paraId="4F40BC4F">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风管</w:t>
      </w:r>
    </w:p>
    <w:p w14:paraId="48CC6ACE">
      <w:pPr>
        <w:pStyle w:val="17"/>
        <w:pageBreakBefore w:val="0"/>
        <w:numPr>
          <w:ilvl w:val="0"/>
          <w:numId w:val="99"/>
        </w:numPr>
        <w:tabs>
          <w:tab w:val="left" w:pos="567"/>
          <w:tab w:val="clear"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烘炉内风管将被安装在炉腔内并与炉子一起伸缩。</w:t>
      </w:r>
    </w:p>
    <w:p w14:paraId="57339C6B">
      <w:pPr>
        <w:pStyle w:val="17"/>
        <w:pageBreakBefore w:val="0"/>
        <w:numPr>
          <w:ilvl w:val="0"/>
          <w:numId w:val="99"/>
        </w:numPr>
        <w:tabs>
          <w:tab w:val="left" w:pos="567"/>
          <w:tab w:val="clear"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烘房内部壁板连接为全焊、不漏气。</w:t>
      </w:r>
    </w:p>
    <w:p w14:paraId="5F8182F9">
      <w:pPr>
        <w:pStyle w:val="17"/>
        <w:pageBreakBefore w:val="0"/>
        <w:numPr>
          <w:ilvl w:val="0"/>
          <w:numId w:val="99"/>
        </w:numPr>
        <w:tabs>
          <w:tab w:val="left" w:pos="567"/>
          <w:tab w:val="clear"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外部风管的连接：必须是满焊风管。</w:t>
      </w:r>
    </w:p>
    <w:p w14:paraId="39E509AA">
      <w:pPr>
        <w:pStyle w:val="17"/>
        <w:pageBreakBefore w:val="0"/>
        <w:numPr>
          <w:ilvl w:val="0"/>
          <w:numId w:val="99"/>
        </w:numPr>
        <w:tabs>
          <w:tab w:val="left" w:pos="567"/>
          <w:tab w:val="clear"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在热风管上设计伸缩节：不锈钢金属波纹管伸缩连接，与风管满焊连接。</w:t>
      </w:r>
    </w:p>
    <w:p w14:paraId="3FBAE275">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过滤</w:t>
      </w:r>
    </w:p>
    <w:p w14:paraId="38E2461C">
      <w:pPr>
        <w:pStyle w:val="17"/>
        <w:pageBreakBefore w:val="0"/>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在升温区的风速设计要确保对车身各部分的传热充分均匀，过滤系统确保不在湿膜车身上产生颗粒。</w:t>
      </w:r>
    </w:p>
    <w:p w14:paraId="756BBEEB">
      <w:pPr>
        <w:pStyle w:val="17"/>
        <w:pageBreakBefore w:val="0"/>
        <w:numPr>
          <w:ilvl w:val="0"/>
          <w:numId w:val="10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新风级过滤：F5。</w:t>
      </w:r>
    </w:p>
    <w:p w14:paraId="4DF96B4C">
      <w:pPr>
        <w:pStyle w:val="17"/>
        <w:pageBreakBefore w:val="0"/>
        <w:numPr>
          <w:ilvl w:val="0"/>
          <w:numId w:val="10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循环风过滤：F 6、F 8</w:t>
      </w:r>
    </w:p>
    <w:p w14:paraId="112E216F">
      <w:pPr>
        <w:pStyle w:val="17"/>
        <w:pageBreakBefore w:val="0"/>
        <w:numPr>
          <w:ilvl w:val="0"/>
          <w:numId w:val="10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第二级过滤器（F 8）放在烘干炉内，送风方向与车身运行方向成直角，但风嘴可调。</w:t>
      </w:r>
    </w:p>
    <w:p w14:paraId="3946C7D2">
      <w:pPr>
        <w:pStyle w:val="17"/>
        <w:pageBreakBefore w:val="0"/>
        <w:numPr>
          <w:ilvl w:val="0"/>
          <w:numId w:val="10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热顶出口过滤器：F 8。</w:t>
      </w:r>
    </w:p>
    <w:p w14:paraId="028AA06B">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其他</w:t>
      </w:r>
    </w:p>
    <w:p w14:paraId="55C060BE">
      <w:pPr>
        <w:pStyle w:val="17"/>
        <w:pageBreakBefore w:val="0"/>
        <w:numPr>
          <w:ilvl w:val="0"/>
          <w:numId w:val="10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烘干炉内底部的地板可供人行走，确保满足输送链、车身的承重需要。</w:t>
      </w:r>
    </w:p>
    <w:p w14:paraId="59ED02BF">
      <w:pPr>
        <w:pStyle w:val="17"/>
        <w:pageBreakBefore w:val="0"/>
        <w:numPr>
          <w:ilvl w:val="0"/>
          <w:numId w:val="10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设备平台应有安全栏杆。</w:t>
      </w:r>
    </w:p>
    <w:p w14:paraId="24199A68">
      <w:pPr>
        <w:pStyle w:val="17"/>
        <w:pageBreakBefore w:val="0"/>
        <w:numPr>
          <w:ilvl w:val="0"/>
          <w:numId w:val="10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烘干炉配备</w:t>
      </w:r>
      <w:r>
        <w:rPr>
          <w:rFonts w:hint="eastAsia" w:ascii="宋体" w:hAnsi="宋体" w:eastAsia="宋体" w:cs="宋体"/>
          <w:color w:val="000000"/>
          <w:lang w:val="en-US" w:eastAsia="zh-CN"/>
        </w:rPr>
        <w:t>摇臂装置，</w:t>
      </w:r>
      <w:r>
        <w:rPr>
          <w:rFonts w:hint="eastAsia" w:ascii="宋体" w:hAnsi="宋体" w:eastAsia="宋体" w:cs="宋体"/>
          <w:color w:val="000000"/>
        </w:rPr>
        <w:t>还需配备一台从炉体平台到地面的</w:t>
      </w:r>
      <w:r>
        <w:rPr>
          <w:rFonts w:hint="eastAsia" w:ascii="宋体" w:hAnsi="宋体" w:eastAsia="宋体" w:cs="宋体"/>
          <w:color w:val="000000"/>
          <w:lang w:val="en-US" w:eastAsia="zh-CN"/>
        </w:rPr>
        <w:t>手动</w:t>
      </w:r>
      <w:r>
        <w:rPr>
          <w:rFonts w:hint="eastAsia" w:ascii="宋体" w:hAnsi="宋体" w:eastAsia="宋体" w:cs="宋体"/>
          <w:color w:val="000000"/>
        </w:rPr>
        <w:t>葫芦。</w:t>
      </w:r>
    </w:p>
    <w:p w14:paraId="54FC7A1E">
      <w:pPr>
        <w:pStyle w:val="17"/>
        <w:pageBreakBefore w:val="0"/>
        <w:numPr>
          <w:ilvl w:val="0"/>
          <w:numId w:val="10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烘干炉的每个检修门都应装有转臂灯。在每个门附近配备保洁用220V电源箱。</w:t>
      </w:r>
    </w:p>
    <w:p w14:paraId="5AEC674C">
      <w:pPr>
        <w:pStyle w:val="17"/>
        <w:pageBreakBefore w:val="0"/>
        <w:numPr>
          <w:ilvl w:val="0"/>
          <w:numId w:val="10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应在所有烘干炉的入口和出口提供仿形门框，仿形门采用与烘干室内壁板同样材料，没有锐边，并满足</w:t>
      </w:r>
      <w:r>
        <w:rPr>
          <w:rFonts w:hint="eastAsia" w:ascii="宋体" w:hAnsi="宋体" w:cs="宋体"/>
          <w:color w:val="000000"/>
          <w:lang w:eastAsia="zh-CN"/>
        </w:rPr>
        <w:t>招标人</w:t>
      </w:r>
      <w:r>
        <w:rPr>
          <w:rFonts w:hint="eastAsia" w:ascii="宋体" w:hAnsi="宋体" w:eastAsia="宋体" w:cs="宋体"/>
          <w:color w:val="000000"/>
        </w:rPr>
        <w:t>标准。仿形门应能满足最大车身的尺寸。</w:t>
      </w:r>
    </w:p>
    <w:p w14:paraId="40A9E2B1">
      <w:pPr>
        <w:pStyle w:val="17"/>
        <w:pageBreakBefore w:val="0"/>
        <w:numPr>
          <w:ilvl w:val="0"/>
          <w:numId w:val="10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所有的风机都要求配减震垫以减少震动。</w:t>
      </w:r>
    </w:p>
    <w:p w14:paraId="09AC1657">
      <w:pPr>
        <w:pStyle w:val="17"/>
        <w:pageBreakBefore w:val="0"/>
        <w:numPr>
          <w:ilvl w:val="0"/>
          <w:numId w:val="98"/>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材料</w:t>
      </w:r>
    </w:p>
    <w:p w14:paraId="62D50E0E">
      <w:pPr>
        <w:pStyle w:val="17"/>
        <w:pageBreakBefore w:val="0"/>
        <w:numPr>
          <w:ilvl w:val="0"/>
          <w:numId w:val="10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电泳、面漆烘干炉内壁板、风管采用渗铝板，内壁板和风管厚度≥1.5mm，外壁板是0.</w:t>
      </w:r>
      <w:r>
        <w:rPr>
          <w:rFonts w:hint="eastAsia" w:ascii="宋体" w:hAnsi="宋体" w:eastAsia="宋体" w:cs="宋体"/>
          <w:color w:val="000000"/>
          <w:lang w:val="en-US" w:eastAsia="zh-CN"/>
        </w:rPr>
        <w:t>6</w:t>
      </w:r>
      <w:r>
        <w:rPr>
          <w:rFonts w:hint="eastAsia" w:ascii="宋体" w:hAnsi="宋体" w:eastAsia="宋体" w:cs="宋体"/>
          <w:color w:val="000000"/>
        </w:rPr>
        <w:t>mm镀锌波纹板。热交换器材质为耐热不锈钢，间接加热装置高温烟管材质为SUS304不锈钢，新风风管采用镀锌钢板，其余风管采用渗铝板。</w:t>
      </w:r>
    </w:p>
    <w:p w14:paraId="1E6D1B9A">
      <w:pPr>
        <w:pStyle w:val="17"/>
        <w:pageBreakBefore w:val="0"/>
        <w:numPr>
          <w:ilvl w:val="0"/>
          <w:numId w:val="10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胶烘干炉内壁板、风管采用镀锌钢板，厚度≥1.5mm，外壁板是0.</w:t>
      </w:r>
      <w:r>
        <w:rPr>
          <w:rFonts w:hint="eastAsia" w:ascii="宋体" w:hAnsi="宋体" w:eastAsia="宋体" w:cs="宋体"/>
          <w:color w:val="000000"/>
          <w:lang w:val="en-US" w:eastAsia="zh-CN"/>
        </w:rPr>
        <w:t>6</w:t>
      </w:r>
      <w:r>
        <w:rPr>
          <w:rFonts w:hint="eastAsia" w:ascii="宋体" w:hAnsi="宋体" w:eastAsia="宋体" w:cs="宋体"/>
          <w:color w:val="000000"/>
        </w:rPr>
        <w:t>mm镀锌波纹板。热交换器材质为耐热不锈钢，间接加热装置高温烟管材质为SUS304不锈钢，其余风管采用镀锌钢板。</w:t>
      </w:r>
    </w:p>
    <w:p w14:paraId="4918192D">
      <w:pPr>
        <w:pStyle w:val="17"/>
        <w:pageBreakBefore w:val="0"/>
        <w:numPr>
          <w:ilvl w:val="0"/>
          <w:numId w:val="10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水份烘干炉内壁板、风管采用不锈钢板，厚度≥1.5mm，外壁板是0.</w:t>
      </w:r>
      <w:r>
        <w:rPr>
          <w:rFonts w:hint="eastAsia" w:ascii="宋体" w:hAnsi="宋体" w:eastAsia="宋体" w:cs="宋体"/>
          <w:color w:val="000000"/>
          <w:lang w:val="en-US" w:eastAsia="zh-CN"/>
        </w:rPr>
        <w:t>6</w:t>
      </w:r>
      <w:r>
        <w:rPr>
          <w:rFonts w:hint="eastAsia" w:ascii="宋体" w:hAnsi="宋体" w:eastAsia="宋体" w:cs="宋体"/>
          <w:color w:val="000000"/>
        </w:rPr>
        <w:t>mm镀锌波纹板。热交换器材质为耐热不锈钢，间接加热装置高温烟管材质为SUS304不锈钢，其余风管采用镀锌钢板</w:t>
      </w:r>
    </w:p>
    <w:p w14:paraId="486C7403">
      <w:pPr>
        <w:pStyle w:val="17"/>
        <w:pageBreakBefore w:val="0"/>
        <w:numPr>
          <w:ilvl w:val="0"/>
          <w:numId w:val="102"/>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烘干炉保温材料，如岩棉等，在厂家填充、压制成密实的保温板并预制成模段，由</w:t>
      </w:r>
      <w:r>
        <w:rPr>
          <w:rFonts w:hint="eastAsia" w:ascii="宋体" w:hAnsi="宋体" w:cs="宋体"/>
          <w:color w:val="000000"/>
          <w:lang w:eastAsia="zh-CN"/>
        </w:rPr>
        <w:t>招标人</w:t>
      </w:r>
      <w:r>
        <w:rPr>
          <w:rFonts w:hint="eastAsia" w:ascii="宋体" w:hAnsi="宋体" w:eastAsia="宋体" w:cs="宋体"/>
          <w:color w:val="000000"/>
        </w:rPr>
        <w:t>确认后，再到现场进行拼接或安装，岩棉要错位安装，同时与壁板的缝也需错位。</w:t>
      </w:r>
    </w:p>
    <w:p w14:paraId="522B52B1">
      <w:pPr>
        <w:pStyle w:val="4"/>
        <w:pageBreakBefore w:val="0"/>
        <w:numPr>
          <w:ilvl w:val="0"/>
          <w:numId w:val="0"/>
        </w:numPr>
        <w:tabs>
          <w:tab w:val="left" w:pos="0"/>
        </w:tabs>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b/>
          <w:bCs/>
          <w:sz w:val="24"/>
          <w:szCs w:val="24"/>
          <w:lang w:val="en-US" w:eastAsia="zh-CN"/>
        </w:rPr>
        <w:t>7.</w:t>
      </w:r>
      <w:r>
        <w:rPr>
          <w:rFonts w:hint="eastAsia" w:ascii="宋体" w:hAnsi="宋体" w:eastAsia="宋体" w:cs="宋体"/>
          <w:b/>
          <w:bCs/>
          <w:sz w:val="24"/>
          <w:szCs w:val="24"/>
        </w:rPr>
        <w:t>燃烧加热装置</w:t>
      </w:r>
      <w:r>
        <w:rPr>
          <w:rFonts w:hint="eastAsia" w:ascii="宋体" w:hAnsi="宋体" w:eastAsia="宋体" w:cs="宋体"/>
        </w:rPr>
        <w:t xml:space="preserve">    </w:t>
      </w:r>
    </w:p>
    <w:p w14:paraId="08045B54">
      <w:pPr>
        <w:pStyle w:val="2"/>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kern w:val="2"/>
          <w:sz w:val="24"/>
          <w:szCs w:val="24"/>
          <w:lang w:val="en-US" w:eastAsia="zh-CN" w:bidi="ar-SA"/>
        </w:rPr>
        <w:t xml:space="preserve"> 利旧原涂装车间燃烧加热系统及燃烧器</w:t>
      </w:r>
    </w:p>
    <w:p w14:paraId="51756AC9">
      <w:pPr>
        <w:pStyle w:val="4"/>
        <w:pageBreakBefore w:val="0"/>
        <w:numPr>
          <w:ilvl w:val="0"/>
          <w:numId w:val="0"/>
        </w:numPr>
        <w:tabs>
          <w:tab w:val="left" w:pos="0"/>
        </w:tabs>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b/>
          <w:bCs/>
          <w:sz w:val="24"/>
          <w:szCs w:val="24"/>
          <w:lang w:val="en-US" w:eastAsia="zh-CN"/>
        </w:rPr>
        <w:t>8.</w:t>
      </w:r>
      <w:r>
        <w:rPr>
          <w:rFonts w:hint="eastAsia" w:ascii="宋体" w:hAnsi="宋体" w:eastAsia="宋体" w:cs="宋体"/>
          <w:b/>
          <w:bCs/>
          <w:sz w:val="24"/>
          <w:szCs w:val="24"/>
        </w:rPr>
        <w:t>强冷室设备室体要求：</w:t>
      </w:r>
    </w:p>
    <w:p w14:paraId="5162486D">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强冷室必须确保冷却后的车身表面温度</w:t>
      </w:r>
      <w:r>
        <w:rPr>
          <w:rFonts w:hint="eastAsia" w:ascii="宋体" w:hAnsi="宋体" w:eastAsia="宋体" w:cs="宋体"/>
          <w:color w:val="000000" w:themeColor="text1"/>
          <w14:textFill>
            <w14:solidFill>
              <w14:schemeClr w14:val="tx1"/>
            </w14:solidFill>
          </w14:textFill>
        </w:rPr>
        <w:t>小于45℃</w:t>
      </w:r>
      <w:r>
        <w:rPr>
          <w:rFonts w:hint="eastAsia" w:ascii="宋体" w:hAnsi="宋体" w:eastAsia="宋体" w:cs="宋体"/>
          <w:color w:val="000000"/>
        </w:rPr>
        <w:t>，水份烘干炉车身表面温度小于3</w:t>
      </w:r>
      <w:r>
        <w:rPr>
          <w:rFonts w:hint="eastAsia" w:ascii="宋体" w:hAnsi="宋体" w:eastAsia="宋体" w:cs="宋体"/>
          <w:color w:val="000000"/>
          <w:lang w:val="en-US" w:eastAsia="zh-CN"/>
        </w:rPr>
        <w:t>5</w:t>
      </w:r>
      <w:r>
        <w:rPr>
          <w:rFonts w:hint="eastAsia" w:ascii="宋体" w:hAnsi="宋体" w:eastAsia="宋体" w:cs="宋体"/>
          <w:color w:val="000000"/>
        </w:rPr>
        <w:t>℃。</w:t>
      </w:r>
    </w:p>
    <w:p w14:paraId="36190C02">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强冷室风嘴采用内置风嘴，（要求风嘴排布间距要小，车身表面均接触到风吹）。</w:t>
      </w:r>
    </w:p>
    <w:p w14:paraId="51611620">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强冷室风嘴的风速不小于20m/s 。</w:t>
      </w:r>
    </w:p>
    <w:p w14:paraId="254758E2">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强冷室车，两侧风嘴安装位置和车身仿形，要达到最佳冷却效果。</w:t>
      </w:r>
    </w:p>
    <w:p w14:paraId="283C0E41">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排风风口设在车身顶部经排出风管接到两侧主排风管，经排风机排出厂房外。</w:t>
      </w:r>
    </w:p>
    <w:p w14:paraId="51B4DA92">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强冷室室内部两侧设有供风腔，水份烘干炉强冷室进风要求用F8过滤，确保无尘。</w:t>
      </w:r>
    </w:p>
    <w:p w14:paraId="165BC9FA">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强冷室设备室体采用自承重的壁板结构，供风腔和排风腔的壁板的强度要强，不允许有变形及颤动（工作运行时）。</w:t>
      </w:r>
    </w:p>
    <w:p w14:paraId="03895CA2">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强冷室设备室体供风腔及排风腔两端设有检修门，门要密封、压严、带手柄。</w:t>
      </w:r>
    </w:p>
    <w:p w14:paraId="40C23FDC">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强冷室设备室体内部必须确保最宽、最高车身尺寸的通过性（最高尺寸的车身再加上200 mm），室体两端设有仿形门。</w:t>
      </w:r>
    </w:p>
    <w:p w14:paraId="2364E3F3">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强冷室设备室体镀锌钢板，底板要求做平且用于固定机械化输送链。</w:t>
      </w:r>
    </w:p>
    <w:p w14:paraId="07662B94">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强冷室供风从厂房屋面外进新风，新风需要经过等级为F5的过滤袋过滤，过滤袋支架及框架要求见空调机技术要求中有关的要求。</w:t>
      </w:r>
    </w:p>
    <w:p w14:paraId="59B3DB64">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过滤和供排风机组合在一个室体中，均设在强冷室室体上方的与强冷室室体不接触的钢制平台上，钢平台采用平钢板台面，周边设安全栏杆、踢脚板和带扶手的40～45 度的梯子。</w:t>
      </w:r>
    </w:p>
    <w:p w14:paraId="5EC5B6F6">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过滤/供排风机组合室体，供风和排风是隔开的，排风管上设有与供风管相连的复合阀。</w:t>
      </w:r>
    </w:p>
    <w:p w14:paraId="400466ED">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在组合室体上的供风进风管上设有厂房内进风和厂房外进风的复合自控阀门，复合风阀来控制、调节进风量。冬季运行进风配比，确保厂房内温度，节省能源（手动控制，锁定机构可靠，风量控制准确）。</w:t>
      </w:r>
    </w:p>
    <w:p w14:paraId="3CF9C6FB">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过滤两侧设有检测过滤层的压差计。</w:t>
      </w:r>
    </w:p>
    <w:p w14:paraId="72740CF5">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过滤、供排风机组合室体设有带手柄密封压严的门，确保密封。</w:t>
      </w:r>
    </w:p>
    <w:p w14:paraId="76F3E482">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供排风机设有安全保护联锁故障信号。</w:t>
      </w:r>
    </w:p>
    <w:p w14:paraId="188D2E3C">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内置风机采用装配方式，要求叶轮便于拆装和维护，电机吊装在风机轴下，且电机和风机之间的轴距可调。</w:t>
      </w:r>
    </w:p>
    <w:p w14:paraId="6CAEE0D6">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风机与电机传动轮要设装配式的安全保护罩，要求传动轮采用便于拆卸的结构。</w:t>
      </w:r>
    </w:p>
    <w:p w14:paraId="171F4D4A">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室体壁板及外护板，风管等采用镀锌钢板，其它骨架类零件采用碳钢。</w:t>
      </w:r>
    </w:p>
    <w:p w14:paraId="074C3F2C">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烘干室/强冷室钢平台设有平钢板台面、栏杆、踢脚板和带扶手的40～45 度的梯子，涂一道防锈底漆和两道面漆，颜色另定。</w:t>
      </w:r>
    </w:p>
    <w:p w14:paraId="63000F03">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强冷室及组合室体壁板与壁板相连接无缝隙，不漏风，在安装时两板之间涂上不含硅酮的密封胶，确保室体的密封。</w:t>
      </w:r>
    </w:p>
    <w:p w14:paraId="2BB124A0">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强冷室不允许向烘干室内窜风，确保风量平衡。</w:t>
      </w:r>
    </w:p>
    <w:p w14:paraId="3868EAA9">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强冷室与烘干室连接处顶部要求不得有冷凝物（油滴或滴油）。</w:t>
      </w:r>
    </w:p>
    <w:p w14:paraId="06E5BCA9">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强冷室风嘴布置要求行与行之间交错布置。</w:t>
      </w:r>
    </w:p>
    <w:p w14:paraId="388A642F">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内置风嘴可调任意角度（吹嘴可在360°圆角做偏移角15°内的圆周调节）。</w:t>
      </w:r>
      <w:bookmarkEnd w:id="112"/>
      <w:bookmarkStart w:id="119" w:name="_Toc289088155"/>
    </w:p>
    <w:p w14:paraId="39357121">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水性漆强冷室其他技术要求：</w:t>
      </w:r>
    </w:p>
    <w:p w14:paraId="0C048BE2">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 xml:space="preserve">水性漆的强冷室设表冷器，供给表冷器的冷源是厂房制冷站提供冷冻水。 </w:t>
      </w:r>
    </w:p>
    <w:p w14:paraId="1DEC1508">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强冷室采用新风+表冷器的方式送风。</w:t>
      </w:r>
    </w:p>
    <w:p w14:paraId="15BF3101">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管路与表冷器的连接法兰及螺栓采用不锈钢材质，防止冷凝水使其生绣。</w:t>
      </w:r>
    </w:p>
    <w:p w14:paraId="204B790F">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表冷器下设有不锈钢翻边制成的接水盘，带坡度接水盘最低点设有排水管，坡度及管要满足冷凝水能及时排出，防止水满后溢到强冷室顶部，排水管要接到污水管网。</w:t>
      </w:r>
    </w:p>
    <w:p w14:paraId="63010B49">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通过自动调节出水管上的截止阀控制供水量，从而控制温度。</w:t>
      </w:r>
    </w:p>
    <w:p w14:paraId="17C30571">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表冷器的冷源为冷水， 管路外表面做防锈层后表面全涂胶做30mm厚橡塑保温层。</w:t>
      </w:r>
    </w:p>
    <w:p w14:paraId="1FCAFBDF">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在冷风出口处设置现场温度指示表，为操作人员调节阀门温度做参考。</w:t>
      </w:r>
    </w:p>
    <w:p w14:paraId="68725902">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强冷室排风从室体两侧上部抽出 。</w:t>
      </w:r>
    </w:p>
    <w:p w14:paraId="59EA4EB6">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强冷室端头与喷漆室过渡的壁板相连并要密封。</w:t>
      </w:r>
    </w:p>
    <w:p w14:paraId="28F48F7E">
      <w:pPr>
        <w:pStyle w:val="17"/>
        <w:pageBreakBefore w:val="0"/>
        <w:widowControl/>
        <w:numPr>
          <w:ilvl w:val="0"/>
          <w:numId w:val="104"/>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强冷室在生产时处于微正压。</w:t>
      </w:r>
    </w:p>
    <w:p w14:paraId="050CAB73">
      <w:pPr>
        <w:pStyle w:val="17"/>
        <w:pageBreakBefore w:val="0"/>
        <w:widowControl/>
        <w:numPr>
          <w:ilvl w:val="0"/>
          <w:numId w:val="10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bookmarkStart w:id="120" w:name="_Toc435620287"/>
      <w:r>
        <w:rPr>
          <w:rFonts w:hint="eastAsia" w:ascii="宋体" w:hAnsi="宋体" w:eastAsia="宋体" w:cs="宋体"/>
          <w:color w:val="000000"/>
        </w:rPr>
        <w:t>特别说明</w:t>
      </w:r>
      <w:bookmarkEnd w:id="119"/>
      <w:bookmarkEnd w:id="120"/>
      <w:r>
        <w:rPr>
          <w:rFonts w:hint="eastAsia" w:ascii="宋体" w:hAnsi="宋体" w:eastAsia="宋体" w:cs="宋体"/>
          <w:color w:val="000000"/>
        </w:rPr>
        <w:t>：</w:t>
      </w:r>
    </w:p>
    <w:p w14:paraId="302F57BD">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招标人</w:t>
      </w:r>
      <w:r>
        <w:rPr>
          <w:rFonts w:hint="eastAsia" w:ascii="宋体" w:hAnsi="宋体" w:eastAsia="宋体" w:cs="宋体"/>
          <w:color w:val="000000"/>
        </w:rPr>
        <w:t>保留对所有类别的设备（包括过滤器等）和材料的最终选择权利。</w:t>
      </w:r>
    </w:p>
    <w:p w14:paraId="456343E1">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要提交一份空气流动图，并指出烘房气流是平衡的。引入到烘房的气体（包括新鲜空气、燃烧气体、燃烧产生的空气和烘房开口进入的空气）总量和排出的气体总量应当是相等的。空气流动图也应当包含烘房的净化时间表。</w:t>
      </w:r>
    </w:p>
    <w:p w14:paraId="17298E68">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烘房内的空气应能在1min内实现3～5次循环应提交烘房的循环计算并将其包含在烘房的气流图表中。</w:t>
      </w:r>
    </w:p>
    <w:p w14:paraId="29FFE5C9">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为了产品弹性需要，烘房内部应当留有充分的余地，烘房功率等各项指标应当比所要求的高出大约10%，以支持未来的产品需要。</w:t>
      </w:r>
    </w:p>
    <w:p w14:paraId="5D5BFBEA">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烘干炉内任何区域的溶剂的浓度应小于其最低爆炸极限的25%。</w:t>
      </w:r>
    </w:p>
    <w:p w14:paraId="625FFB07">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在进行所有的设计时，应当考虑到烘房、风管、区域加热器、钢结构及所有焊缝之间的膨胀问题，烘房膨胀接合点应是不漏气的，使用较长的寿命而无须维护；</w:t>
      </w:r>
      <w:r>
        <w:rPr>
          <w:rFonts w:hint="eastAsia" w:ascii="宋体" w:hAnsi="宋体" w:cs="宋体"/>
          <w:color w:val="000000"/>
          <w:lang w:eastAsia="zh-CN"/>
        </w:rPr>
        <w:t>投标人</w:t>
      </w:r>
      <w:r>
        <w:rPr>
          <w:rFonts w:hint="eastAsia" w:ascii="宋体" w:hAnsi="宋体" w:eastAsia="宋体" w:cs="宋体"/>
          <w:color w:val="000000"/>
        </w:rPr>
        <w:t>应提交详细循环风管的连接图纸给</w:t>
      </w:r>
      <w:r>
        <w:rPr>
          <w:rFonts w:hint="eastAsia" w:ascii="宋体" w:hAnsi="宋体" w:cs="宋体"/>
          <w:color w:val="000000"/>
          <w:lang w:eastAsia="zh-CN"/>
        </w:rPr>
        <w:t>招标人</w:t>
      </w:r>
      <w:r>
        <w:rPr>
          <w:rFonts w:hint="eastAsia" w:ascii="宋体" w:hAnsi="宋体" w:eastAsia="宋体" w:cs="宋体"/>
          <w:color w:val="000000"/>
        </w:rPr>
        <w:t>，附加金属的膨胀计算。</w:t>
      </w:r>
    </w:p>
    <w:p w14:paraId="56EE71BB">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应提供烘房必须的设备烘道和维修平台，所有的烘道、维修平台、楼梯、栏杆、梯子等，都将符合</w:t>
      </w:r>
      <w:r>
        <w:rPr>
          <w:rFonts w:hint="eastAsia" w:ascii="宋体" w:hAnsi="宋体" w:cs="宋体"/>
          <w:color w:val="000000"/>
          <w:lang w:eastAsia="zh-CN"/>
        </w:rPr>
        <w:t>招标人</w:t>
      </w:r>
      <w:r>
        <w:rPr>
          <w:rFonts w:hint="eastAsia" w:ascii="宋体" w:hAnsi="宋体" w:eastAsia="宋体" w:cs="宋体"/>
          <w:color w:val="000000"/>
        </w:rPr>
        <w:t>标准。</w:t>
      </w:r>
    </w:p>
    <w:p w14:paraId="42C33305">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对于设备安装和调试阶段的特殊需求，</w:t>
      </w:r>
      <w:r>
        <w:rPr>
          <w:rFonts w:hint="eastAsia" w:ascii="宋体" w:hAnsi="宋体" w:cs="宋体"/>
          <w:color w:val="000000"/>
          <w:lang w:eastAsia="zh-CN"/>
        </w:rPr>
        <w:t>投标人</w:t>
      </w:r>
      <w:r>
        <w:rPr>
          <w:rFonts w:hint="eastAsia" w:ascii="宋体" w:hAnsi="宋体" w:eastAsia="宋体" w:cs="宋体"/>
          <w:color w:val="000000"/>
        </w:rPr>
        <w:t>应充分考虑，提出建议并与</w:t>
      </w:r>
      <w:r>
        <w:rPr>
          <w:rFonts w:hint="eastAsia" w:ascii="宋体" w:hAnsi="宋体" w:cs="宋体"/>
          <w:color w:val="000000"/>
          <w:lang w:eastAsia="zh-CN"/>
        </w:rPr>
        <w:t>招标人</w:t>
      </w:r>
      <w:r>
        <w:rPr>
          <w:rFonts w:hint="eastAsia" w:ascii="宋体" w:hAnsi="宋体" w:eastAsia="宋体" w:cs="宋体"/>
          <w:color w:val="000000"/>
        </w:rPr>
        <w:t>讨论确认。</w:t>
      </w:r>
    </w:p>
    <w:p w14:paraId="32456298">
      <w:pPr>
        <w:pStyle w:val="17"/>
        <w:pageBreakBefore w:val="0"/>
        <w:widowControl/>
        <w:numPr>
          <w:ilvl w:val="0"/>
          <w:numId w:val="105"/>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当设备安装调试完毕，生产正常，满足整个项目的</w:t>
      </w:r>
      <w:r>
        <w:rPr>
          <w:rFonts w:hint="eastAsia" w:ascii="宋体" w:hAnsi="宋体" w:cs="宋体"/>
          <w:color w:val="000000"/>
          <w:lang w:val="en-US" w:eastAsia="zh-CN"/>
        </w:rPr>
        <w:t>调试验收</w:t>
      </w:r>
      <w:r>
        <w:rPr>
          <w:rFonts w:hint="eastAsia" w:ascii="宋体" w:hAnsi="宋体" w:eastAsia="宋体" w:cs="宋体"/>
          <w:color w:val="000000"/>
        </w:rPr>
        <w:t>条件，可进行烘干炉设备终验，报告至少包括以下各点：</w:t>
      </w:r>
    </w:p>
    <w:p w14:paraId="5E5461D7">
      <w:pPr>
        <w:pStyle w:val="3"/>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bookmarkStart w:id="121" w:name="_Toc2256_WPSOffice_Level2"/>
      <w:bookmarkStart w:id="122" w:name="_Toc20535_WPSOffice_Level2"/>
      <w:r>
        <w:rPr>
          <w:rFonts w:hint="eastAsia" w:ascii="宋体" w:hAnsi="宋体" w:eastAsia="宋体" w:cs="宋体"/>
          <w:b/>
          <w:bCs/>
          <w:sz w:val="24"/>
          <w:szCs w:val="24"/>
        </w:rPr>
        <w:t>（</w:t>
      </w:r>
      <w:r>
        <w:rPr>
          <w:rFonts w:hint="eastAsia" w:ascii="宋体" w:hAnsi="宋体" w:eastAsia="宋体" w:cs="宋体"/>
          <w:b/>
          <w:bCs/>
          <w:sz w:val="24"/>
          <w:szCs w:val="24"/>
          <w:lang w:eastAsia="zh-CN"/>
        </w:rPr>
        <w:t>五</w:t>
      </w:r>
      <w:r>
        <w:rPr>
          <w:rFonts w:hint="eastAsia" w:ascii="宋体" w:hAnsi="宋体" w:eastAsia="宋体" w:cs="宋体"/>
          <w:b/>
          <w:bCs/>
          <w:sz w:val="24"/>
          <w:szCs w:val="24"/>
        </w:rPr>
        <w:t>）、斜钢梯</w:t>
      </w:r>
      <w:bookmarkEnd w:id="121"/>
      <w:bookmarkEnd w:id="122"/>
      <w:r>
        <w:rPr>
          <w:rFonts w:hint="eastAsia" w:ascii="宋体" w:hAnsi="宋体" w:eastAsia="宋体" w:cs="宋体"/>
          <w:b/>
          <w:bCs/>
          <w:sz w:val="24"/>
          <w:szCs w:val="24"/>
        </w:rPr>
        <w:t>技术任务书</w:t>
      </w:r>
    </w:p>
    <w:p w14:paraId="1996ED71">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一、要求</w:t>
      </w:r>
    </w:p>
    <w:p w14:paraId="48BCCC7F">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钢梯制作数量按照平面设计图为准。</w:t>
      </w:r>
    </w:p>
    <w:p w14:paraId="1F01B1E3">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钢斜梯采用钢材的力学性能应不低于Q235-B。</w:t>
      </w:r>
    </w:p>
    <w:p w14:paraId="23FEB4FA">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themeColor="text1"/>
          <w14:textFill>
            <w14:solidFill>
              <w14:schemeClr w14:val="tx1"/>
            </w14:solidFill>
          </w14:textFill>
        </w:rPr>
        <w:t>固定式钢斜梯</w:t>
      </w:r>
      <w:r>
        <w:rPr>
          <w:rFonts w:hint="eastAsia" w:ascii="宋体" w:hAnsi="宋体" w:eastAsia="宋体" w:cs="宋体"/>
          <w:color w:val="000000"/>
        </w:rPr>
        <w:t>与水平面的倾角应在30°～50°范围内。优选倾角为30°～35°。</w:t>
      </w:r>
    </w:p>
    <w:p w14:paraId="6A3786B7">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钢斜梯梯梁：宜采用槽钢，槽钢规格≥[12.6。</w:t>
      </w:r>
    </w:p>
    <w:p w14:paraId="60574F2E">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梯高：梯高宜≤3 m，＞3 m时宜设梯间平台（休息平台），分段设梯。</w:t>
      </w:r>
    </w:p>
    <w:p w14:paraId="5F63C0EF">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通行净宽度为</w:t>
      </w:r>
      <w:r>
        <w:rPr>
          <w:rFonts w:hint="eastAsia" w:ascii="宋体" w:hAnsi="宋体" w:eastAsia="宋体" w:cs="宋体"/>
          <w:color w:val="000000" w:themeColor="text1"/>
          <w14:textFill>
            <w14:solidFill>
              <w14:schemeClr w14:val="tx1"/>
            </w14:solidFill>
          </w14:textFill>
        </w:rPr>
        <w:t>1 000 mm</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themeColor="text1"/>
          <w:lang w:val="en-US" w:eastAsia="zh-CN"/>
          <w14:textFill>
            <w14:solidFill>
              <w14:schemeClr w14:val="tx1"/>
            </w14:solidFill>
          </w14:textFill>
        </w:rPr>
        <w:t>具体以图纸为准</w:t>
      </w:r>
      <w:r>
        <w:rPr>
          <w:rFonts w:hint="eastAsia" w:ascii="宋体" w:hAnsi="宋体" w:eastAsia="宋体" w:cs="宋体"/>
          <w:color w:val="000000" w:themeColor="text1"/>
          <w:lang w:eastAsia="zh-CN"/>
          <w14:textFill>
            <w14:solidFill>
              <w14:schemeClr w14:val="tx1"/>
            </w14:solidFill>
          </w14:textFill>
        </w:rPr>
        <w:t>）</w:t>
      </w:r>
      <w:r>
        <w:rPr>
          <w:rFonts w:hint="eastAsia" w:ascii="宋体" w:hAnsi="宋体" w:eastAsia="宋体" w:cs="宋体"/>
          <w:color w:val="000000"/>
        </w:rPr>
        <w:t>。</w:t>
      </w:r>
    </w:p>
    <w:p w14:paraId="50DB5B63">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踏板相邻两踏板的前后方向重叠应10 mm～35 mm，踏板宽度宜为200 mm～280 mm。</w:t>
      </w:r>
    </w:p>
    <w:p w14:paraId="6B88DD1A">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在同一梯段所有踏板间距应相同，顶部踏板的上表面应与平台平面一致，踏板与平台应无空隙</w:t>
      </w:r>
    </w:p>
    <w:p w14:paraId="7CAAFDD8">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踏板应采用厚度镀锌格栅板，底部设平钢板，确保灰尘顺着斜梯方向聚集与底部，便于清扫。</w:t>
      </w:r>
    </w:p>
    <w:p w14:paraId="0CA7644A">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钢梯应采用焊接连接，焊接要求符合GB50205-2020的规定。安装后的钢梯及附件不应有扭曲、变形等其他缺陷，并保证表面光滑、无毛刺、无锐边、尖角等缺陷。</w:t>
      </w:r>
    </w:p>
    <w:p w14:paraId="76EA8BD4">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钢梯安装结束后，应至少涂两道底漆和两道面漆，厚度大于120um。</w:t>
      </w:r>
    </w:p>
    <w:p w14:paraId="49DE15CD">
      <w:pPr>
        <w:pStyle w:val="17"/>
        <w:pageBreakBefore w:val="0"/>
        <w:numPr>
          <w:ilvl w:val="0"/>
          <w:numId w:val="106"/>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钢梯双侧配有扶手，扶手高度不低于1050mm，扶手使用圆钢制作，连接处需打磨平整，转弯处为R角连接方式，保证圆滑过渡，扶手制作需要符合国家规范要求。</w:t>
      </w:r>
    </w:p>
    <w:p w14:paraId="0D86B431">
      <w:pPr>
        <w:pStyle w:val="2"/>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rPr>
      </w:pPr>
      <w:bookmarkStart w:id="123" w:name="_Toc8988"/>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、培训</w:t>
      </w:r>
      <w:bookmarkEnd w:id="123"/>
      <w:r>
        <w:rPr>
          <w:rFonts w:hint="eastAsia" w:ascii="宋体" w:hAnsi="宋体" w:eastAsia="宋体" w:cs="宋体"/>
        </w:rPr>
        <w:t xml:space="preserve"> </w:t>
      </w:r>
    </w:p>
    <w:p w14:paraId="3645C471">
      <w:pPr>
        <w:pStyle w:val="17"/>
        <w:pageBreakBefore w:val="0"/>
        <w:numPr>
          <w:ilvl w:val="0"/>
          <w:numId w:val="10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b/>
          <w:color w:val="000000"/>
        </w:rPr>
      </w:pPr>
      <w:r>
        <w:rPr>
          <w:rFonts w:hint="eastAsia" w:ascii="宋体" w:hAnsi="宋体" w:eastAsia="宋体" w:cs="宋体"/>
          <w:color w:val="000000"/>
        </w:rPr>
        <w:t>在培训开始2周前，提供所有培训课程教材和培训计划，其他培训都在</w:t>
      </w:r>
      <w:r>
        <w:rPr>
          <w:rFonts w:hint="eastAsia" w:ascii="宋体" w:hAnsi="宋体" w:cs="宋体"/>
          <w:color w:val="000000"/>
          <w:lang w:eastAsia="zh-CN"/>
        </w:rPr>
        <w:t>招标人</w:t>
      </w:r>
      <w:r>
        <w:rPr>
          <w:rFonts w:hint="eastAsia" w:ascii="宋体" w:hAnsi="宋体" w:eastAsia="宋体" w:cs="宋体"/>
          <w:color w:val="000000"/>
        </w:rPr>
        <w:t>车间现场及培训教室。培训效果要求实际操作和理论试卷确认，双方共同讨论测试课题，</w:t>
      </w:r>
      <w:r>
        <w:rPr>
          <w:rFonts w:hint="eastAsia" w:ascii="宋体" w:hAnsi="宋体" w:cs="宋体"/>
          <w:color w:val="000000"/>
          <w:lang w:eastAsia="zh-CN"/>
        </w:rPr>
        <w:t>招标人</w:t>
      </w:r>
      <w:r>
        <w:rPr>
          <w:rFonts w:hint="eastAsia" w:ascii="宋体" w:hAnsi="宋体" w:eastAsia="宋体" w:cs="宋体"/>
          <w:color w:val="000000"/>
        </w:rPr>
        <w:t>员工需达到独立操作、维护、保养设备，机械部件更换，PLC 编程组态及排除故障等。</w:t>
      </w:r>
    </w:p>
    <w:p w14:paraId="62458DE0">
      <w:pPr>
        <w:pStyle w:val="17"/>
        <w:pageBreakBefore w:val="0"/>
        <w:numPr>
          <w:ilvl w:val="0"/>
          <w:numId w:val="108"/>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具体的培训清单如下：</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45"/>
        <w:gridCol w:w="1355"/>
        <w:gridCol w:w="3798"/>
        <w:gridCol w:w="908"/>
        <w:gridCol w:w="1433"/>
        <w:gridCol w:w="1315"/>
      </w:tblGrid>
      <w:tr w14:paraId="09B27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90" w:hRule="atLeast"/>
          <w:jc w:val="center"/>
        </w:trPr>
        <w:tc>
          <w:tcPr>
            <w:tcW w:w="341" w:type="pct"/>
            <w:shd w:val="clear" w:color="auto" w:fill="auto"/>
            <w:tcMar>
              <w:top w:w="15" w:type="dxa"/>
              <w:left w:w="15" w:type="dxa"/>
              <w:bottom w:w="0" w:type="dxa"/>
              <w:right w:w="15" w:type="dxa"/>
            </w:tcMar>
            <w:vAlign w:val="center"/>
          </w:tcPr>
          <w:p w14:paraId="580A1F7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716" w:type="pct"/>
            <w:shd w:val="clear" w:color="auto" w:fill="auto"/>
            <w:tcMar>
              <w:top w:w="15" w:type="dxa"/>
              <w:left w:w="15" w:type="dxa"/>
              <w:bottom w:w="0" w:type="dxa"/>
              <w:right w:w="15" w:type="dxa"/>
            </w:tcMar>
            <w:vAlign w:val="center"/>
          </w:tcPr>
          <w:p w14:paraId="66C713D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培训项目</w:t>
            </w:r>
          </w:p>
        </w:tc>
        <w:tc>
          <w:tcPr>
            <w:tcW w:w="2007" w:type="pct"/>
            <w:shd w:val="clear" w:color="auto" w:fill="auto"/>
            <w:tcMar>
              <w:top w:w="15" w:type="dxa"/>
              <w:left w:w="15" w:type="dxa"/>
              <w:bottom w:w="0" w:type="dxa"/>
              <w:right w:w="15" w:type="dxa"/>
            </w:tcMar>
            <w:vAlign w:val="center"/>
          </w:tcPr>
          <w:p w14:paraId="66AA7B3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培训内容</w:t>
            </w:r>
          </w:p>
        </w:tc>
        <w:tc>
          <w:tcPr>
            <w:tcW w:w="480" w:type="pct"/>
            <w:shd w:val="clear" w:color="auto" w:fill="auto"/>
            <w:tcMar>
              <w:top w:w="15" w:type="dxa"/>
              <w:left w:w="15" w:type="dxa"/>
              <w:bottom w:w="0" w:type="dxa"/>
              <w:right w:w="15" w:type="dxa"/>
            </w:tcMar>
            <w:vAlign w:val="center"/>
          </w:tcPr>
          <w:p w14:paraId="78990A2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课时</w:t>
            </w:r>
          </w:p>
        </w:tc>
        <w:tc>
          <w:tcPr>
            <w:tcW w:w="757" w:type="pct"/>
            <w:shd w:val="clear" w:color="auto" w:fill="auto"/>
            <w:tcMar>
              <w:top w:w="15" w:type="dxa"/>
              <w:left w:w="15" w:type="dxa"/>
              <w:bottom w:w="0" w:type="dxa"/>
              <w:right w:w="15" w:type="dxa"/>
            </w:tcMar>
            <w:vAlign w:val="center"/>
          </w:tcPr>
          <w:p w14:paraId="422BFA2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培训时间</w:t>
            </w:r>
          </w:p>
        </w:tc>
        <w:tc>
          <w:tcPr>
            <w:tcW w:w="695" w:type="pct"/>
            <w:shd w:val="clear" w:color="auto" w:fill="auto"/>
          </w:tcPr>
          <w:p w14:paraId="2E5FB61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r>
              <w:rPr>
                <w:rFonts w:hint="eastAsia" w:ascii="宋体" w:hAnsi="宋体" w:eastAsia="宋体" w:cs="宋体"/>
                <w:bCs/>
                <w:color w:val="000000"/>
                <w:sz w:val="24"/>
                <w:szCs w:val="24"/>
              </w:rPr>
              <w:t>培训对象</w:t>
            </w:r>
          </w:p>
        </w:tc>
      </w:tr>
      <w:tr w14:paraId="1C92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15" w:hRule="atLeast"/>
          <w:jc w:val="center"/>
        </w:trPr>
        <w:tc>
          <w:tcPr>
            <w:tcW w:w="341" w:type="pct"/>
            <w:shd w:val="clear" w:color="auto" w:fill="auto"/>
            <w:tcMar>
              <w:top w:w="15" w:type="dxa"/>
              <w:left w:w="15" w:type="dxa"/>
              <w:bottom w:w="0" w:type="dxa"/>
              <w:right w:w="15" w:type="dxa"/>
            </w:tcMar>
            <w:vAlign w:val="center"/>
          </w:tcPr>
          <w:p w14:paraId="708AB21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716" w:type="pct"/>
            <w:shd w:val="clear" w:color="auto" w:fill="auto"/>
            <w:tcMar>
              <w:top w:w="15" w:type="dxa"/>
              <w:left w:w="15" w:type="dxa"/>
              <w:bottom w:w="0" w:type="dxa"/>
              <w:right w:w="15" w:type="dxa"/>
            </w:tcMar>
            <w:vAlign w:val="center"/>
          </w:tcPr>
          <w:p w14:paraId="73B0300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设备使用说明书</w:t>
            </w:r>
          </w:p>
        </w:tc>
        <w:tc>
          <w:tcPr>
            <w:tcW w:w="2007" w:type="pct"/>
            <w:shd w:val="clear" w:color="auto" w:fill="auto"/>
            <w:tcMar>
              <w:top w:w="15" w:type="dxa"/>
              <w:left w:w="15" w:type="dxa"/>
              <w:bottom w:w="0" w:type="dxa"/>
              <w:right w:w="15" w:type="dxa"/>
            </w:tcMar>
            <w:vAlign w:val="center"/>
          </w:tcPr>
          <w:p w14:paraId="74FE5C7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设备安全操作、点检、保养、润滑、一般故障处理等</w:t>
            </w:r>
          </w:p>
        </w:tc>
        <w:tc>
          <w:tcPr>
            <w:tcW w:w="480" w:type="pct"/>
            <w:shd w:val="clear" w:color="auto" w:fill="auto"/>
            <w:tcMar>
              <w:top w:w="15" w:type="dxa"/>
              <w:left w:w="15" w:type="dxa"/>
              <w:bottom w:w="0" w:type="dxa"/>
              <w:right w:w="15" w:type="dxa"/>
            </w:tcMar>
            <w:vAlign w:val="center"/>
          </w:tcPr>
          <w:p w14:paraId="2F087A3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shd w:val="clear" w:color="auto" w:fill="auto"/>
            <w:tcMar>
              <w:top w:w="15" w:type="dxa"/>
              <w:left w:w="15" w:type="dxa"/>
              <w:bottom w:w="0" w:type="dxa"/>
              <w:right w:w="15" w:type="dxa"/>
            </w:tcMar>
            <w:vAlign w:val="center"/>
          </w:tcPr>
          <w:p w14:paraId="7E82D92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设备安装调试结束后2个月之内</w:t>
            </w:r>
          </w:p>
        </w:tc>
        <w:tc>
          <w:tcPr>
            <w:tcW w:w="695" w:type="pct"/>
            <w:shd w:val="clear" w:color="auto" w:fill="auto"/>
            <w:vAlign w:val="center"/>
          </w:tcPr>
          <w:p w14:paraId="3458F1F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操作工、维修工、技师、设备工程师</w:t>
            </w:r>
          </w:p>
        </w:tc>
      </w:tr>
      <w:tr w14:paraId="13C1E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99" w:hRule="atLeast"/>
          <w:jc w:val="center"/>
        </w:trPr>
        <w:tc>
          <w:tcPr>
            <w:tcW w:w="341" w:type="pct"/>
            <w:shd w:val="clear" w:color="auto" w:fill="auto"/>
            <w:tcMar>
              <w:top w:w="15" w:type="dxa"/>
              <w:left w:w="15" w:type="dxa"/>
              <w:bottom w:w="0" w:type="dxa"/>
              <w:right w:w="15" w:type="dxa"/>
            </w:tcMar>
            <w:vAlign w:val="center"/>
          </w:tcPr>
          <w:p w14:paraId="60AD148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716" w:type="pct"/>
            <w:shd w:val="clear" w:color="auto" w:fill="auto"/>
            <w:tcMar>
              <w:top w:w="15" w:type="dxa"/>
              <w:left w:w="15" w:type="dxa"/>
              <w:bottom w:w="0" w:type="dxa"/>
              <w:right w:w="15" w:type="dxa"/>
            </w:tcMar>
            <w:vAlign w:val="center"/>
          </w:tcPr>
          <w:p w14:paraId="7A44647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电气培训</w:t>
            </w:r>
          </w:p>
        </w:tc>
        <w:tc>
          <w:tcPr>
            <w:tcW w:w="2007" w:type="pct"/>
            <w:shd w:val="clear" w:color="auto" w:fill="auto"/>
            <w:tcMar>
              <w:top w:w="15" w:type="dxa"/>
              <w:left w:w="15" w:type="dxa"/>
              <w:bottom w:w="0" w:type="dxa"/>
              <w:right w:w="15" w:type="dxa"/>
            </w:tcMar>
            <w:vAlign w:val="center"/>
          </w:tcPr>
          <w:p w14:paraId="54F6183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1、PLC基础知识；</w:t>
            </w:r>
          </w:p>
          <w:p w14:paraId="4806AA3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2、编程软件使用，硬件组态；</w:t>
            </w:r>
          </w:p>
          <w:p w14:paraId="08F9638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3、程序修改及编程，常用指令使用</w:t>
            </w:r>
          </w:p>
        </w:tc>
        <w:tc>
          <w:tcPr>
            <w:tcW w:w="480" w:type="pct"/>
            <w:shd w:val="clear" w:color="auto" w:fill="auto"/>
            <w:tcMar>
              <w:top w:w="15" w:type="dxa"/>
              <w:left w:w="15" w:type="dxa"/>
              <w:bottom w:w="0" w:type="dxa"/>
              <w:right w:w="15" w:type="dxa"/>
            </w:tcMar>
            <w:vAlign w:val="center"/>
          </w:tcPr>
          <w:p w14:paraId="58815C4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40h</w:t>
            </w:r>
          </w:p>
        </w:tc>
        <w:tc>
          <w:tcPr>
            <w:tcW w:w="757" w:type="pct"/>
            <w:shd w:val="clear" w:color="auto" w:fill="auto"/>
            <w:tcMar>
              <w:top w:w="15" w:type="dxa"/>
              <w:left w:w="15" w:type="dxa"/>
              <w:bottom w:w="0" w:type="dxa"/>
              <w:right w:w="15" w:type="dxa"/>
            </w:tcMar>
            <w:vAlign w:val="center"/>
          </w:tcPr>
          <w:p w14:paraId="73D018D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设备进厂期间</w:t>
            </w:r>
          </w:p>
        </w:tc>
        <w:tc>
          <w:tcPr>
            <w:tcW w:w="695" w:type="pct"/>
            <w:vMerge w:val="restart"/>
            <w:shd w:val="clear" w:color="auto" w:fill="auto"/>
            <w:vAlign w:val="center"/>
          </w:tcPr>
          <w:p w14:paraId="73D0A10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维修技师、设备工程师</w:t>
            </w:r>
          </w:p>
        </w:tc>
      </w:tr>
      <w:tr w14:paraId="1171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1442" w:hRule="atLeast"/>
          <w:jc w:val="center"/>
        </w:trPr>
        <w:tc>
          <w:tcPr>
            <w:tcW w:w="341" w:type="pct"/>
            <w:shd w:val="clear" w:color="auto" w:fill="auto"/>
            <w:tcMar>
              <w:top w:w="15" w:type="dxa"/>
              <w:left w:w="15" w:type="dxa"/>
              <w:bottom w:w="0" w:type="dxa"/>
              <w:right w:w="15" w:type="dxa"/>
            </w:tcMar>
            <w:vAlign w:val="center"/>
          </w:tcPr>
          <w:p w14:paraId="5012B54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716" w:type="pct"/>
            <w:vMerge w:val="restart"/>
            <w:shd w:val="clear" w:color="auto" w:fill="auto"/>
            <w:tcMar>
              <w:top w:w="15" w:type="dxa"/>
              <w:left w:w="15" w:type="dxa"/>
              <w:bottom w:w="0" w:type="dxa"/>
              <w:right w:w="15" w:type="dxa"/>
            </w:tcMar>
            <w:vAlign w:val="center"/>
          </w:tcPr>
          <w:p w14:paraId="2ACD6E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电气现场培训</w:t>
            </w:r>
          </w:p>
        </w:tc>
        <w:tc>
          <w:tcPr>
            <w:tcW w:w="2007" w:type="pct"/>
            <w:shd w:val="clear" w:color="auto" w:fill="auto"/>
            <w:tcMar>
              <w:top w:w="15" w:type="dxa"/>
              <w:left w:w="15" w:type="dxa"/>
              <w:bottom w:w="0" w:type="dxa"/>
              <w:right w:w="15" w:type="dxa"/>
            </w:tcMar>
            <w:vAlign w:val="center"/>
          </w:tcPr>
          <w:p w14:paraId="36F0188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1、PLC程序上传下载步骤；</w:t>
            </w:r>
          </w:p>
          <w:p w14:paraId="1D75B34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2、各区域程序结构、控制逻辑；</w:t>
            </w:r>
          </w:p>
          <w:p w14:paraId="624E317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3、网络故障查找步骤方法；</w:t>
            </w:r>
          </w:p>
          <w:p w14:paraId="6649460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4、日常使用注意事项</w:t>
            </w:r>
          </w:p>
        </w:tc>
        <w:tc>
          <w:tcPr>
            <w:tcW w:w="480" w:type="pct"/>
            <w:shd w:val="clear" w:color="auto" w:fill="auto"/>
            <w:tcMar>
              <w:top w:w="15" w:type="dxa"/>
              <w:left w:w="15" w:type="dxa"/>
              <w:bottom w:w="0" w:type="dxa"/>
              <w:right w:w="15" w:type="dxa"/>
            </w:tcMar>
            <w:vAlign w:val="center"/>
          </w:tcPr>
          <w:p w14:paraId="0B91610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40h</w:t>
            </w:r>
          </w:p>
        </w:tc>
        <w:tc>
          <w:tcPr>
            <w:tcW w:w="757" w:type="pct"/>
            <w:shd w:val="clear" w:color="auto" w:fill="auto"/>
            <w:tcMar>
              <w:top w:w="15" w:type="dxa"/>
              <w:left w:w="15" w:type="dxa"/>
              <w:bottom w:w="0" w:type="dxa"/>
              <w:right w:w="15" w:type="dxa"/>
            </w:tcMar>
            <w:vAlign w:val="center"/>
          </w:tcPr>
          <w:p w14:paraId="3B59753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w:t>
            </w:r>
            <w:r>
              <w:rPr>
                <w:rFonts w:hint="eastAsia" w:ascii="宋体" w:hAnsi="宋体" w:eastAsia="宋体" w:cs="宋体"/>
                <w:color w:val="000000"/>
                <w:sz w:val="24"/>
                <w:szCs w:val="24"/>
                <w:lang w:eastAsia="zh-CN"/>
              </w:rPr>
              <w:t>调试验收</w:t>
            </w:r>
            <w:r>
              <w:rPr>
                <w:rFonts w:hint="eastAsia" w:ascii="宋体" w:hAnsi="宋体" w:eastAsia="宋体" w:cs="宋体"/>
                <w:color w:val="000000"/>
                <w:sz w:val="24"/>
                <w:szCs w:val="24"/>
              </w:rPr>
              <w:t>前</w:t>
            </w:r>
          </w:p>
        </w:tc>
        <w:tc>
          <w:tcPr>
            <w:tcW w:w="695" w:type="pct"/>
            <w:vMerge w:val="continue"/>
            <w:shd w:val="clear" w:color="auto" w:fill="auto"/>
            <w:vAlign w:val="center"/>
          </w:tcPr>
          <w:p w14:paraId="2A3A715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2701F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9" w:hRule="atLeast"/>
          <w:jc w:val="center"/>
        </w:trPr>
        <w:tc>
          <w:tcPr>
            <w:tcW w:w="341" w:type="pct"/>
            <w:shd w:val="clear" w:color="auto" w:fill="auto"/>
            <w:tcMar>
              <w:top w:w="15" w:type="dxa"/>
              <w:left w:w="15" w:type="dxa"/>
              <w:bottom w:w="0" w:type="dxa"/>
              <w:right w:w="15" w:type="dxa"/>
            </w:tcMar>
            <w:vAlign w:val="center"/>
          </w:tcPr>
          <w:p w14:paraId="6FA6B13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716" w:type="pct"/>
            <w:vMerge w:val="continue"/>
            <w:shd w:val="clear" w:color="auto" w:fill="auto"/>
            <w:tcMar>
              <w:top w:w="15" w:type="dxa"/>
              <w:left w:w="15" w:type="dxa"/>
              <w:bottom w:w="0" w:type="dxa"/>
              <w:right w:w="15" w:type="dxa"/>
            </w:tcMar>
            <w:vAlign w:val="center"/>
          </w:tcPr>
          <w:p w14:paraId="5B96534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tcPr>
          <w:p w14:paraId="2946BE9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现场电气原理图、接线图</w:t>
            </w:r>
          </w:p>
        </w:tc>
        <w:tc>
          <w:tcPr>
            <w:tcW w:w="480" w:type="pct"/>
            <w:shd w:val="clear" w:color="auto" w:fill="auto"/>
            <w:tcMar>
              <w:top w:w="15" w:type="dxa"/>
              <w:left w:w="15" w:type="dxa"/>
              <w:bottom w:w="0" w:type="dxa"/>
              <w:right w:w="15" w:type="dxa"/>
            </w:tcMar>
            <w:vAlign w:val="center"/>
          </w:tcPr>
          <w:p w14:paraId="32F9098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vMerge w:val="restart"/>
            <w:shd w:val="clear" w:color="auto" w:fill="auto"/>
            <w:tcMar>
              <w:top w:w="15" w:type="dxa"/>
              <w:left w:w="15" w:type="dxa"/>
              <w:bottom w:w="0" w:type="dxa"/>
              <w:right w:w="15" w:type="dxa"/>
            </w:tcMar>
            <w:vAlign w:val="center"/>
          </w:tcPr>
          <w:p w14:paraId="73C4B40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设备安装调试结束后2个月之内</w:t>
            </w:r>
          </w:p>
        </w:tc>
        <w:tc>
          <w:tcPr>
            <w:tcW w:w="695" w:type="pct"/>
            <w:vMerge w:val="continue"/>
            <w:shd w:val="clear" w:color="auto" w:fill="auto"/>
            <w:vAlign w:val="center"/>
          </w:tcPr>
          <w:p w14:paraId="3B4D01B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5F9F4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60" w:hRule="atLeast"/>
          <w:jc w:val="center"/>
        </w:trPr>
        <w:tc>
          <w:tcPr>
            <w:tcW w:w="341" w:type="pct"/>
            <w:shd w:val="clear" w:color="auto" w:fill="auto"/>
            <w:tcMar>
              <w:top w:w="15" w:type="dxa"/>
              <w:left w:w="15" w:type="dxa"/>
              <w:bottom w:w="0" w:type="dxa"/>
              <w:right w:w="15" w:type="dxa"/>
            </w:tcMar>
            <w:vAlign w:val="center"/>
          </w:tcPr>
          <w:p w14:paraId="403CFDC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716" w:type="pct"/>
            <w:vMerge w:val="continue"/>
            <w:shd w:val="clear" w:color="auto" w:fill="auto"/>
            <w:tcMar>
              <w:top w:w="15" w:type="dxa"/>
              <w:left w:w="15" w:type="dxa"/>
              <w:bottom w:w="0" w:type="dxa"/>
              <w:right w:w="15" w:type="dxa"/>
            </w:tcMar>
            <w:vAlign w:val="center"/>
          </w:tcPr>
          <w:p w14:paraId="591A4F9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06A6B3BF">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1、变频调速参数设定；</w:t>
            </w:r>
          </w:p>
          <w:p w14:paraId="0A13594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2、变频器日常保养；</w:t>
            </w:r>
          </w:p>
          <w:p w14:paraId="138C822A">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sz w:val="24"/>
                <w:szCs w:val="24"/>
              </w:rPr>
              <w:t>3、常见故障处理</w:t>
            </w:r>
          </w:p>
        </w:tc>
        <w:tc>
          <w:tcPr>
            <w:tcW w:w="480" w:type="pct"/>
            <w:shd w:val="clear" w:color="auto" w:fill="auto"/>
            <w:tcMar>
              <w:top w:w="15" w:type="dxa"/>
              <w:left w:w="15" w:type="dxa"/>
              <w:bottom w:w="0" w:type="dxa"/>
              <w:right w:w="15" w:type="dxa"/>
            </w:tcMar>
            <w:vAlign w:val="center"/>
          </w:tcPr>
          <w:p w14:paraId="59589A8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vMerge w:val="continue"/>
            <w:shd w:val="clear" w:color="auto" w:fill="auto"/>
            <w:tcMar>
              <w:top w:w="15" w:type="dxa"/>
              <w:left w:w="15" w:type="dxa"/>
              <w:bottom w:w="0" w:type="dxa"/>
              <w:right w:w="15" w:type="dxa"/>
            </w:tcMar>
            <w:vAlign w:val="center"/>
          </w:tcPr>
          <w:p w14:paraId="5840865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vMerge w:val="continue"/>
            <w:shd w:val="clear" w:color="auto" w:fill="auto"/>
            <w:vAlign w:val="center"/>
          </w:tcPr>
          <w:p w14:paraId="44B3DE4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20792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49" w:hRule="atLeast"/>
          <w:jc w:val="center"/>
        </w:trPr>
        <w:tc>
          <w:tcPr>
            <w:tcW w:w="341" w:type="pct"/>
            <w:shd w:val="clear" w:color="auto" w:fill="auto"/>
            <w:tcMar>
              <w:top w:w="15" w:type="dxa"/>
              <w:left w:w="15" w:type="dxa"/>
              <w:bottom w:w="0" w:type="dxa"/>
              <w:right w:w="15" w:type="dxa"/>
            </w:tcMar>
            <w:vAlign w:val="center"/>
          </w:tcPr>
          <w:p w14:paraId="026011F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716" w:type="pct"/>
            <w:vMerge w:val="continue"/>
            <w:shd w:val="clear" w:color="auto" w:fill="auto"/>
            <w:tcMar>
              <w:top w:w="15" w:type="dxa"/>
              <w:left w:w="15" w:type="dxa"/>
              <w:bottom w:w="0" w:type="dxa"/>
              <w:right w:w="15" w:type="dxa"/>
            </w:tcMar>
            <w:vAlign w:val="center"/>
          </w:tcPr>
          <w:p w14:paraId="4385B59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19A4A592">
            <w:pPr>
              <w:pageBreakBefore w:val="0"/>
              <w:kinsoku/>
              <w:wordWrap/>
              <w:overflowPunct/>
              <w:topLinePunct w:val="0"/>
              <w:autoSpaceDE w:val="0"/>
              <w:autoSpaceDN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1、HMI人机界面的操作、运行；</w:t>
            </w:r>
          </w:p>
        </w:tc>
        <w:tc>
          <w:tcPr>
            <w:tcW w:w="480" w:type="pct"/>
            <w:shd w:val="clear" w:color="auto" w:fill="auto"/>
            <w:tcMar>
              <w:top w:w="15" w:type="dxa"/>
              <w:left w:w="15" w:type="dxa"/>
              <w:bottom w:w="0" w:type="dxa"/>
              <w:right w:w="15" w:type="dxa"/>
            </w:tcMar>
            <w:vAlign w:val="center"/>
          </w:tcPr>
          <w:p w14:paraId="20E7666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vMerge w:val="continue"/>
            <w:shd w:val="clear" w:color="auto" w:fill="auto"/>
            <w:tcMar>
              <w:top w:w="15" w:type="dxa"/>
              <w:left w:w="15" w:type="dxa"/>
              <w:bottom w:w="0" w:type="dxa"/>
              <w:right w:w="15" w:type="dxa"/>
            </w:tcMar>
            <w:vAlign w:val="center"/>
          </w:tcPr>
          <w:p w14:paraId="642E616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shd w:val="clear" w:color="auto" w:fill="auto"/>
            <w:vAlign w:val="center"/>
          </w:tcPr>
          <w:p w14:paraId="644D85A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操作工、维修工、设备工程师</w:t>
            </w:r>
          </w:p>
        </w:tc>
      </w:tr>
      <w:tr w14:paraId="6AFC7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2" w:hRule="atLeast"/>
          <w:jc w:val="center"/>
        </w:trPr>
        <w:tc>
          <w:tcPr>
            <w:tcW w:w="341" w:type="pct"/>
            <w:shd w:val="clear" w:color="auto" w:fill="auto"/>
            <w:tcMar>
              <w:top w:w="15" w:type="dxa"/>
              <w:left w:w="15" w:type="dxa"/>
              <w:bottom w:w="0" w:type="dxa"/>
              <w:right w:w="15" w:type="dxa"/>
            </w:tcMar>
            <w:vAlign w:val="center"/>
          </w:tcPr>
          <w:p w14:paraId="66E824C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w:t>
            </w:r>
          </w:p>
        </w:tc>
        <w:tc>
          <w:tcPr>
            <w:tcW w:w="716" w:type="pct"/>
            <w:vMerge w:val="continue"/>
            <w:shd w:val="clear" w:color="auto" w:fill="auto"/>
            <w:tcMar>
              <w:top w:w="15" w:type="dxa"/>
              <w:left w:w="15" w:type="dxa"/>
              <w:bottom w:w="0" w:type="dxa"/>
              <w:right w:w="15" w:type="dxa"/>
            </w:tcMar>
            <w:vAlign w:val="center"/>
          </w:tcPr>
          <w:p w14:paraId="5C6F457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550893E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现场故障查询及处理</w:t>
            </w:r>
          </w:p>
        </w:tc>
        <w:tc>
          <w:tcPr>
            <w:tcW w:w="480" w:type="pct"/>
            <w:shd w:val="clear" w:color="auto" w:fill="auto"/>
            <w:tcMar>
              <w:top w:w="15" w:type="dxa"/>
              <w:left w:w="15" w:type="dxa"/>
              <w:bottom w:w="0" w:type="dxa"/>
              <w:right w:w="15" w:type="dxa"/>
            </w:tcMar>
            <w:vAlign w:val="center"/>
          </w:tcPr>
          <w:p w14:paraId="1A6A4CA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vMerge w:val="continue"/>
            <w:shd w:val="clear" w:color="auto" w:fill="auto"/>
            <w:tcMar>
              <w:top w:w="15" w:type="dxa"/>
              <w:left w:w="15" w:type="dxa"/>
              <w:bottom w:w="0" w:type="dxa"/>
              <w:right w:w="15" w:type="dxa"/>
            </w:tcMar>
            <w:vAlign w:val="center"/>
          </w:tcPr>
          <w:p w14:paraId="6F50F2E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vMerge w:val="restart"/>
            <w:shd w:val="clear" w:color="auto" w:fill="auto"/>
            <w:vAlign w:val="center"/>
          </w:tcPr>
          <w:p w14:paraId="57C6A2E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操作工、维修技师、设备工程师</w:t>
            </w:r>
          </w:p>
        </w:tc>
      </w:tr>
      <w:tr w14:paraId="6D73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6" w:hRule="atLeast"/>
          <w:jc w:val="center"/>
        </w:trPr>
        <w:tc>
          <w:tcPr>
            <w:tcW w:w="341" w:type="pct"/>
            <w:shd w:val="clear" w:color="auto" w:fill="auto"/>
            <w:tcMar>
              <w:top w:w="15" w:type="dxa"/>
              <w:left w:w="15" w:type="dxa"/>
              <w:bottom w:w="0" w:type="dxa"/>
              <w:right w:w="15" w:type="dxa"/>
            </w:tcMar>
            <w:vAlign w:val="center"/>
          </w:tcPr>
          <w:p w14:paraId="5E64CD8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716" w:type="pct"/>
            <w:vMerge w:val="continue"/>
            <w:shd w:val="clear" w:color="auto" w:fill="auto"/>
            <w:tcMar>
              <w:top w:w="15" w:type="dxa"/>
              <w:left w:w="15" w:type="dxa"/>
              <w:bottom w:w="0" w:type="dxa"/>
              <w:right w:w="15" w:type="dxa"/>
            </w:tcMar>
            <w:vAlign w:val="bottom"/>
          </w:tcPr>
          <w:p w14:paraId="6995792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047B4D7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设备数据、程序备份</w:t>
            </w:r>
          </w:p>
        </w:tc>
        <w:tc>
          <w:tcPr>
            <w:tcW w:w="480" w:type="pct"/>
            <w:shd w:val="clear" w:color="auto" w:fill="auto"/>
            <w:tcMar>
              <w:top w:w="15" w:type="dxa"/>
              <w:left w:w="15" w:type="dxa"/>
              <w:bottom w:w="0" w:type="dxa"/>
              <w:right w:w="15" w:type="dxa"/>
            </w:tcMar>
            <w:vAlign w:val="center"/>
          </w:tcPr>
          <w:p w14:paraId="4B328D6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4h</w:t>
            </w:r>
          </w:p>
        </w:tc>
        <w:tc>
          <w:tcPr>
            <w:tcW w:w="757" w:type="pct"/>
            <w:vMerge w:val="continue"/>
            <w:shd w:val="clear" w:color="auto" w:fill="auto"/>
            <w:tcMar>
              <w:top w:w="15" w:type="dxa"/>
              <w:left w:w="15" w:type="dxa"/>
              <w:bottom w:w="0" w:type="dxa"/>
              <w:right w:w="15" w:type="dxa"/>
            </w:tcMar>
            <w:vAlign w:val="center"/>
          </w:tcPr>
          <w:p w14:paraId="6ED0537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vMerge w:val="continue"/>
            <w:shd w:val="clear" w:color="auto" w:fill="auto"/>
            <w:vAlign w:val="center"/>
          </w:tcPr>
          <w:p w14:paraId="7A19FDF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6732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341" w:type="pct"/>
            <w:shd w:val="clear" w:color="auto" w:fill="auto"/>
            <w:tcMar>
              <w:top w:w="15" w:type="dxa"/>
              <w:left w:w="15" w:type="dxa"/>
              <w:bottom w:w="0" w:type="dxa"/>
              <w:right w:w="15" w:type="dxa"/>
            </w:tcMar>
            <w:vAlign w:val="center"/>
          </w:tcPr>
          <w:p w14:paraId="0C393F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9</w:t>
            </w:r>
          </w:p>
        </w:tc>
        <w:tc>
          <w:tcPr>
            <w:tcW w:w="716" w:type="pct"/>
            <w:vMerge w:val="restart"/>
            <w:shd w:val="clear" w:color="auto" w:fill="auto"/>
            <w:tcMar>
              <w:top w:w="15" w:type="dxa"/>
              <w:left w:w="15" w:type="dxa"/>
              <w:bottom w:w="0" w:type="dxa"/>
              <w:right w:w="15" w:type="dxa"/>
            </w:tcMar>
            <w:vAlign w:val="center"/>
          </w:tcPr>
          <w:p w14:paraId="6A29FD4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机械培训</w:t>
            </w:r>
          </w:p>
        </w:tc>
        <w:tc>
          <w:tcPr>
            <w:tcW w:w="2007" w:type="pct"/>
            <w:shd w:val="clear" w:color="auto" w:fill="auto"/>
            <w:tcMar>
              <w:top w:w="15" w:type="dxa"/>
              <w:left w:w="15" w:type="dxa"/>
              <w:bottom w:w="0" w:type="dxa"/>
              <w:right w:w="15" w:type="dxa"/>
            </w:tcMar>
            <w:vAlign w:val="center"/>
          </w:tcPr>
          <w:p w14:paraId="5822A10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设备机械结构，设备机械图纸</w:t>
            </w:r>
          </w:p>
        </w:tc>
        <w:tc>
          <w:tcPr>
            <w:tcW w:w="480" w:type="pct"/>
            <w:shd w:val="clear" w:color="auto" w:fill="auto"/>
            <w:tcMar>
              <w:top w:w="15" w:type="dxa"/>
              <w:left w:w="15" w:type="dxa"/>
              <w:bottom w:w="0" w:type="dxa"/>
              <w:right w:w="15" w:type="dxa"/>
            </w:tcMar>
            <w:vAlign w:val="center"/>
          </w:tcPr>
          <w:p w14:paraId="463EE59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24h</w:t>
            </w:r>
          </w:p>
        </w:tc>
        <w:tc>
          <w:tcPr>
            <w:tcW w:w="757" w:type="pct"/>
            <w:vMerge w:val="restart"/>
            <w:shd w:val="clear" w:color="auto" w:fill="auto"/>
            <w:tcMar>
              <w:top w:w="15" w:type="dxa"/>
              <w:left w:w="15" w:type="dxa"/>
              <w:bottom w:w="0" w:type="dxa"/>
              <w:right w:w="15" w:type="dxa"/>
            </w:tcMar>
            <w:vAlign w:val="center"/>
          </w:tcPr>
          <w:p w14:paraId="1D33907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设备安装调试结束后2个月之内</w:t>
            </w:r>
          </w:p>
        </w:tc>
        <w:tc>
          <w:tcPr>
            <w:tcW w:w="695" w:type="pct"/>
            <w:vMerge w:val="continue"/>
            <w:shd w:val="clear" w:color="auto" w:fill="auto"/>
            <w:vAlign w:val="center"/>
          </w:tcPr>
          <w:p w14:paraId="15E846B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65296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97" w:hRule="atLeast"/>
          <w:jc w:val="center"/>
        </w:trPr>
        <w:tc>
          <w:tcPr>
            <w:tcW w:w="341" w:type="pct"/>
            <w:shd w:val="clear" w:color="auto" w:fill="auto"/>
            <w:tcMar>
              <w:top w:w="15" w:type="dxa"/>
              <w:left w:w="15" w:type="dxa"/>
              <w:bottom w:w="0" w:type="dxa"/>
              <w:right w:w="15" w:type="dxa"/>
            </w:tcMar>
            <w:vAlign w:val="center"/>
          </w:tcPr>
          <w:p w14:paraId="5EFE4CA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716" w:type="pct"/>
            <w:vMerge w:val="continue"/>
            <w:shd w:val="clear" w:color="auto" w:fill="auto"/>
            <w:tcMar>
              <w:top w:w="15" w:type="dxa"/>
              <w:left w:w="15" w:type="dxa"/>
              <w:bottom w:w="0" w:type="dxa"/>
              <w:right w:w="15" w:type="dxa"/>
            </w:tcMar>
            <w:vAlign w:val="bottom"/>
          </w:tcPr>
          <w:p w14:paraId="362D567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3AD7B8D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设备润滑及保养</w:t>
            </w:r>
          </w:p>
        </w:tc>
        <w:tc>
          <w:tcPr>
            <w:tcW w:w="480" w:type="pct"/>
            <w:shd w:val="clear" w:color="auto" w:fill="auto"/>
            <w:tcMar>
              <w:top w:w="15" w:type="dxa"/>
              <w:left w:w="15" w:type="dxa"/>
              <w:bottom w:w="0" w:type="dxa"/>
              <w:right w:w="15" w:type="dxa"/>
            </w:tcMar>
            <w:vAlign w:val="center"/>
          </w:tcPr>
          <w:p w14:paraId="61B71D0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8h</w:t>
            </w:r>
          </w:p>
        </w:tc>
        <w:tc>
          <w:tcPr>
            <w:tcW w:w="757" w:type="pct"/>
            <w:vMerge w:val="continue"/>
            <w:shd w:val="clear" w:color="auto" w:fill="auto"/>
            <w:tcMar>
              <w:top w:w="15" w:type="dxa"/>
              <w:left w:w="15" w:type="dxa"/>
              <w:bottom w:w="0" w:type="dxa"/>
              <w:right w:w="15" w:type="dxa"/>
            </w:tcMar>
            <w:vAlign w:val="center"/>
          </w:tcPr>
          <w:p w14:paraId="12F4A1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vMerge w:val="continue"/>
            <w:shd w:val="clear" w:color="auto" w:fill="auto"/>
            <w:vAlign w:val="center"/>
          </w:tcPr>
          <w:p w14:paraId="1671095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64D1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510" w:hRule="atLeast"/>
          <w:jc w:val="center"/>
        </w:trPr>
        <w:tc>
          <w:tcPr>
            <w:tcW w:w="341" w:type="pct"/>
            <w:shd w:val="clear" w:color="auto" w:fill="auto"/>
            <w:tcMar>
              <w:top w:w="15" w:type="dxa"/>
              <w:left w:w="15" w:type="dxa"/>
              <w:bottom w:w="0" w:type="dxa"/>
              <w:right w:w="15" w:type="dxa"/>
            </w:tcMar>
            <w:vAlign w:val="center"/>
          </w:tcPr>
          <w:p w14:paraId="6C84CB1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w:t>
            </w:r>
          </w:p>
        </w:tc>
        <w:tc>
          <w:tcPr>
            <w:tcW w:w="716" w:type="pct"/>
            <w:vMerge w:val="continue"/>
            <w:shd w:val="clear" w:color="auto" w:fill="auto"/>
            <w:tcMar>
              <w:top w:w="15" w:type="dxa"/>
              <w:left w:w="15" w:type="dxa"/>
              <w:bottom w:w="0" w:type="dxa"/>
              <w:right w:w="15" w:type="dxa"/>
            </w:tcMar>
            <w:vAlign w:val="bottom"/>
          </w:tcPr>
          <w:p w14:paraId="47438DD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11097BA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设备易损件更换及维修</w:t>
            </w:r>
          </w:p>
        </w:tc>
        <w:tc>
          <w:tcPr>
            <w:tcW w:w="480" w:type="pct"/>
            <w:shd w:val="clear" w:color="auto" w:fill="auto"/>
            <w:tcMar>
              <w:top w:w="15" w:type="dxa"/>
              <w:left w:w="15" w:type="dxa"/>
              <w:bottom w:w="0" w:type="dxa"/>
              <w:right w:w="15" w:type="dxa"/>
            </w:tcMar>
            <w:vAlign w:val="center"/>
          </w:tcPr>
          <w:p w14:paraId="596C003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vMerge w:val="continue"/>
            <w:shd w:val="clear" w:color="auto" w:fill="auto"/>
            <w:tcMar>
              <w:top w:w="15" w:type="dxa"/>
              <w:left w:w="15" w:type="dxa"/>
              <w:bottom w:w="0" w:type="dxa"/>
              <w:right w:w="15" w:type="dxa"/>
            </w:tcMar>
            <w:vAlign w:val="center"/>
          </w:tcPr>
          <w:p w14:paraId="13EB2E8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vMerge w:val="continue"/>
            <w:shd w:val="clear" w:color="auto" w:fill="auto"/>
            <w:vAlign w:val="center"/>
          </w:tcPr>
          <w:p w14:paraId="7131FB5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r w14:paraId="5517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435" w:hRule="atLeast"/>
          <w:jc w:val="center"/>
        </w:trPr>
        <w:tc>
          <w:tcPr>
            <w:tcW w:w="341" w:type="pct"/>
            <w:shd w:val="clear" w:color="auto" w:fill="auto"/>
            <w:tcMar>
              <w:top w:w="15" w:type="dxa"/>
              <w:left w:w="15" w:type="dxa"/>
              <w:bottom w:w="0" w:type="dxa"/>
              <w:right w:w="15" w:type="dxa"/>
            </w:tcMar>
            <w:vAlign w:val="center"/>
          </w:tcPr>
          <w:p w14:paraId="64DE94E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716" w:type="pct"/>
            <w:vMerge w:val="continue"/>
            <w:shd w:val="clear" w:color="auto" w:fill="auto"/>
            <w:tcMar>
              <w:top w:w="15" w:type="dxa"/>
              <w:left w:w="15" w:type="dxa"/>
              <w:bottom w:w="0" w:type="dxa"/>
              <w:right w:w="15" w:type="dxa"/>
            </w:tcMar>
            <w:vAlign w:val="bottom"/>
          </w:tcPr>
          <w:p w14:paraId="4C66E51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2007" w:type="pct"/>
            <w:shd w:val="clear" w:color="auto" w:fill="auto"/>
            <w:tcMar>
              <w:top w:w="15" w:type="dxa"/>
              <w:left w:w="15" w:type="dxa"/>
              <w:bottom w:w="0" w:type="dxa"/>
              <w:right w:w="15" w:type="dxa"/>
            </w:tcMar>
            <w:vAlign w:val="center"/>
          </w:tcPr>
          <w:p w14:paraId="717F767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主要机械部件更换及维修</w:t>
            </w:r>
          </w:p>
        </w:tc>
        <w:tc>
          <w:tcPr>
            <w:tcW w:w="480" w:type="pct"/>
            <w:shd w:val="clear" w:color="auto" w:fill="auto"/>
            <w:tcMar>
              <w:top w:w="15" w:type="dxa"/>
              <w:left w:w="15" w:type="dxa"/>
              <w:bottom w:w="0" w:type="dxa"/>
              <w:right w:w="15" w:type="dxa"/>
            </w:tcMar>
            <w:vAlign w:val="center"/>
          </w:tcPr>
          <w:p w14:paraId="4C65C4F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16h</w:t>
            </w:r>
          </w:p>
        </w:tc>
        <w:tc>
          <w:tcPr>
            <w:tcW w:w="757" w:type="pct"/>
            <w:vMerge w:val="continue"/>
            <w:shd w:val="clear" w:color="auto" w:fill="auto"/>
            <w:tcMar>
              <w:top w:w="15" w:type="dxa"/>
              <w:left w:w="15" w:type="dxa"/>
              <w:bottom w:w="0" w:type="dxa"/>
              <w:right w:w="15" w:type="dxa"/>
            </w:tcMar>
            <w:vAlign w:val="center"/>
          </w:tcPr>
          <w:p w14:paraId="2C90C5F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c>
          <w:tcPr>
            <w:tcW w:w="695" w:type="pct"/>
            <w:vMerge w:val="continue"/>
            <w:shd w:val="clear" w:color="auto" w:fill="auto"/>
            <w:vAlign w:val="center"/>
          </w:tcPr>
          <w:p w14:paraId="11BFB93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p>
        </w:tc>
      </w:tr>
    </w:tbl>
    <w:p w14:paraId="4193CDEC">
      <w:pPr>
        <w:pStyle w:val="17"/>
        <w:pageBreakBefore w:val="0"/>
        <w:numPr>
          <w:ilvl w:val="0"/>
          <w:numId w:val="10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受训人员掌握技能目标：</w:t>
      </w:r>
    </w:p>
    <w:p w14:paraId="513C8EBC">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参加培训的人员可以独立正确操作、点检及保养设备。</w:t>
      </w:r>
    </w:p>
    <w:p w14:paraId="32997709">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能熟练的浏览人机界面及利用人机界面查找故障。</w:t>
      </w:r>
    </w:p>
    <w:p w14:paraId="4989723F">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参加培训的人员能掌握设备的电气原理、机械结构及性能。</w:t>
      </w:r>
    </w:p>
    <w:p w14:paraId="59FA5E1A">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能够进行电气、机械故障排查及维修。</w:t>
      </w:r>
    </w:p>
    <w:p w14:paraId="537F6551">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能够熟练使用编程软件、程序查看、程序修改、上传和下载程序。</w:t>
      </w:r>
    </w:p>
    <w:p w14:paraId="6BF92EF9">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能够熟练使用人机界面编程软件并能对人机界面修改，并对程序下载。</w:t>
      </w:r>
    </w:p>
    <w:p w14:paraId="1D63E4E0">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能够熟练对变频器参数进行修改，并知道每个参数的功能及作用。</w:t>
      </w:r>
    </w:p>
    <w:p w14:paraId="7B7C6AA1">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能够独立更换电气及机械元件。</w:t>
      </w:r>
    </w:p>
    <w:p w14:paraId="32868411">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必须确保培训的有效性，使受训的</w:t>
      </w:r>
      <w:r>
        <w:rPr>
          <w:rFonts w:hint="eastAsia" w:ascii="宋体" w:hAnsi="宋体" w:cs="宋体"/>
          <w:color w:val="000000"/>
          <w:lang w:eastAsia="zh-CN"/>
        </w:rPr>
        <w:t>招标人</w:t>
      </w:r>
      <w:r>
        <w:rPr>
          <w:rFonts w:hint="eastAsia" w:ascii="宋体" w:hAnsi="宋体" w:eastAsia="宋体" w:cs="宋体"/>
          <w:color w:val="000000"/>
        </w:rPr>
        <w:t>员工能够独立地解决和排除相应的设备问题。培训结束后</w:t>
      </w:r>
      <w:r>
        <w:rPr>
          <w:rFonts w:hint="eastAsia" w:ascii="宋体" w:hAnsi="宋体" w:cs="宋体"/>
          <w:color w:val="000000"/>
          <w:lang w:eastAsia="zh-CN"/>
        </w:rPr>
        <w:t>招标人</w:t>
      </w:r>
      <w:r>
        <w:rPr>
          <w:rFonts w:hint="eastAsia" w:ascii="宋体" w:hAnsi="宋体" w:eastAsia="宋体" w:cs="宋体"/>
          <w:color w:val="000000"/>
        </w:rPr>
        <w:t>对其测评，测评内容为培训内容，</w:t>
      </w:r>
      <w:r>
        <w:rPr>
          <w:rFonts w:hint="eastAsia" w:ascii="宋体" w:hAnsi="宋体" w:cs="宋体"/>
          <w:color w:val="000000"/>
          <w:lang w:eastAsia="zh-CN"/>
        </w:rPr>
        <w:t>招标人</w:t>
      </w:r>
      <w:r>
        <w:rPr>
          <w:rFonts w:hint="eastAsia" w:ascii="宋体" w:hAnsi="宋体" w:eastAsia="宋体" w:cs="宋体"/>
          <w:color w:val="000000"/>
        </w:rPr>
        <w:t>受训人员未达到80%以上合格的，</w:t>
      </w:r>
      <w:r>
        <w:rPr>
          <w:rFonts w:hint="eastAsia" w:ascii="宋体" w:hAnsi="宋体" w:cs="宋体"/>
          <w:color w:val="000000"/>
          <w:lang w:eastAsia="zh-CN"/>
        </w:rPr>
        <w:t>招标人</w:t>
      </w:r>
      <w:r>
        <w:rPr>
          <w:rFonts w:hint="eastAsia" w:ascii="宋体" w:hAnsi="宋体" w:eastAsia="宋体" w:cs="宋体"/>
          <w:color w:val="000000"/>
        </w:rPr>
        <w:t>有权要求</w:t>
      </w:r>
      <w:r>
        <w:rPr>
          <w:rFonts w:hint="eastAsia" w:ascii="宋体" w:hAnsi="宋体" w:cs="宋体"/>
          <w:color w:val="000000"/>
          <w:lang w:eastAsia="zh-CN"/>
        </w:rPr>
        <w:t>投标人</w:t>
      </w:r>
      <w:r>
        <w:rPr>
          <w:rFonts w:hint="eastAsia" w:ascii="宋体" w:hAnsi="宋体" w:eastAsia="宋体" w:cs="宋体"/>
          <w:color w:val="000000"/>
        </w:rPr>
        <w:t>再次培训（免费），直到</w:t>
      </w:r>
      <w:r>
        <w:rPr>
          <w:rFonts w:hint="eastAsia" w:ascii="宋体" w:hAnsi="宋体" w:cs="宋体"/>
          <w:color w:val="000000"/>
          <w:lang w:eastAsia="zh-CN"/>
        </w:rPr>
        <w:t>招标人</w:t>
      </w:r>
      <w:r>
        <w:rPr>
          <w:rFonts w:hint="eastAsia" w:ascii="宋体" w:hAnsi="宋体" w:eastAsia="宋体" w:cs="宋体"/>
          <w:color w:val="000000"/>
        </w:rPr>
        <w:t>受训人员达到80%以上合格为止。</w:t>
      </w:r>
    </w:p>
    <w:p w14:paraId="59285F95">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培训：</w:t>
      </w:r>
      <w:r>
        <w:rPr>
          <w:rFonts w:hint="eastAsia" w:ascii="宋体" w:hAnsi="宋体" w:cs="宋体"/>
          <w:color w:val="000000"/>
          <w:lang w:eastAsia="zh-CN"/>
        </w:rPr>
        <w:t>招标人</w:t>
      </w:r>
      <w:r>
        <w:rPr>
          <w:rFonts w:hint="eastAsia" w:ascii="宋体" w:hAnsi="宋体" w:eastAsia="宋体" w:cs="宋体"/>
          <w:color w:val="000000"/>
        </w:rPr>
        <w:t>方人员接受培训达到一定水平，以便他们能对车间和设备进行点检和维修。提供的培训模块应符合由</w:t>
      </w:r>
      <w:r>
        <w:rPr>
          <w:rFonts w:hint="eastAsia" w:ascii="宋体" w:hAnsi="宋体" w:cs="宋体"/>
          <w:color w:val="000000"/>
          <w:lang w:eastAsia="zh-CN"/>
        </w:rPr>
        <w:t>投标人</w:t>
      </w:r>
      <w:r>
        <w:rPr>
          <w:rFonts w:hint="eastAsia" w:ascii="宋体" w:hAnsi="宋体" w:eastAsia="宋体" w:cs="宋体"/>
          <w:color w:val="000000"/>
        </w:rPr>
        <w:t>提供经</w:t>
      </w:r>
      <w:r>
        <w:rPr>
          <w:rFonts w:hint="eastAsia" w:ascii="宋体" w:hAnsi="宋体" w:cs="宋体"/>
          <w:color w:val="000000"/>
          <w:lang w:eastAsia="zh-CN"/>
        </w:rPr>
        <w:t>招标人</w:t>
      </w:r>
      <w:r>
        <w:rPr>
          <w:rFonts w:hint="eastAsia" w:ascii="宋体" w:hAnsi="宋体" w:eastAsia="宋体" w:cs="宋体"/>
          <w:color w:val="000000"/>
        </w:rPr>
        <w:t>认可的培训模型。每个接受培训的员工应参加适合其专业的模块培训。</w:t>
      </w:r>
    </w:p>
    <w:p w14:paraId="4B5F231C">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培训内容：</w:t>
      </w:r>
    </w:p>
    <w:p w14:paraId="26661F58">
      <w:pPr>
        <w:pStyle w:val="17"/>
        <w:pageBreakBefore w:val="0"/>
        <w:numPr>
          <w:ilvl w:val="0"/>
          <w:numId w:val="109"/>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提供的培训服务必须使</w:t>
      </w:r>
      <w:r>
        <w:rPr>
          <w:rFonts w:hint="eastAsia" w:ascii="宋体" w:hAnsi="宋体" w:cs="宋体"/>
          <w:lang w:eastAsia="zh-CN"/>
        </w:rPr>
        <w:t>招标人</w:t>
      </w:r>
      <w:r>
        <w:rPr>
          <w:rFonts w:hint="eastAsia" w:ascii="宋体" w:hAnsi="宋体" w:eastAsia="宋体" w:cs="宋体"/>
        </w:rPr>
        <w:t>的技术人员、维修人员、操作人员完全掌握如下内容：</w:t>
      </w:r>
    </w:p>
    <w:p w14:paraId="29616708">
      <w:pPr>
        <w:pStyle w:val="17"/>
        <w:pageBreakBefore w:val="0"/>
        <w:numPr>
          <w:ilvl w:val="0"/>
          <w:numId w:val="11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设备的结构、工作原理。</w:t>
      </w:r>
    </w:p>
    <w:p w14:paraId="0AFAE476">
      <w:pPr>
        <w:pStyle w:val="17"/>
        <w:pageBreakBefore w:val="0"/>
        <w:numPr>
          <w:ilvl w:val="0"/>
          <w:numId w:val="11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工艺流程、操作流程、维修流程。</w:t>
      </w:r>
    </w:p>
    <w:p w14:paraId="2ADCCF45">
      <w:pPr>
        <w:pStyle w:val="17"/>
        <w:pageBreakBefore w:val="0"/>
        <w:numPr>
          <w:ilvl w:val="0"/>
          <w:numId w:val="11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正确操作、维护设备的方法和要求。</w:t>
      </w:r>
    </w:p>
    <w:p w14:paraId="78700850">
      <w:pPr>
        <w:pStyle w:val="17"/>
        <w:pageBreakBefore w:val="0"/>
        <w:numPr>
          <w:ilvl w:val="0"/>
          <w:numId w:val="11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识别和处理设备一般故障的方法。</w:t>
      </w:r>
    </w:p>
    <w:p w14:paraId="626B8A74">
      <w:pPr>
        <w:pStyle w:val="17"/>
        <w:pageBreakBefore w:val="0"/>
        <w:numPr>
          <w:ilvl w:val="0"/>
          <w:numId w:val="110"/>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系统安全操作和故障维护的原理和方法。</w:t>
      </w:r>
    </w:p>
    <w:p w14:paraId="6295CA93">
      <w:pPr>
        <w:pStyle w:val="17"/>
        <w:pageBreakBefore w:val="0"/>
        <w:numPr>
          <w:ilvl w:val="0"/>
          <w:numId w:val="10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b w:val="0"/>
          <w:bCs w:val="0"/>
        </w:rPr>
        <w:t>培训人群</w:t>
      </w:r>
      <w:r>
        <w:rPr>
          <w:rFonts w:hint="eastAsia" w:ascii="宋体" w:hAnsi="宋体" w:eastAsia="宋体" w:cs="宋体"/>
        </w:rPr>
        <w:t>：</w:t>
      </w:r>
    </w:p>
    <w:p w14:paraId="4D403D37">
      <w:pPr>
        <w:pStyle w:val="17"/>
        <w:pageBreakBefore w:val="0"/>
        <w:widowControl/>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现场工程师、维修主管（工程师）、机械维修工、电气维修工、控制工程师、操作者等。</w:t>
      </w:r>
    </w:p>
    <w:p w14:paraId="1B8E5015">
      <w:pPr>
        <w:pStyle w:val="17"/>
        <w:pageBreakBefore w:val="0"/>
        <w:numPr>
          <w:ilvl w:val="0"/>
          <w:numId w:val="10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b w:val="0"/>
          <w:bCs w:val="0"/>
        </w:rPr>
      </w:pPr>
      <w:r>
        <w:rPr>
          <w:rFonts w:hint="eastAsia" w:ascii="宋体" w:hAnsi="宋体" w:eastAsia="宋体" w:cs="宋体"/>
          <w:b w:val="0"/>
          <w:bCs w:val="0"/>
        </w:rPr>
        <w:t>培训方法：</w:t>
      </w:r>
    </w:p>
    <w:p w14:paraId="484A3446">
      <w:pPr>
        <w:pStyle w:val="17"/>
        <w:pageBreakBefore w:val="0"/>
        <w:numPr>
          <w:ilvl w:val="0"/>
          <w:numId w:val="11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分集中培训与过程培训（安装、调试、试运行）。</w:t>
      </w:r>
    </w:p>
    <w:p w14:paraId="5BB6486A">
      <w:pPr>
        <w:pStyle w:val="17"/>
        <w:pageBreakBefore w:val="0"/>
        <w:numPr>
          <w:ilvl w:val="0"/>
          <w:numId w:val="11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在设备安装、调试和试运行过程中</w:t>
      </w:r>
      <w:r>
        <w:rPr>
          <w:rFonts w:hint="eastAsia" w:ascii="宋体" w:hAnsi="宋体" w:cs="宋体"/>
          <w:color w:val="000000"/>
          <w:lang w:eastAsia="zh-CN"/>
        </w:rPr>
        <w:t>招标人</w:t>
      </w:r>
      <w:r>
        <w:rPr>
          <w:rFonts w:hint="eastAsia" w:ascii="宋体" w:hAnsi="宋体" w:eastAsia="宋体" w:cs="宋体"/>
          <w:color w:val="000000"/>
        </w:rPr>
        <w:t>的相关技术人员全程参加，</w:t>
      </w:r>
      <w:r>
        <w:rPr>
          <w:rFonts w:hint="eastAsia" w:ascii="宋体" w:hAnsi="宋体" w:cs="宋体"/>
          <w:color w:val="000000"/>
          <w:lang w:eastAsia="zh-CN"/>
        </w:rPr>
        <w:t>投标人</w:t>
      </w:r>
      <w:r>
        <w:rPr>
          <w:rFonts w:hint="eastAsia" w:ascii="宋体" w:hAnsi="宋体" w:eastAsia="宋体" w:cs="宋体"/>
          <w:color w:val="000000"/>
        </w:rPr>
        <w:t>必须应对</w:t>
      </w:r>
      <w:r>
        <w:rPr>
          <w:rFonts w:hint="eastAsia" w:ascii="宋体" w:hAnsi="宋体" w:cs="宋体"/>
          <w:color w:val="000000"/>
          <w:lang w:eastAsia="zh-CN"/>
        </w:rPr>
        <w:t>招标人</w:t>
      </w:r>
      <w:r>
        <w:rPr>
          <w:rFonts w:hint="eastAsia" w:ascii="宋体" w:hAnsi="宋体" w:eastAsia="宋体" w:cs="宋体"/>
          <w:color w:val="000000"/>
        </w:rPr>
        <w:t>的相关技术人员进行培训。</w:t>
      </w:r>
    </w:p>
    <w:p w14:paraId="0687A484">
      <w:pPr>
        <w:pStyle w:val="17"/>
        <w:pageBreakBefore w:val="0"/>
        <w:numPr>
          <w:ilvl w:val="0"/>
          <w:numId w:val="11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调试过程中出现的故障必须查明原因记录清楚并告知</w:t>
      </w:r>
      <w:r>
        <w:rPr>
          <w:rFonts w:hint="eastAsia" w:ascii="宋体" w:hAnsi="宋体" w:cs="宋体"/>
          <w:color w:val="000000"/>
          <w:lang w:eastAsia="zh-CN"/>
        </w:rPr>
        <w:t>招标人</w:t>
      </w:r>
      <w:r>
        <w:rPr>
          <w:rFonts w:hint="eastAsia" w:ascii="宋体" w:hAnsi="宋体" w:eastAsia="宋体" w:cs="宋体"/>
          <w:color w:val="000000"/>
        </w:rPr>
        <w:t>的相关技术人员。</w:t>
      </w:r>
    </w:p>
    <w:p w14:paraId="1A4145CE">
      <w:pPr>
        <w:pStyle w:val="17"/>
        <w:pageBreakBefore w:val="0"/>
        <w:numPr>
          <w:ilvl w:val="0"/>
          <w:numId w:val="11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对零部件（</w:t>
      </w:r>
      <w:r>
        <w:rPr>
          <w:rFonts w:hint="eastAsia" w:ascii="宋体" w:hAnsi="宋体" w:cs="宋体"/>
          <w:color w:val="000000"/>
          <w:lang w:eastAsia="zh-CN"/>
        </w:rPr>
        <w:t>投标人</w:t>
      </w:r>
      <w:r>
        <w:rPr>
          <w:rFonts w:hint="eastAsia" w:ascii="宋体" w:hAnsi="宋体" w:eastAsia="宋体" w:cs="宋体"/>
          <w:color w:val="000000"/>
        </w:rPr>
        <w:t>与</w:t>
      </w:r>
      <w:r>
        <w:rPr>
          <w:rFonts w:hint="eastAsia" w:ascii="宋体" w:hAnsi="宋体" w:cs="宋体"/>
          <w:color w:val="000000"/>
          <w:lang w:eastAsia="zh-CN"/>
        </w:rPr>
        <w:t>招标人</w:t>
      </w:r>
      <w:r>
        <w:rPr>
          <w:rFonts w:hint="eastAsia" w:ascii="宋体" w:hAnsi="宋体" w:eastAsia="宋体" w:cs="宋体"/>
          <w:color w:val="000000"/>
        </w:rPr>
        <w:t>确认的部分）进行实际拆卸和安装操作的培训。</w:t>
      </w:r>
    </w:p>
    <w:p w14:paraId="461E06CA">
      <w:pPr>
        <w:pStyle w:val="17"/>
        <w:pageBreakBefore w:val="0"/>
        <w:numPr>
          <w:ilvl w:val="0"/>
          <w:numId w:val="11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培训时间及培训地点：集中培训的时间与地点由</w:t>
      </w:r>
      <w:r>
        <w:rPr>
          <w:rFonts w:hint="eastAsia" w:ascii="宋体" w:hAnsi="宋体" w:cs="宋体"/>
          <w:color w:val="000000"/>
          <w:lang w:eastAsia="zh-CN"/>
        </w:rPr>
        <w:t>招标人</w:t>
      </w:r>
      <w:r>
        <w:rPr>
          <w:rFonts w:hint="eastAsia" w:ascii="宋体" w:hAnsi="宋体" w:eastAsia="宋体" w:cs="宋体"/>
          <w:color w:val="000000"/>
        </w:rPr>
        <w:t>确定，时间限制以</w:t>
      </w:r>
      <w:r>
        <w:rPr>
          <w:rFonts w:hint="eastAsia" w:ascii="宋体" w:hAnsi="宋体" w:cs="宋体"/>
          <w:color w:val="000000"/>
          <w:lang w:eastAsia="zh-CN"/>
        </w:rPr>
        <w:t>招标人</w:t>
      </w:r>
      <w:r>
        <w:rPr>
          <w:rFonts w:hint="eastAsia" w:ascii="宋体" w:hAnsi="宋体" w:eastAsia="宋体" w:cs="宋体"/>
          <w:color w:val="000000"/>
        </w:rPr>
        <w:t xml:space="preserve">的相关 </w:t>
      </w:r>
    </w:p>
    <w:p w14:paraId="0EBF5270">
      <w:pPr>
        <w:pStyle w:val="17"/>
        <w:pageBreakBefore w:val="0"/>
        <w:numPr>
          <w:ilvl w:val="0"/>
          <w:numId w:val="111"/>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人员能够掌握以上培训内容为宜，以上培训的相关资料及费用由</w:t>
      </w:r>
      <w:r>
        <w:rPr>
          <w:rFonts w:hint="eastAsia" w:ascii="宋体" w:hAnsi="宋体" w:cs="宋体"/>
          <w:color w:val="000000"/>
          <w:lang w:eastAsia="zh-CN"/>
        </w:rPr>
        <w:t>投标人</w:t>
      </w:r>
      <w:r>
        <w:rPr>
          <w:rFonts w:hint="eastAsia" w:ascii="宋体" w:hAnsi="宋体" w:eastAsia="宋体" w:cs="宋体"/>
          <w:color w:val="000000"/>
        </w:rPr>
        <w:t>提供。</w:t>
      </w:r>
    </w:p>
    <w:p w14:paraId="212AD926">
      <w:pPr>
        <w:pStyle w:val="17"/>
        <w:pageBreakBefore w:val="0"/>
        <w:widowControl/>
        <w:numPr>
          <w:ilvl w:val="0"/>
          <w:numId w:val="107"/>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b w:val="0"/>
          <w:bCs w:val="0"/>
        </w:rPr>
      </w:pPr>
      <w:r>
        <w:rPr>
          <w:rFonts w:hint="eastAsia" w:ascii="宋体" w:hAnsi="宋体" w:eastAsia="宋体" w:cs="宋体"/>
          <w:b w:val="0"/>
          <w:bCs w:val="0"/>
        </w:rPr>
        <w:t>其他要求：</w:t>
      </w:r>
    </w:p>
    <w:p w14:paraId="74233B0C">
      <w:pPr>
        <w:pStyle w:val="17"/>
        <w:pageBreakBefore w:val="0"/>
        <w:numPr>
          <w:ilvl w:val="0"/>
          <w:numId w:val="112"/>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总体培训在安装的最后阶段和试运行阶段，于车间内完成。这种培训方式允许课堂授课和生产线实际操作相结合。</w:t>
      </w:r>
    </w:p>
    <w:p w14:paraId="3A8CF3ED">
      <w:pPr>
        <w:pStyle w:val="17"/>
        <w:pageBreakBefore w:val="0"/>
        <w:numPr>
          <w:ilvl w:val="0"/>
          <w:numId w:val="112"/>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培训文件主要包括操作手册和维修手册的部分内容。负责协调培训需求的培训经理联络候选的</w:t>
      </w:r>
      <w:r>
        <w:rPr>
          <w:rFonts w:hint="eastAsia" w:ascii="宋体" w:hAnsi="宋体" w:cs="宋体"/>
          <w:lang w:eastAsia="zh-CN"/>
        </w:rPr>
        <w:t>投标人</w:t>
      </w:r>
      <w:r>
        <w:rPr>
          <w:rFonts w:hint="eastAsia" w:ascii="宋体" w:hAnsi="宋体" w:eastAsia="宋体" w:cs="宋体"/>
        </w:rPr>
        <w:t>在培训开始前两个月就要敲定培训课程的结构和内容。</w:t>
      </w:r>
    </w:p>
    <w:p w14:paraId="16B98588">
      <w:pPr>
        <w:pStyle w:val="17"/>
        <w:pageBreakBefore w:val="0"/>
        <w:numPr>
          <w:ilvl w:val="0"/>
          <w:numId w:val="112"/>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为确保培训效果，</w:t>
      </w:r>
      <w:r>
        <w:rPr>
          <w:rFonts w:hint="eastAsia" w:ascii="宋体" w:hAnsi="宋体" w:cs="宋体"/>
          <w:lang w:eastAsia="zh-CN"/>
        </w:rPr>
        <w:t>投标人</w:t>
      </w:r>
      <w:r>
        <w:rPr>
          <w:rFonts w:hint="eastAsia" w:ascii="宋体" w:hAnsi="宋体" w:eastAsia="宋体" w:cs="宋体"/>
        </w:rPr>
        <w:t>应组织实践和理论考试，以使操作者具备对车间设备的正确操作、维修、编程的能力，达到</w:t>
      </w:r>
      <w:r>
        <w:rPr>
          <w:rFonts w:hint="eastAsia" w:ascii="宋体" w:hAnsi="宋体" w:cs="宋体"/>
          <w:lang w:eastAsia="zh-CN"/>
        </w:rPr>
        <w:t>招标人</w:t>
      </w:r>
      <w:r>
        <w:rPr>
          <w:rFonts w:hint="eastAsia" w:ascii="宋体" w:hAnsi="宋体" w:eastAsia="宋体" w:cs="宋体"/>
        </w:rPr>
        <w:t>和</w:t>
      </w:r>
      <w:r>
        <w:rPr>
          <w:rFonts w:hint="eastAsia" w:ascii="宋体" w:hAnsi="宋体" w:cs="宋体"/>
          <w:lang w:eastAsia="zh-CN"/>
        </w:rPr>
        <w:t>投标人</w:t>
      </w:r>
      <w:r>
        <w:rPr>
          <w:rFonts w:hint="eastAsia" w:ascii="宋体" w:hAnsi="宋体" w:eastAsia="宋体" w:cs="宋体"/>
        </w:rPr>
        <w:t>双方满意。</w:t>
      </w:r>
    </w:p>
    <w:p w14:paraId="547D6CF1">
      <w:pPr>
        <w:pStyle w:val="17"/>
        <w:pageBreakBefore w:val="0"/>
        <w:numPr>
          <w:ilvl w:val="0"/>
          <w:numId w:val="112"/>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经过设计的培训课程应确保设备的操作和维修工作顺利过渡到</w:t>
      </w:r>
      <w:r>
        <w:rPr>
          <w:rFonts w:hint="eastAsia" w:ascii="宋体" w:hAnsi="宋体" w:cs="宋体"/>
          <w:lang w:eastAsia="zh-CN"/>
        </w:rPr>
        <w:t>招标人</w:t>
      </w:r>
      <w:r>
        <w:rPr>
          <w:rFonts w:hint="eastAsia" w:ascii="宋体" w:hAnsi="宋体" w:eastAsia="宋体" w:cs="宋体"/>
        </w:rPr>
        <w:t>人员手中。</w:t>
      </w:r>
    </w:p>
    <w:p w14:paraId="2F0196DE">
      <w:pPr>
        <w:pStyle w:val="17"/>
        <w:pageBreakBefore w:val="0"/>
        <w:numPr>
          <w:ilvl w:val="0"/>
          <w:numId w:val="112"/>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培训进度应与项目的安装计划相匹配。</w:t>
      </w:r>
    </w:p>
    <w:p w14:paraId="22544FDE">
      <w:pPr>
        <w:pStyle w:val="17"/>
        <w:pageBreakBefore w:val="0"/>
        <w:numPr>
          <w:ilvl w:val="0"/>
          <w:numId w:val="112"/>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培训包应包括培训资料、手册和培训费用。为进一步培训维修人员，建议维修人员陪伴</w:t>
      </w:r>
      <w:r>
        <w:rPr>
          <w:rFonts w:hint="eastAsia" w:ascii="宋体" w:hAnsi="宋体" w:cs="宋体"/>
          <w:lang w:eastAsia="zh-CN"/>
        </w:rPr>
        <w:t>投标人</w:t>
      </w:r>
      <w:r>
        <w:rPr>
          <w:rFonts w:hint="eastAsia" w:ascii="宋体" w:hAnsi="宋体" w:eastAsia="宋体" w:cs="宋体"/>
        </w:rPr>
        <w:t>试生产工程师的现场工作。</w:t>
      </w:r>
    </w:p>
    <w:p w14:paraId="668A95C1">
      <w:pPr>
        <w:pStyle w:val="2"/>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bookmarkStart w:id="124" w:name="_Toc9752"/>
      <w:r>
        <w:rPr>
          <w:rFonts w:hint="eastAsia" w:ascii="宋体" w:hAnsi="宋体" w:eastAsia="宋体" w:cs="宋体"/>
          <w:b/>
          <w:bCs/>
          <w:sz w:val="24"/>
          <w:szCs w:val="24"/>
          <w:lang w:val="en-US" w:eastAsia="zh-CN"/>
        </w:rPr>
        <w:t>三</w:t>
      </w:r>
      <w:r>
        <w:rPr>
          <w:rFonts w:hint="eastAsia" w:ascii="宋体" w:hAnsi="宋体" w:eastAsia="宋体" w:cs="宋体"/>
          <w:b/>
          <w:bCs/>
          <w:sz w:val="24"/>
          <w:szCs w:val="24"/>
        </w:rPr>
        <w:t>、售后要求</w:t>
      </w:r>
      <w:bookmarkEnd w:id="124"/>
    </w:p>
    <w:p w14:paraId="25E591F7">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调试验收</w:t>
      </w:r>
      <w:r>
        <w:rPr>
          <w:rFonts w:hint="eastAsia" w:ascii="宋体" w:hAnsi="宋体" w:eastAsia="宋体" w:cs="宋体"/>
        </w:rPr>
        <w:t>合格后开始进入质量保证期，质量保证期为</w:t>
      </w:r>
      <w:r>
        <w:rPr>
          <w:rFonts w:hint="eastAsia" w:ascii="宋体" w:hAnsi="宋体" w:cs="宋体"/>
          <w:lang w:eastAsia="zh-CN"/>
        </w:rPr>
        <w:t>调试验收</w:t>
      </w:r>
      <w:r>
        <w:rPr>
          <w:rFonts w:hint="eastAsia" w:ascii="宋体" w:hAnsi="宋体" w:eastAsia="宋体" w:cs="宋体"/>
        </w:rPr>
        <w:t>合格后12个月，质量保证期</w:t>
      </w:r>
      <w:r>
        <w:rPr>
          <w:rFonts w:hint="eastAsia" w:ascii="宋体" w:hAnsi="宋体" w:cs="宋体"/>
          <w:lang w:eastAsia="zh-CN"/>
        </w:rPr>
        <w:t>投标人</w:t>
      </w:r>
      <w:r>
        <w:rPr>
          <w:rFonts w:hint="eastAsia" w:ascii="宋体" w:hAnsi="宋体" w:eastAsia="宋体" w:cs="宋体"/>
        </w:rPr>
        <w:t>履行免费保修义务。</w:t>
      </w:r>
    </w:p>
    <w:p w14:paraId="6E606530">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排除故障的时间要求：质保期内，设备如有质量问题，</w:t>
      </w:r>
      <w:r>
        <w:rPr>
          <w:rFonts w:hint="eastAsia" w:ascii="宋体" w:hAnsi="宋体" w:cs="宋体"/>
          <w:lang w:eastAsia="zh-CN"/>
        </w:rPr>
        <w:t>投标人</w:t>
      </w:r>
      <w:r>
        <w:rPr>
          <w:rFonts w:hint="eastAsia" w:ascii="宋体" w:hAnsi="宋体" w:eastAsia="宋体" w:cs="宋体"/>
        </w:rPr>
        <w:t>应在接到</w:t>
      </w:r>
      <w:r>
        <w:rPr>
          <w:rFonts w:hint="eastAsia" w:ascii="宋体" w:hAnsi="宋体" w:cs="宋体"/>
          <w:lang w:eastAsia="zh-CN"/>
        </w:rPr>
        <w:t>招标人</w:t>
      </w:r>
      <w:r>
        <w:rPr>
          <w:rFonts w:hint="eastAsia" w:ascii="宋体" w:hAnsi="宋体" w:eastAsia="宋体" w:cs="宋体"/>
        </w:rPr>
        <w:t>通知（电话或传真）之日起按如下要求为</w:t>
      </w:r>
      <w:r>
        <w:rPr>
          <w:rFonts w:hint="eastAsia" w:ascii="宋体" w:hAnsi="宋体" w:cs="宋体"/>
          <w:lang w:eastAsia="zh-CN"/>
        </w:rPr>
        <w:t>招标人</w:t>
      </w:r>
      <w:r>
        <w:rPr>
          <w:rFonts w:hint="eastAsia" w:ascii="宋体" w:hAnsi="宋体" w:eastAsia="宋体" w:cs="宋体"/>
        </w:rPr>
        <w:t>提供服务。</w:t>
      </w:r>
    </w:p>
    <w:p w14:paraId="33057DCB">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如设备部件属国内生产厂家制造的，</w:t>
      </w:r>
      <w:r>
        <w:rPr>
          <w:rFonts w:hint="eastAsia" w:ascii="宋体" w:hAnsi="宋体" w:cs="宋体"/>
          <w:lang w:eastAsia="zh-CN"/>
        </w:rPr>
        <w:t>投标人</w:t>
      </w:r>
      <w:r>
        <w:rPr>
          <w:rFonts w:hint="eastAsia" w:ascii="宋体" w:hAnsi="宋体" w:eastAsia="宋体" w:cs="宋体"/>
        </w:rPr>
        <w:t>应在接到通知后与</w:t>
      </w:r>
      <w:r>
        <w:rPr>
          <w:rFonts w:hint="eastAsia" w:ascii="宋体" w:hAnsi="宋体" w:cs="宋体"/>
          <w:lang w:eastAsia="zh-CN"/>
        </w:rPr>
        <w:t>招标人</w:t>
      </w:r>
      <w:r>
        <w:rPr>
          <w:rFonts w:hint="eastAsia" w:ascii="宋体" w:hAnsi="宋体" w:eastAsia="宋体" w:cs="宋体"/>
        </w:rPr>
        <w:t>的技术人员联系并告之其处理方法，在确认</w:t>
      </w:r>
      <w:r>
        <w:rPr>
          <w:rFonts w:hint="eastAsia" w:ascii="宋体" w:hAnsi="宋体" w:cs="宋体"/>
          <w:lang w:eastAsia="zh-CN"/>
        </w:rPr>
        <w:t>招标人</w:t>
      </w:r>
      <w:r>
        <w:rPr>
          <w:rFonts w:hint="eastAsia" w:ascii="宋体" w:hAnsi="宋体" w:eastAsia="宋体" w:cs="宋体"/>
        </w:rPr>
        <w:t>无法解决时，必须在接到通知的24小时内免费为</w:t>
      </w:r>
      <w:r>
        <w:rPr>
          <w:rFonts w:hint="eastAsia" w:ascii="宋体" w:hAnsi="宋体" w:cs="宋体"/>
          <w:lang w:eastAsia="zh-CN"/>
        </w:rPr>
        <w:t>招标人</w:t>
      </w:r>
      <w:r>
        <w:rPr>
          <w:rFonts w:hint="eastAsia" w:ascii="宋体" w:hAnsi="宋体" w:eastAsia="宋体" w:cs="宋体"/>
        </w:rPr>
        <w:t>维修或更换部件。</w:t>
      </w:r>
    </w:p>
    <w:p w14:paraId="1F1C0D18">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如设备部件属国外生产厂家制造的，易损件</w:t>
      </w:r>
      <w:r>
        <w:rPr>
          <w:rFonts w:hint="eastAsia" w:ascii="宋体" w:hAnsi="宋体" w:cs="宋体"/>
          <w:lang w:eastAsia="zh-CN"/>
        </w:rPr>
        <w:t>投标人</w:t>
      </w:r>
      <w:r>
        <w:rPr>
          <w:rFonts w:hint="eastAsia" w:ascii="宋体" w:hAnsi="宋体" w:eastAsia="宋体" w:cs="宋体"/>
        </w:rPr>
        <w:t>应储备一定的数量，除易损件外的零件，</w:t>
      </w:r>
      <w:r>
        <w:rPr>
          <w:rFonts w:hint="eastAsia" w:ascii="宋体" w:hAnsi="宋体" w:cs="宋体"/>
          <w:lang w:eastAsia="zh-CN"/>
        </w:rPr>
        <w:t>投标人</w:t>
      </w:r>
      <w:r>
        <w:rPr>
          <w:rFonts w:hint="eastAsia" w:ascii="宋体" w:hAnsi="宋体" w:eastAsia="宋体" w:cs="宋体"/>
        </w:rPr>
        <w:t>必须在3</w:t>
      </w:r>
      <w:r>
        <w:rPr>
          <w:rFonts w:hint="eastAsia" w:ascii="宋体" w:hAnsi="宋体" w:eastAsia="宋体" w:cs="宋体"/>
          <w:color w:val="000000"/>
        </w:rPr>
        <w:t>～</w:t>
      </w:r>
      <w:r>
        <w:rPr>
          <w:rFonts w:hint="eastAsia" w:ascii="宋体" w:hAnsi="宋体" w:eastAsia="宋体" w:cs="宋体"/>
        </w:rPr>
        <w:t>4天内采购回并免费为</w:t>
      </w:r>
      <w:r>
        <w:rPr>
          <w:rFonts w:hint="eastAsia" w:ascii="宋体" w:hAnsi="宋体" w:cs="宋体"/>
          <w:lang w:eastAsia="zh-CN"/>
        </w:rPr>
        <w:t>招标人</w:t>
      </w:r>
      <w:r>
        <w:rPr>
          <w:rFonts w:hint="eastAsia" w:ascii="宋体" w:hAnsi="宋体" w:eastAsia="宋体" w:cs="宋体"/>
        </w:rPr>
        <w:t>维修和更换部件。</w:t>
      </w:r>
    </w:p>
    <w:p w14:paraId="3E7FCDEF">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服务响应时间：接到有关服务要求的讯息后4小时内有回答。如确有质量问题需维修，</w:t>
      </w:r>
      <w:r>
        <w:rPr>
          <w:rFonts w:hint="eastAsia" w:ascii="宋体" w:hAnsi="宋体" w:cs="宋体"/>
          <w:lang w:eastAsia="zh-CN"/>
        </w:rPr>
        <w:t>投标人</w:t>
      </w:r>
      <w:r>
        <w:rPr>
          <w:rFonts w:hint="eastAsia" w:ascii="宋体" w:hAnsi="宋体" w:eastAsia="宋体" w:cs="宋体"/>
        </w:rPr>
        <w:t>维修恢复期不得超过</w:t>
      </w:r>
      <w:r>
        <w:rPr>
          <w:rFonts w:hint="eastAsia" w:ascii="宋体" w:hAnsi="宋体" w:cs="宋体"/>
          <w:lang w:eastAsia="zh-CN"/>
        </w:rPr>
        <w:t>招标人</w:t>
      </w:r>
      <w:r>
        <w:rPr>
          <w:rFonts w:hint="eastAsia" w:ascii="宋体" w:hAnsi="宋体" w:eastAsia="宋体" w:cs="宋体"/>
        </w:rPr>
        <w:t>3个停工日。</w:t>
      </w:r>
    </w:p>
    <w:p w14:paraId="041DC2D9">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本项目自</w:t>
      </w:r>
      <w:r>
        <w:rPr>
          <w:rFonts w:hint="eastAsia" w:ascii="宋体" w:hAnsi="宋体" w:cs="宋体"/>
          <w:lang w:eastAsia="zh-CN"/>
        </w:rPr>
        <w:t>调试验收</w:t>
      </w:r>
      <w:r>
        <w:rPr>
          <w:rFonts w:hint="eastAsia" w:ascii="宋体" w:hAnsi="宋体" w:eastAsia="宋体" w:cs="宋体"/>
        </w:rPr>
        <w:t>之日起，</w:t>
      </w:r>
      <w:r>
        <w:rPr>
          <w:rFonts w:hint="eastAsia" w:ascii="宋体" w:hAnsi="宋体" w:cs="宋体"/>
          <w:lang w:eastAsia="zh-CN"/>
        </w:rPr>
        <w:t>投标人</w:t>
      </w:r>
      <w:r>
        <w:rPr>
          <w:rFonts w:hint="eastAsia" w:ascii="宋体" w:hAnsi="宋体" w:eastAsia="宋体" w:cs="宋体"/>
        </w:rPr>
        <w:t>必须提供期限为1个月的免费陪产工作指导服务。</w:t>
      </w:r>
    </w:p>
    <w:p w14:paraId="39D4C809">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质保期内提供免费跟踪服务，每半年提供一次例行检查；</w:t>
      </w:r>
    </w:p>
    <w:p w14:paraId="64ABEF99">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质保期内每年对</w:t>
      </w:r>
      <w:r>
        <w:rPr>
          <w:rFonts w:hint="eastAsia" w:ascii="宋体" w:hAnsi="宋体" w:cs="宋体"/>
          <w:lang w:eastAsia="zh-CN"/>
        </w:rPr>
        <w:t>招标人</w:t>
      </w:r>
      <w:r>
        <w:rPr>
          <w:rFonts w:hint="eastAsia" w:ascii="宋体" w:hAnsi="宋体" w:eastAsia="宋体" w:cs="宋体"/>
        </w:rPr>
        <w:t>进行一次回访，收集</w:t>
      </w:r>
      <w:r>
        <w:rPr>
          <w:rFonts w:hint="eastAsia" w:ascii="宋体" w:hAnsi="宋体" w:cs="宋体"/>
          <w:lang w:eastAsia="zh-CN"/>
        </w:rPr>
        <w:t>招标人</w:t>
      </w:r>
      <w:r>
        <w:rPr>
          <w:rFonts w:hint="eastAsia" w:ascii="宋体" w:hAnsi="宋体" w:eastAsia="宋体" w:cs="宋体"/>
        </w:rPr>
        <w:t>意见和建议，及时解决工程有关事宜；</w:t>
      </w:r>
    </w:p>
    <w:p w14:paraId="03784301">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有义务在设备整个使用寿命周期内提供优质的服务；</w:t>
      </w:r>
    </w:p>
    <w:p w14:paraId="777ADF49">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质保期满后，</w:t>
      </w:r>
      <w:r>
        <w:rPr>
          <w:rFonts w:hint="eastAsia" w:ascii="宋体" w:hAnsi="宋体" w:cs="宋体"/>
          <w:lang w:eastAsia="zh-CN"/>
        </w:rPr>
        <w:t>投标人</w:t>
      </w:r>
      <w:r>
        <w:rPr>
          <w:rFonts w:hint="eastAsia" w:ascii="宋体" w:hAnsi="宋体" w:eastAsia="宋体" w:cs="宋体"/>
        </w:rPr>
        <w:t>应优惠供应备品备件；</w:t>
      </w:r>
    </w:p>
    <w:p w14:paraId="543C908C">
      <w:pPr>
        <w:pStyle w:val="17"/>
        <w:pageBreakBefore w:val="0"/>
        <w:numPr>
          <w:ilvl w:val="0"/>
          <w:numId w:val="113"/>
        </w:numPr>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为保证整个车身涂装车间设备正常运行，</w:t>
      </w:r>
      <w:r>
        <w:rPr>
          <w:rFonts w:hint="eastAsia" w:ascii="宋体" w:hAnsi="宋体" w:cs="宋体"/>
          <w:lang w:eastAsia="zh-CN"/>
        </w:rPr>
        <w:t>投标人</w:t>
      </w:r>
      <w:r>
        <w:rPr>
          <w:rFonts w:hint="eastAsia" w:ascii="宋体" w:hAnsi="宋体" w:eastAsia="宋体" w:cs="宋体"/>
        </w:rPr>
        <w:t>长期为</w:t>
      </w:r>
      <w:r>
        <w:rPr>
          <w:rFonts w:hint="eastAsia" w:ascii="宋体" w:hAnsi="宋体" w:cs="宋体"/>
          <w:lang w:eastAsia="zh-CN"/>
        </w:rPr>
        <w:t>招标人</w:t>
      </w:r>
      <w:r>
        <w:rPr>
          <w:rFonts w:hint="eastAsia" w:ascii="宋体" w:hAnsi="宋体" w:eastAsia="宋体" w:cs="宋体"/>
        </w:rPr>
        <w:t>提供相关的技术咨询。</w:t>
      </w:r>
    </w:p>
    <w:p w14:paraId="27EC0260">
      <w:pPr>
        <w:pStyle w:val="2"/>
        <w:pageBreakBefore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b/>
          <w:bCs/>
          <w:sz w:val="24"/>
          <w:szCs w:val="24"/>
        </w:rPr>
      </w:pPr>
      <w:bookmarkStart w:id="125" w:name="_Toc1757"/>
      <w:r>
        <w:rPr>
          <w:rFonts w:hint="eastAsia" w:ascii="宋体" w:hAnsi="宋体" w:eastAsia="宋体" w:cs="宋体"/>
          <w:b/>
          <w:bCs/>
          <w:sz w:val="24"/>
          <w:szCs w:val="24"/>
          <w:lang w:val="en-US" w:eastAsia="zh-CN"/>
        </w:rPr>
        <w:t>四</w:t>
      </w:r>
      <w:r>
        <w:rPr>
          <w:rFonts w:hint="eastAsia" w:ascii="宋体" w:hAnsi="宋体" w:eastAsia="宋体" w:cs="宋体"/>
          <w:b/>
          <w:bCs/>
          <w:sz w:val="24"/>
          <w:szCs w:val="24"/>
        </w:rPr>
        <w:t>、资料、辅件</w:t>
      </w:r>
      <w:bookmarkEnd w:id="125"/>
    </w:p>
    <w:p w14:paraId="1E04CDA6">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资料提供要求</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5"/>
        <w:gridCol w:w="5686"/>
        <w:gridCol w:w="882"/>
        <w:gridCol w:w="1378"/>
        <w:gridCol w:w="673"/>
      </w:tblGrid>
      <w:tr w14:paraId="761B2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437" w:type="pct"/>
            <w:vMerge w:val="restart"/>
            <w:vAlign w:val="center"/>
          </w:tcPr>
          <w:p w14:paraId="67254DF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3009" w:type="pct"/>
            <w:vMerge w:val="restart"/>
            <w:vAlign w:val="center"/>
          </w:tcPr>
          <w:p w14:paraId="5037508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资料名称</w:t>
            </w:r>
          </w:p>
        </w:tc>
        <w:tc>
          <w:tcPr>
            <w:tcW w:w="1196" w:type="pct"/>
            <w:gridSpan w:val="2"/>
          </w:tcPr>
          <w:p w14:paraId="6E0848C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资料形式</w:t>
            </w:r>
          </w:p>
        </w:tc>
        <w:tc>
          <w:tcPr>
            <w:tcW w:w="356" w:type="pct"/>
            <w:vMerge w:val="restart"/>
            <w:vAlign w:val="center"/>
          </w:tcPr>
          <w:p w14:paraId="13E29DD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备注</w:t>
            </w:r>
          </w:p>
        </w:tc>
      </w:tr>
      <w:tr w14:paraId="0AAF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3" w:hRule="atLeast"/>
          <w:jc w:val="center"/>
        </w:trPr>
        <w:tc>
          <w:tcPr>
            <w:tcW w:w="437" w:type="pct"/>
            <w:vMerge w:val="continue"/>
          </w:tcPr>
          <w:p w14:paraId="27DD2CF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p>
        </w:tc>
        <w:tc>
          <w:tcPr>
            <w:tcW w:w="3009" w:type="pct"/>
            <w:vMerge w:val="continue"/>
          </w:tcPr>
          <w:p w14:paraId="38C98FF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p>
        </w:tc>
        <w:tc>
          <w:tcPr>
            <w:tcW w:w="467" w:type="pct"/>
            <w:vAlign w:val="center"/>
          </w:tcPr>
          <w:p w14:paraId="4FE560F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书面版</w:t>
            </w:r>
          </w:p>
        </w:tc>
        <w:tc>
          <w:tcPr>
            <w:tcW w:w="728" w:type="pct"/>
            <w:vAlign w:val="center"/>
          </w:tcPr>
          <w:p w14:paraId="7BA9EAF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电子版</w:t>
            </w:r>
          </w:p>
        </w:tc>
        <w:tc>
          <w:tcPr>
            <w:tcW w:w="356" w:type="pct"/>
            <w:vMerge w:val="continue"/>
          </w:tcPr>
          <w:p w14:paraId="3F92C2F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
                <w:color w:val="000000"/>
                <w:sz w:val="24"/>
                <w:szCs w:val="24"/>
              </w:rPr>
            </w:pPr>
          </w:p>
        </w:tc>
      </w:tr>
      <w:tr w14:paraId="2078F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restart"/>
            <w:vAlign w:val="center"/>
          </w:tcPr>
          <w:p w14:paraId="664AE09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设计完成</w:t>
            </w:r>
          </w:p>
        </w:tc>
        <w:tc>
          <w:tcPr>
            <w:tcW w:w="3009" w:type="pct"/>
            <w:vAlign w:val="center"/>
          </w:tcPr>
          <w:p w14:paraId="256F0BA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设备平面布置图</w:t>
            </w:r>
          </w:p>
        </w:tc>
        <w:tc>
          <w:tcPr>
            <w:tcW w:w="467" w:type="pct"/>
            <w:vAlign w:val="center"/>
          </w:tcPr>
          <w:p w14:paraId="7EAB063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728" w:type="pct"/>
            <w:vAlign w:val="center"/>
          </w:tcPr>
          <w:p w14:paraId="349E8DA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restart"/>
            <w:vAlign w:val="center"/>
          </w:tcPr>
          <w:p w14:paraId="2F2B446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346654C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3C31EA8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76BDC28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0B8D8F2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709520A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38B8EA7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7F43A98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7A1CD6A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21D5012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35501D9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4DF7F6B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49A8EA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0B64072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3565EF5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p w14:paraId="3910EE9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bCs/>
                <w:color w:val="000000"/>
                <w:sz w:val="24"/>
                <w:szCs w:val="24"/>
              </w:rPr>
            </w:pPr>
          </w:p>
        </w:tc>
      </w:tr>
      <w:tr w14:paraId="2761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4257AA2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101F8001">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设备动能使用点及其用量图、所有管道走向布置图</w:t>
            </w:r>
          </w:p>
        </w:tc>
        <w:tc>
          <w:tcPr>
            <w:tcW w:w="882" w:type="dxa"/>
            <w:vAlign w:val="center"/>
          </w:tcPr>
          <w:p w14:paraId="4F2532F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0E63589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4C320EE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19E5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694E05B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048A059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设备动作描述图</w:t>
            </w:r>
          </w:p>
        </w:tc>
        <w:tc>
          <w:tcPr>
            <w:tcW w:w="882" w:type="dxa"/>
            <w:vAlign w:val="center"/>
          </w:tcPr>
          <w:p w14:paraId="70ED592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75B8CD7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7DC70A74">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D39E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3" w:hRule="exact"/>
          <w:jc w:val="center"/>
        </w:trPr>
        <w:tc>
          <w:tcPr>
            <w:tcW w:w="437" w:type="pct"/>
            <w:vMerge w:val="continue"/>
            <w:vAlign w:val="center"/>
          </w:tcPr>
          <w:p w14:paraId="6357775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56C33D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设备总图、原理图、流程图、断面图、设备安装图（装配图）、部件图。</w:t>
            </w:r>
          </w:p>
        </w:tc>
        <w:tc>
          <w:tcPr>
            <w:tcW w:w="882" w:type="dxa"/>
            <w:vAlign w:val="center"/>
          </w:tcPr>
          <w:p w14:paraId="46F83F2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32D5B4B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4AD1851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275B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4" w:hRule="exact"/>
          <w:jc w:val="center"/>
        </w:trPr>
        <w:tc>
          <w:tcPr>
            <w:tcW w:w="437" w:type="pct"/>
            <w:vMerge w:val="continue"/>
            <w:vAlign w:val="center"/>
          </w:tcPr>
          <w:p w14:paraId="35B7EF8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EC17BB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外购件明细表（含型号、规格、数量、能源消耗及备选厂家）</w:t>
            </w:r>
          </w:p>
        </w:tc>
        <w:tc>
          <w:tcPr>
            <w:tcW w:w="882" w:type="dxa"/>
            <w:vAlign w:val="center"/>
          </w:tcPr>
          <w:p w14:paraId="5F607D7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42BC8CA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0F6824F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14A39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4597EB9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A0F629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材料清单</w:t>
            </w:r>
          </w:p>
        </w:tc>
        <w:tc>
          <w:tcPr>
            <w:tcW w:w="882" w:type="dxa"/>
            <w:vAlign w:val="center"/>
          </w:tcPr>
          <w:p w14:paraId="34B1B0D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227CB4A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25907AA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778F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648821E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CAFDE3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标准件清单</w:t>
            </w:r>
          </w:p>
        </w:tc>
        <w:tc>
          <w:tcPr>
            <w:tcW w:w="882" w:type="dxa"/>
            <w:vAlign w:val="center"/>
          </w:tcPr>
          <w:p w14:paraId="7FE1A6A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28FCB7F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4EC847F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50306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713E7BB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A5DAC96">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备件清单</w:t>
            </w:r>
          </w:p>
        </w:tc>
        <w:tc>
          <w:tcPr>
            <w:tcW w:w="882" w:type="dxa"/>
            <w:vAlign w:val="center"/>
          </w:tcPr>
          <w:p w14:paraId="632E32F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E4E056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79FEF41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464F7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0AD985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19798B3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专用工具清单</w:t>
            </w:r>
          </w:p>
        </w:tc>
        <w:tc>
          <w:tcPr>
            <w:tcW w:w="882" w:type="dxa"/>
            <w:vAlign w:val="center"/>
          </w:tcPr>
          <w:p w14:paraId="7D85683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7D504F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15DF9C0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26F93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4211111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444CA1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项目实施方案及计划</w:t>
            </w:r>
          </w:p>
        </w:tc>
        <w:tc>
          <w:tcPr>
            <w:tcW w:w="882" w:type="dxa"/>
            <w:vAlign w:val="center"/>
          </w:tcPr>
          <w:p w14:paraId="33C90E3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6151DAE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6F35559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24B68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399EC96F">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4F9316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技术服务方案及人员培训计划</w:t>
            </w:r>
          </w:p>
        </w:tc>
        <w:tc>
          <w:tcPr>
            <w:tcW w:w="882" w:type="dxa"/>
            <w:vAlign w:val="center"/>
          </w:tcPr>
          <w:p w14:paraId="6E6E2DF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72B6E08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Merge w:val="continue"/>
            <w:vAlign w:val="center"/>
          </w:tcPr>
          <w:p w14:paraId="6675361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40F17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restart"/>
            <w:vAlign w:val="center"/>
          </w:tcPr>
          <w:p w14:paraId="06FA249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工程施工</w:t>
            </w:r>
          </w:p>
        </w:tc>
        <w:tc>
          <w:tcPr>
            <w:tcW w:w="3009" w:type="pct"/>
            <w:vAlign w:val="center"/>
          </w:tcPr>
          <w:p w14:paraId="1B267814">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装箱清单</w:t>
            </w:r>
          </w:p>
        </w:tc>
        <w:tc>
          <w:tcPr>
            <w:tcW w:w="882" w:type="dxa"/>
            <w:vAlign w:val="center"/>
          </w:tcPr>
          <w:p w14:paraId="6F133B8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1944F95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57C544C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8C2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2F4ADC2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212519B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施工图</w:t>
            </w:r>
          </w:p>
        </w:tc>
        <w:tc>
          <w:tcPr>
            <w:tcW w:w="882" w:type="dxa"/>
            <w:vAlign w:val="center"/>
          </w:tcPr>
          <w:p w14:paraId="6FE6303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351E9FC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1F31C5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5BC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442E773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06BEF1F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设备系统原理图</w:t>
            </w:r>
          </w:p>
        </w:tc>
        <w:tc>
          <w:tcPr>
            <w:tcW w:w="882" w:type="dxa"/>
            <w:vAlign w:val="center"/>
          </w:tcPr>
          <w:p w14:paraId="677CB13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17BE0F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02D5A08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C7E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207BD05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78B0455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安装检查记录</w:t>
            </w:r>
          </w:p>
        </w:tc>
        <w:tc>
          <w:tcPr>
            <w:tcW w:w="882" w:type="dxa"/>
            <w:vAlign w:val="center"/>
          </w:tcPr>
          <w:p w14:paraId="2FE9D23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248A0C4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4FEF14F">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2375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6327C37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BCA133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材质报告</w:t>
            </w:r>
          </w:p>
        </w:tc>
        <w:tc>
          <w:tcPr>
            <w:tcW w:w="882" w:type="dxa"/>
            <w:vAlign w:val="center"/>
          </w:tcPr>
          <w:p w14:paraId="6D3CC97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734096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3724F83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E0E0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691B498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2C5FC5B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设备关键零件热处理记录</w:t>
            </w:r>
          </w:p>
        </w:tc>
        <w:tc>
          <w:tcPr>
            <w:tcW w:w="882" w:type="dxa"/>
            <w:vAlign w:val="center"/>
          </w:tcPr>
          <w:p w14:paraId="142A179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43AEC09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8411B9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74B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3C6B16A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9D6974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产品合格证</w:t>
            </w:r>
          </w:p>
        </w:tc>
        <w:tc>
          <w:tcPr>
            <w:tcW w:w="882" w:type="dxa"/>
            <w:vAlign w:val="center"/>
          </w:tcPr>
          <w:p w14:paraId="278B924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0E321A5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55D3528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BA1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3FDC8B8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40FB7C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异常记录</w:t>
            </w:r>
          </w:p>
        </w:tc>
        <w:tc>
          <w:tcPr>
            <w:tcW w:w="882" w:type="dxa"/>
            <w:vAlign w:val="center"/>
          </w:tcPr>
          <w:p w14:paraId="4180D0E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40824FA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6D83D8C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5CD0B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5A750F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456DCBF">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施工规范</w:t>
            </w:r>
          </w:p>
        </w:tc>
        <w:tc>
          <w:tcPr>
            <w:tcW w:w="882" w:type="dxa"/>
            <w:vAlign w:val="center"/>
          </w:tcPr>
          <w:p w14:paraId="5C29D58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1090AE0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484E84F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1CD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restart"/>
            <w:vAlign w:val="center"/>
          </w:tcPr>
          <w:p w14:paraId="6FB29DD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设备调试～SOP</w:t>
            </w:r>
          </w:p>
        </w:tc>
        <w:tc>
          <w:tcPr>
            <w:tcW w:w="3009" w:type="pct"/>
            <w:vAlign w:val="center"/>
          </w:tcPr>
          <w:p w14:paraId="41DCCC1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各设备操作说明</w:t>
            </w:r>
          </w:p>
        </w:tc>
        <w:tc>
          <w:tcPr>
            <w:tcW w:w="882" w:type="dxa"/>
            <w:vAlign w:val="center"/>
          </w:tcPr>
          <w:p w14:paraId="31B676D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26EF9F5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644056B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4CD8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85AC216">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973CA7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各设备点检、保养说明书</w:t>
            </w:r>
          </w:p>
        </w:tc>
        <w:tc>
          <w:tcPr>
            <w:tcW w:w="882" w:type="dxa"/>
            <w:vAlign w:val="center"/>
          </w:tcPr>
          <w:p w14:paraId="0B1B760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37108B3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5F07CAF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42E0D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2503197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D92EC6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电气原理图、硬件接线图</w:t>
            </w:r>
          </w:p>
        </w:tc>
        <w:tc>
          <w:tcPr>
            <w:tcW w:w="882" w:type="dxa"/>
            <w:vAlign w:val="center"/>
          </w:tcPr>
          <w:p w14:paraId="0B03A3A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B921EA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0D1726F">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232F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74972684">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07A18FE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PLC最终程序（中文注释）、HMI画面程序</w:t>
            </w:r>
          </w:p>
        </w:tc>
        <w:tc>
          <w:tcPr>
            <w:tcW w:w="882" w:type="dxa"/>
            <w:vAlign w:val="center"/>
          </w:tcPr>
          <w:p w14:paraId="495C1AE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10B4E411">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5561BEC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77266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5457F61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010EAD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调试、试运转记录</w:t>
            </w:r>
          </w:p>
        </w:tc>
        <w:tc>
          <w:tcPr>
            <w:tcW w:w="882" w:type="dxa"/>
            <w:vAlign w:val="center"/>
          </w:tcPr>
          <w:p w14:paraId="35FFF23B">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04A8293D">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52E1C46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50F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43C88F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1AFAB694">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参数设定记录</w:t>
            </w:r>
          </w:p>
        </w:tc>
        <w:tc>
          <w:tcPr>
            <w:tcW w:w="882" w:type="dxa"/>
            <w:vAlign w:val="center"/>
          </w:tcPr>
          <w:p w14:paraId="0D73372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8048F0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44A1110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553B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6C4AF90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3182CF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电气绝缘检测记录</w:t>
            </w:r>
          </w:p>
        </w:tc>
        <w:tc>
          <w:tcPr>
            <w:tcW w:w="882" w:type="dxa"/>
            <w:vAlign w:val="center"/>
          </w:tcPr>
          <w:p w14:paraId="37D7B54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C90142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4342CE8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18EFD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03D7A9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9EBCE4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异常记录</w:t>
            </w:r>
          </w:p>
        </w:tc>
        <w:tc>
          <w:tcPr>
            <w:tcW w:w="882" w:type="dxa"/>
            <w:vAlign w:val="center"/>
          </w:tcPr>
          <w:p w14:paraId="775ECBB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059B4EE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5848B8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6796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5C76842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11762B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设备说明书</w:t>
            </w:r>
          </w:p>
        </w:tc>
        <w:tc>
          <w:tcPr>
            <w:tcW w:w="882" w:type="dxa"/>
            <w:vAlign w:val="center"/>
          </w:tcPr>
          <w:p w14:paraId="3B89FA2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7C1A72C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3555B4E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4D6F1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7F059818">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F35AEA0">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备件清单（包括型号、厂家、使用位置、现场安装数量）</w:t>
            </w:r>
          </w:p>
        </w:tc>
        <w:tc>
          <w:tcPr>
            <w:tcW w:w="882" w:type="dxa"/>
            <w:vAlign w:val="center"/>
          </w:tcPr>
          <w:p w14:paraId="6F2EFEDF">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EA3440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6278830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620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5CB0A99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97CF851">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精度检测报告</w:t>
            </w:r>
          </w:p>
        </w:tc>
        <w:tc>
          <w:tcPr>
            <w:tcW w:w="882" w:type="dxa"/>
            <w:vAlign w:val="center"/>
          </w:tcPr>
          <w:p w14:paraId="57F265F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76E1982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49BB8AF">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C9C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4691A5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5C3B6C2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培训教材</w:t>
            </w:r>
          </w:p>
        </w:tc>
        <w:tc>
          <w:tcPr>
            <w:tcW w:w="882" w:type="dxa"/>
            <w:vAlign w:val="center"/>
          </w:tcPr>
          <w:p w14:paraId="71AC5EC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19C12B18">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2574ADE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57C3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restart"/>
            <w:vAlign w:val="center"/>
          </w:tcPr>
          <w:p w14:paraId="148276F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最</w:t>
            </w:r>
            <w:r>
              <w:rPr>
                <w:rFonts w:hint="eastAsia" w:ascii="宋体" w:hAnsi="宋体" w:eastAsia="宋体" w:cs="宋体"/>
                <w:color w:val="000000"/>
                <w:sz w:val="24"/>
                <w:szCs w:val="24"/>
                <w:lang w:eastAsia="zh-CN"/>
              </w:rPr>
              <w:t>调试验收</w:t>
            </w:r>
          </w:p>
        </w:tc>
        <w:tc>
          <w:tcPr>
            <w:tcW w:w="3009" w:type="pct"/>
            <w:vAlign w:val="center"/>
          </w:tcPr>
          <w:p w14:paraId="67613EB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设备竣工图</w:t>
            </w:r>
          </w:p>
        </w:tc>
        <w:tc>
          <w:tcPr>
            <w:tcW w:w="882" w:type="dxa"/>
            <w:vAlign w:val="center"/>
          </w:tcPr>
          <w:p w14:paraId="5A913FC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5F0CDB4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2C70FAE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5A54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2" w:hRule="exact"/>
          <w:jc w:val="center"/>
        </w:trPr>
        <w:tc>
          <w:tcPr>
            <w:tcW w:w="437" w:type="pct"/>
            <w:vMerge w:val="continue"/>
            <w:vAlign w:val="center"/>
          </w:tcPr>
          <w:p w14:paraId="0E321C1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3835852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最终PLC程序、HMI监控画面程序（画面程序可以不提供纸档）</w:t>
            </w:r>
          </w:p>
        </w:tc>
        <w:tc>
          <w:tcPr>
            <w:tcW w:w="882" w:type="dxa"/>
            <w:vAlign w:val="center"/>
          </w:tcPr>
          <w:p w14:paraId="7ADCADA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669E7696">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69F091C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218A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9" w:hRule="exact"/>
          <w:jc w:val="center"/>
        </w:trPr>
        <w:tc>
          <w:tcPr>
            <w:tcW w:w="437" w:type="pct"/>
            <w:vMerge w:val="continue"/>
            <w:vAlign w:val="center"/>
          </w:tcPr>
          <w:p w14:paraId="692A1AF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74438EC4">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PLC正版编程软件、HMI画面正版制作软件、变频器正版调试软件</w:t>
            </w:r>
          </w:p>
        </w:tc>
        <w:tc>
          <w:tcPr>
            <w:tcW w:w="882" w:type="dxa"/>
            <w:vAlign w:val="center"/>
          </w:tcPr>
          <w:p w14:paraId="2ABD47B4">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133DB605">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1C40D8D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F46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1858A55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6FD5EF1">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最终电气接线图（和现场保持一致）</w:t>
            </w:r>
          </w:p>
        </w:tc>
        <w:tc>
          <w:tcPr>
            <w:tcW w:w="882" w:type="dxa"/>
            <w:vAlign w:val="center"/>
          </w:tcPr>
          <w:p w14:paraId="4AEC664C">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114713F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761B3B31">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3330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3F7B96E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07A686AC">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所有系列型号变频器等功能仪表设定参数表</w:t>
            </w:r>
          </w:p>
        </w:tc>
        <w:tc>
          <w:tcPr>
            <w:tcW w:w="882" w:type="dxa"/>
            <w:vAlign w:val="center"/>
          </w:tcPr>
          <w:p w14:paraId="1DC874D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08030BD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0F3DFF7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7DAFD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3B58F1A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230C1F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现场网络布置，I/O地址分配表</w:t>
            </w:r>
          </w:p>
        </w:tc>
        <w:tc>
          <w:tcPr>
            <w:tcW w:w="882" w:type="dxa"/>
            <w:vAlign w:val="center"/>
          </w:tcPr>
          <w:p w14:paraId="78538880">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63B22C3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50A0F92A">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5E5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4548F03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34465F42">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所有设计图、机械及电气原理图</w:t>
            </w:r>
          </w:p>
        </w:tc>
        <w:tc>
          <w:tcPr>
            <w:tcW w:w="882" w:type="dxa"/>
            <w:vAlign w:val="center"/>
          </w:tcPr>
          <w:p w14:paraId="47E9EF73">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1378" w:type="dxa"/>
            <w:vAlign w:val="center"/>
          </w:tcPr>
          <w:p w14:paraId="0DB9D74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3566B6F1">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09936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37" w:type="pct"/>
            <w:vMerge w:val="continue"/>
            <w:vAlign w:val="center"/>
          </w:tcPr>
          <w:p w14:paraId="29EE4A7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B85C32E">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易损机械部件图</w:t>
            </w:r>
          </w:p>
        </w:tc>
        <w:tc>
          <w:tcPr>
            <w:tcW w:w="467" w:type="pct"/>
            <w:vAlign w:val="center"/>
          </w:tcPr>
          <w:p w14:paraId="2197EA8E">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728" w:type="pct"/>
            <w:vAlign w:val="center"/>
          </w:tcPr>
          <w:p w14:paraId="32C2821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129E172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7BB8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exact"/>
          <w:jc w:val="center"/>
        </w:trPr>
        <w:tc>
          <w:tcPr>
            <w:tcW w:w="437" w:type="pct"/>
            <w:vMerge w:val="continue"/>
            <w:vAlign w:val="center"/>
          </w:tcPr>
          <w:p w14:paraId="66EEB317">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42365169">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设备维护保养手册，上面要明确零部件润滑周期，及检查更换零部件的检查周期及方法。</w:t>
            </w:r>
          </w:p>
        </w:tc>
        <w:tc>
          <w:tcPr>
            <w:tcW w:w="467" w:type="pct"/>
            <w:vAlign w:val="center"/>
          </w:tcPr>
          <w:p w14:paraId="2D57B717">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份</w:t>
            </w:r>
          </w:p>
        </w:tc>
        <w:tc>
          <w:tcPr>
            <w:tcW w:w="728" w:type="pct"/>
            <w:vAlign w:val="center"/>
          </w:tcPr>
          <w:p w14:paraId="2D826CC2">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rPr>
              <w:t>份</w:t>
            </w:r>
          </w:p>
        </w:tc>
        <w:tc>
          <w:tcPr>
            <w:tcW w:w="356" w:type="pct"/>
            <w:vAlign w:val="center"/>
          </w:tcPr>
          <w:p w14:paraId="21EC232B">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r w14:paraId="631AD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exact"/>
          <w:jc w:val="center"/>
        </w:trPr>
        <w:tc>
          <w:tcPr>
            <w:tcW w:w="437" w:type="pct"/>
            <w:vMerge w:val="continue"/>
            <w:vAlign w:val="center"/>
          </w:tcPr>
          <w:p w14:paraId="095C4BD5">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p>
        </w:tc>
        <w:tc>
          <w:tcPr>
            <w:tcW w:w="3009" w:type="pct"/>
            <w:vAlign w:val="center"/>
          </w:tcPr>
          <w:p w14:paraId="6672045D">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PLC、变频器、电动推杆等重要元器件产品手册及相关资料。</w:t>
            </w:r>
          </w:p>
        </w:tc>
        <w:tc>
          <w:tcPr>
            <w:tcW w:w="467" w:type="pct"/>
            <w:vAlign w:val="center"/>
          </w:tcPr>
          <w:p w14:paraId="2F0D5A0A">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2份</w:t>
            </w:r>
          </w:p>
        </w:tc>
        <w:tc>
          <w:tcPr>
            <w:tcW w:w="728" w:type="pct"/>
            <w:vAlign w:val="center"/>
          </w:tcPr>
          <w:p w14:paraId="4603D1C9">
            <w:pPr>
              <w:pageBreakBefore w:val="0"/>
              <w:kinsoku/>
              <w:wordWrap/>
              <w:overflowPunct/>
              <w:topLinePunct w:val="0"/>
              <w:bidi w:val="0"/>
              <w:adjustRightInd w:val="0"/>
              <w:snapToGrid w:val="0"/>
              <w:spacing w:afterAutospacing="0" w:line="240" w:lineRule="auto"/>
              <w:ind w:left="0" w:lef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356" w:type="pct"/>
            <w:vAlign w:val="center"/>
          </w:tcPr>
          <w:p w14:paraId="7B914E03">
            <w:pPr>
              <w:pageBreakBefore w:val="0"/>
              <w:kinsoku/>
              <w:wordWrap/>
              <w:overflowPunct/>
              <w:topLinePunct w:val="0"/>
              <w:bidi w:val="0"/>
              <w:adjustRightInd w:val="0"/>
              <w:snapToGrid w:val="0"/>
              <w:spacing w:afterAutospacing="0" w:line="240" w:lineRule="auto"/>
              <w:ind w:left="0" w:leftChars="0" w:firstLine="0" w:firstLineChars="0"/>
              <w:textAlignment w:val="auto"/>
              <w:rPr>
                <w:rFonts w:hint="eastAsia" w:ascii="宋体" w:hAnsi="宋体" w:eastAsia="宋体" w:cs="宋体"/>
                <w:bCs/>
                <w:color w:val="000000"/>
                <w:sz w:val="24"/>
                <w:szCs w:val="24"/>
              </w:rPr>
            </w:pPr>
          </w:p>
        </w:tc>
      </w:tr>
    </w:tbl>
    <w:p w14:paraId="1C201055">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特制件要求：规格，材质，处理方式，厂家，联系方式，必须写清楚。相关热处理工艺均需提供相应检测报告，</w:t>
      </w:r>
      <w:r>
        <w:rPr>
          <w:rFonts w:hint="eastAsia" w:ascii="宋体" w:hAnsi="宋体" w:cs="宋体"/>
          <w:color w:val="000000"/>
          <w:lang w:eastAsia="zh-CN"/>
        </w:rPr>
        <w:t>招标人</w:t>
      </w:r>
      <w:r>
        <w:rPr>
          <w:rFonts w:hint="eastAsia" w:ascii="宋体" w:hAnsi="宋体" w:eastAsia="宋体" w:cs="宋体"/>
          <w:color w:val="000000"/>
        </w:rPr>
        <w:t>将依据报告结果进行实施抽查。</w:t>
      </w:r>
    </w:p>
    <w:p w14:paraId="39B037F7">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生产过程中每道工序</w:t>
      </w:r>
      <w:r>
        <w:rPr>
          <w:rFonts w:hint="eastAsia" w:ascii="宋体" w:hAnsi="宋体" w:cs="宋体"/>
          <w:color w:val="000000"/>
          <w:lang w:eastAsia="zh-CN"/>
        </w:rPr>
        <w:t>投标人</w:t>
      </w:r>
      <w:r>
        <w:rPr>
          <w:rFonts w:hint="eastAsia" w:ascii="宋体" w:hAnsi="宋体" w:eastAsia="宋体" w:cs="宋体"/>
          <w:color w:val="000000"/>
        </w:rPr>
        <w:t>都要进行检验，并有详细记录，检验合格后才能转入下道工序进行加工，装配过程各个交接点都要有详细记录，在设备出厂前进行整机出厂检验。</w:t>
      </w:r>
    </w:p>
    <w:p w14:paraId="03FBB760">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提供电子版资料说明：电气原理图，机械原理图、施工图及相关技术资料格式为CAD2014版本或以上，都为可编辑。</w:t>
      </w:r>
    </w:p>
    <w:p w14:paraId="65ADE677">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招标人</w:t>
      </w:r>
      <w:r>
        <w:rPr>
          <w:rFonts w:hint="eastAsia" w:ascii="宋体" w:hAnsi="宋体" w:eastAsia="宋体" w:cs="宋体"/>
          <w:color w:val="000000"/>
        </w:rPr>
        <w:t>提供废料线油漆主体色色标。</w:t>
      </w:r>
    </w:p>
    <w:p w14:paraId="3E8B713B">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设备线体主要元件品牌参考主要元器件清单。</w:t>
      </w:r>
    </w:p>
    <w:p w14:paraId="3A1D5CDC">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eastAsia="宋体" w:cs="宋体"/>
          <w:color w:val="000000"/>
        </w:rPr>
        <w:t>设备在设计过程中遇到其它未明确的各备件品牌，全部按主备件清单中使用的备件品牌，保证备件品牌统一。</w:t>
      </w:r>
    </w:p>
    <w:p w14:paraId="410FA377">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rPr>
      </w:pPr>
      <w:r>
        <w:rPr>
          <w:rFonts w:hint="eastAsia" w:ascii="宋体" w:hAnsi="宋体" w:cs="宋体"/>
          <w:color w:val="000000"/>
          <w:lang w:eastAsia="zh-CN"/>
        </w:rPr>
        <w:t>投标人</w:t>
      </w:r>
      <w:r>
        <w:rPr>
          <w:rFonts w:hint="eastAsia" w:ascii="宋体" w:hAnsi="宋体" w:eastAsia="宋体" w:cs="宋体"/>
          <w:color w:val="000000"/>
        </w:rPr>
        <w:t>备品备件清单（内容包括：型号、装机数量、价格），含随机备件、随机工具清单内容，但不局限此清单，</w:t>
      </w:r>
      <w:r>
        <w:rPr>
          <w:rFonts w:hint="eastAsia" w:ascii="宋体" w:hAnsi="宋体" w:cs="宋体"/>
          <w:color w:val="000000"/>
          <w:lang w:eastAsia="zh-CN"/>
        </w:rPr>
        <w:t>投标人</w:t>
      </w:r>
      <w:r>
        <w:rPr>
          <w:rFonts w:hint="eastAsia" w:ascii="宋体" w:hAnsi="宋体" w:eastAsia="宋体" w:cs="宋体"/>
          <w:color w:val="000000"/>
        </w:rPr>
        <w:t>提供随机备件和随机工具清单内容。</w:t>
      </w:r>
    </w:p>
    <w:p w14:paraId="0D8E1A27">
      <w:pPr>
        <w:pStyle w:val="17"/>
        <w:pageBreakBefore w:val="0"/>
        <w:numPr>
          <w:ilvl w:val="0"/>
          <w:numId w:val="114"/>
        </w:numPr>
        <w:tabs>
          <w:tab w:val="left" w:pos="0"/>
        </w:tabs>
        <w:kinsoku/>
        <w:wordWrap/>
        <w:overflowPunct/>
        <w:topLinePunct w:val="0"/>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rPr>
        <w:t>所有进口备件必须提供关税上缴证明（或相关的证明文件），并提供一级供应商资质证明（或与厂家直接购买的采购合同）。</w:t>
      </w:r>
    </w:p>
    <w:p w14:paraId="58C8C547">
      <w:pPr>
        <w:pStyle w:val="3"/>
        <w:pageBreakBefore w:val="0"/>
        <w:kinsoku/>
        <w:wordWrap/>
        <w:topLinePunct w:val="0"/>
        <w:bidi w:val="0"/>
        <w:adjustRightInd w:val="0"/>
        <w:snapToGrid w:val="0"/>
        <w:spacing w:before="0" w:afterAutospacing="0" w:line="360" w:lineRule="auto"/>
        <w:ind w:left="0" w:leftChars="0" w:firstLine="0" w:firstLineChars="0"/>
        <w:jc w:val="center"/>
        <w:rPr>
          <w:rFonts w:hint="eastAsia" w:ascii="宋体" w:hAnsi="宋体" w:eastAsia="宋体" w:cs="宋体"/>
          <w:b w:val="0"/>
          <w:bCs w:val="0"/>
          <w:color w:val="000000"/>
          <w:sz w:val="30"/>
          <w:szCs w:val="30"/>
        </w:rPr>
      </w:pPr>
      <w:r>
        <w:rPr>
          <w:rFonts w:hint="eastAsia" w:ascii="宋体" w:hAnsi="宋体" w:eastAsia="宋体" w:cs="宋体"/>
          <w:b/>
          <w:bCs/>
          <w:sz w:val="30"/>
          <w:szCs w:val="30"/>
        </w:rPr>
        <w:t>附件二</w:t>
      </w:r>
      <w:r>
        <w:rPr>
          <w:rFonts w:hint="eastAsia" w:ascii="宋体" w:hAnsi="宋体" w:eastAsia="宋体" w:cs="宋体"/>
          <w:b/>
          <w:bCs/>
          <w:sz w:val="30"/>
          <w:szCs w:val="30"/>
          <w:lang w:eastAsia="zh-CN"/>
        </w:rPr>
        <w:t>、</w:t>
      </w:r>
      <w:r>
        <w:rPr>
          <w:rFonts w:hint="eastAsia" w:ascii="宋体" w:hAnsi="宋体" w:eastAsia="宋体" w:cs="宋体"/>
          <w:b/>
          <w:bCs/>
          <w:sz w:val="30"/>
          <w:szCs w:val="30"/>
        </w:rPr>
        <w:t>集中供胶、漆、蜡系统技术要求</w:t>
      </w:r>
    </w:p>
    <w:p w14:paraId="4B4A4853">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bookmarkStart w:id="126" w:name="_Toc15720"/>
      <w:r>
        <w:rPr>
          <w:rFonts w:hint="eastAsia" w:ascii="宋体" w:hAnsi="宋体" w:eastAsia="宋体" w:cs="宋体"/>
          <w:b/>
          <w:bCs/>
          <w:sz w:val="24"/>
          <w:szCs w:val="24"/>
        </w:rPr>
        <w:t>项目前提说明</w:t>
      </w:r>
      <w:bookmarkEnd w:id="126"/>
      <w:r>
        <w:rPr>
          <w:rFonts w:hint="eastAsia" w:ascii="宋体" w:hAnsi="宋体" w:eastAsia="宋体" w:cs="宋体"/>
          <w:sz w:val="24"/>
          <w:szCs w:val="24"/>
        </w:rPr>
        <w:t xml:space="preserve"> </w:t>
      </w:r>
    </w:p>
    <w:p w14:paraId="3FB75EB5">
      <w:pPr>
        <w:pStyle w:val="3"/>
        <w:pageBreakBefore w:val="0"/>
        <w:numPr>
          <w:ilvl w:val="0"/>
          <w:numId w:val="11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责任说明</w:t>
      </w:r>
    </w:p>
    <w:p w14:paraId="0B166F56">
      <w:pPr>
        <w:pStyle w:val="4"/>
        <w:pageBreakBefore w:val="0"/>
        <w:numPr>
          <w:ilvl w:val="0"/>
          <w:numId w:val="11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eastAsia="zh-CN"/>
        </w:rPr>
        <w:t>招标人</w:t>
      </w:r>
      <w:r>
        <w:rPr>
          <w:rFonts w:hint="eastAsia" w:ascii="宋体" w:hAnsi="宋体" w:eastAsia="宋体" w:cs="宋体"/>
          <w:sz w:val="24"/>
        </w:rPr>
        <w:t>责任</w:t>
      </w:r>
    </w:p>
    <w:p w14:paraId="6D64B596">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负责完成涂装车间土建工程（包括设备基础）、公用工程的施工；并负责将水、电、气、热水、冷水、接地及公用管线接至设备接口附近</w:t>
      </w:r>
      <w:r>
        <w:rPr>
          <w:rFonts w:hint="eastAsia" w:ascii="宋体" w:hAnsi="宋体" w:eastAsia="宋体" w:cs="宋体"/>
          <w:lang w:eastAsia="zh-CN"/>
        </w:rPr>
        <w:t>，</w:t>
      </w:r>
      <w:r>
        <w:rPr>
          <w:rFonts w:hint="eastAsia" w:ascii="宋体" w:hAnsi="宋体" w:eastAsia="宋体" w:cs="宋体"/>
        </w:rPr>
        <w:t>由</w:t>
      </w:r>
      <w:r>
        <w:rPr>
          <w:rFonts w:hint="eastAsia" w:ascii="宋体" w:hAnsi="宋体" w:cs="宋体"/>
          <w:lang w:eastAsia="zh-CN"/>
        </w:rPr>
        <w:t>投标人</w:t>
      </w:r>
      <w:r>
        <w:rPr>
          <w:rFonts w:hint="eastAsia" w:ascii="宋体" w:hAnsi="宋体" w:eastAsia="宋体" w:cs="宋体"/>
        </w:rPr>
        <w:t>自行接取。因施工产生能源消耗，</w:t>
      </w:r>
      <w:r>
        <w:rPr>
          <w:rFonts w:hint="eastAsia" w:ascii="宋体" w:hAnsi="宋体" w:cs="宋体"/>
          <w:lang w:eastAsia="zh-CN"/>
        </w:rPr>
        <w:t>投标人</w:t>
      </w:r>
      <w:r>
        <w:rPr>
          <w:rFonts w:hint="eastAsia" w:ascii="宋体" w:hAnsi="宋体" w:eastAsia="宋体" w:cs="宋体"/>
        </w:rPr>
        <w:t>须承担费用。</w:t>
      </w:r>
    </w:p>
    <w:p w14:paraId="1D21402C">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分别提供漆、胶、蜡材料参数供</w:t>
      </w:r>
      <w:r>
        <w:rPr>
          <w:rFonts w:hint="eastAsia" w:ascii="宋体" w:hAnsi="宋体" w:cs="宋体"/>
          <w:lang w:eastAsia="zh-CN"/>
        </w:rPr>
        <w:t>投标人</w:t>
      </w:r>
      <w:r>
        <w:rPr>
          <w:rFonts w:hint="eastAsia" w:ascii="宋体" w:hAnsi="宋体" w:eastAsia="宋体" w:cs="宋体"/>
        </w:rPr>
        <w:t>设计参考。</w:t>
      </w:r>
    </w:p>
    <w:p w14:paraId="23501D74">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在完成车间的土建工程和相关的公用、设备配套工程，具备设备进场施工条件后，通知</w:t>
      </w:r>
      <w:r>
        <w:rPr>
          <w:rFonts w:hint="eastAsia" w:ascii="宋体" w:hAnsi="宋体" w:cs="宋体"/>
          <w:lang w:eastAsia="zh-CN"/>
        </w:rPr>
        <w:t>投标人</w:t>
      </w:r>
      <w:r>
        <w:rPr>
          <w:rFonts w:hint="eastAsia" w:ascii="宋体" w:hAnsi="宋体" w:eastAsia="宋体" w:cs="宋体"/>
        </w:rPr>
        <w:t>进场。</w:t>
      </w:r>
      <w:r>
        <w:rPr>
          <w:rFonts w:hint="eastAsia" w:ascii="宋体" w:hAnsi="宋体" w:cs="宋体"/>
          <w:lang w:eastAsia="zh-CN"/>
        </w:rPr>
        <w:t>投标人</w:t>
      </w:r>
      <w:r>
        <w:rPr>
          <w:rFonts w:hint="eastAsia" w:ascii="宋体" w:hAnsi="宋体" w:eastAsia="宋体" w:cs="宋体"/>
        </w:rPr>
        <w:t>须配合</w:t>
      </w:r>
      <w:r>
        <w:rPr>
          <w:rFonts w:hint="eastAsia" w:ascii="宋体" w:hAnsi="宋体" w:cs="宋体"/>
          <w:lang w:eastAsia="zh-CN"/>
        </w:rPr>
        <w:t>招标人</w:t>
      </w:r>
      <w:r>
        <w:rPr>
          <w:rFonts w:hint="eastAsia" w:ascii="宋体" w:hAnsi="宋体" w:eastAsia="宋体" w:cs="宋体"/>
        </w:rPr>
        <w:t>执行进场手续办理，包括但不限于以下：相关施工管理制度宣贯、设备及材料进场检验、临时工作证办理、临电登记及接取等，以上手续办理内容如产生费用或押金的由</w:t>
      </w:r>
      <w:r>
        <w:rPr>
          <w:rFonts w:hint="eastAsia" w:ascii="宋体" w:hAnsi="宋体" w:cs="宋体"/>
          <w:lang w:eastAsia="zh-CN"/>
        </w:rPr>
        <w:t>投标人</w:t>
      </w:r>
      <w:r>
        <w:rPr>
          <w:rFonts w:hint="eastAsia" w:ascii="宋体" w:hAnsi="宋体" w:eastAsia="宋体" w:cs="宋体"/>
        </w:rPr>
        <w:t>自行承担。</w:t>
      </w:r>
    </w:p>
    <w:p w14:paraId="56008F93">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为</w:t>
      </w:r>
      <w:r>
        <w:rPr>
          <w:rFonts w:hint="eastAsia" w:ascii="宋体" w:hAnsi="宋体" w:cs="宋体"/>
          <w:lang w:eastAsia="zh-CN"/>
        </w:rPr>
        <w:t>投标人</w:t>
      </w:r>
      <w:r>
        <w:rPr>
          <w:rFonts w:hint="eastAsia" w:ascii="宋体" w:hAnsi="宋体" w:eastAsia="宋体" w:cs="宋体"/>
        </w:rPr>
        <w:t>现场卸货、制造、安装尽可能提供相应的协助，如起吊、搬运工具等，费用由</w:t>
      </w:r>
      <w:r>
        <w:rPr>
          <w:rFonts w:hint="eastAsia" w:ascii="宋体" w:hAnsi="宋体" w:cs="宋体"/>
          <w:lang w:eastAsia="zh-CN"/>
        </w:rPr>
        <w:t>投标人</w:t>
      </w:r>
      <w:r>
        <w:rPr>
          <w:rFonts w:hint="eastAsia" w:ascii="宋体" w:hAnsi="宋体" w:eastAsia="宋体" w:cs="宋体"/>
        </w:rPr>
        <w:t>承担。</w:t>
      </w:r>
    </w:p>
    <w:p w14:paraId="77462327">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对</w:t>
      </w:r>
      <w:r>
        <w:rPr>
          <w:rFonts w:hint="eastAsia" w:ascii="宋体" w:hAnsi="宋体" w:cs="宋体"/>
          <w:lang w:eastAsia="zh-CN"/>
        </w:rPr>
        <w:t>投标人</w:t>
      </w:r>
      <w:r>
        <w:rPr>
          <w:rFonts w:hint="eastAsia" w:ascii="宋体" w:hAnsi="宋体" w:eastAsia="宋体" w:cs="宋体"/>
        </w:rPr>
        <w:t>有全面的监督检查权，有权审查施工制作单位、供货单位的资格、质量和信誉等，如施工制作单位或供货单位不能满足</w:t>
      </w:r>
      <w:r>
        <w:rPr>
          <w:rFonts w:hint="eastAsia" w:ascii="宋体" w:hAnsi="宋体" w:cs="宋体"/>
          <w:lang w:eastAsia="zh-CN"/>
        </w:rPr>
        <w:t>招标人</w:t>
      </w:r>
      <w:r>
        <w:rPr>
          <w:rFonts w:hint="eastAsia" w:ascii="宋体" w:hAnsi="宋体" w:eastAsia="宋体" w:cs="宋体"/>
        </w:rPr>
        <w:t>要求，</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进行替换，并不另行支付费用。</w:t>
      </w:r>
    </w:p>
    <w:p w14:paraId="17D86FDF">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对本项目有全面的监督检查权，有权监督协调工程的施工进度，有权审查设备的制造、外购件的购置和设备的安装质量。如设备的制造、安装和外购件质量等方面不能满足</w:t>
      </w:r>
      <w:r>
        <w:rPr>
          <w:rFonts w:hint="eastAsia" w:ascii="宋体" w:hAnsi="宋体" w:cs="宋体"/>
          <w:lang w:eastAsia="zh-CN"/>
        </w:rPr>
        <w:t>招标人</w:t>
      </w:r>
      <w:r>
        <w:rPr>
          <w:rFonts w:hint="eastAsia" w:ascii="宋体" w:hAnsi="宋体" w:eastAsia="宋体" w:cs="宋体"/>
        </w:rPr>
        <w:t>要求，</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暂停设备的制造和安装，替换不符合要求的外购件。</w:t>
      </w:r>
      <w:r>
        <w:rPr>
          <w:rFonts w:hint="eastAsia" w:ascii="宋体" w:hAnsi="宋体" w:cs="宋体"/>
          <w:lang w:eastAsia="zh-CN"/>
        </w:rPr>
        <w:t>投标人</w:t>
      </w:r>
      <w:r>
        <w:rPr>
          <w:rFonts w:hint="eastAsia" w:ascii="宋体" w:hAnsi="宋体" w:eastAsia="宋体" w:cs="宋体"/>
        </w:rPr>
        <w:t>应立即采取措施，加以改进，直至达到</w:t>
      </w:r>
      <w:r>
        <w:rPr>
          <w:rFonts w:hint="eastAsia" w:ascii="宋体" w:hAnsi="宋体" w:cs="宋体"/>
          <w:lang w:eastAsia="zh-CN"/>
        </w:rPr>
        <w:t>招标人</w:t>
      </w:r>
      <w:r>
        <w:rPr>
          <w:rFonts w:hint="eastAsia" w:ascii="宋体" w:hAnsi="宋体" w:eastAsia="宋体" w:cs="宋体"/>
        </w:rPr>
        <w:t>要求为止，因此产生的费用或工期延迟等，均由</w:t>
      </w:r>
      <w:r>
        <w:rPr>
          <w:rFonts w:hint="eastAsia" w:ascii="宋体" w:hAnsi="宋体" w:cs="宋体"/>
          <w:lang w:eastAsia="zh-CN"/>
        </w:rPr>
        <w:t>投标人</w:t>
      </w:r>
      <w:r>
        <w:rPr>
          <w:rFonts w:hint="eastAsia" w:ascii="宋体" w:hAnsi="宋体" w:eastAsia="宋体" w:cs="宋体"/>
        </w:rPr>
        <w:t>自行承担。</w:t>
      </w:r>
    </w:p>
    <w:p w14:paraId="2A03EF29">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按时派遣相关人员参加</w:t>
      </w:r>
      <w:r>
        <w:rPr>
          <w:rFonts w:hint="eastAsia" w:ascii="宋体" w:hAnsi="宋体" w:cs="宋体"/>
          <w:lang w:eastAsia="zh-CN"/>
        </w:rPr>
        <w:t>投标人</w:t>
      </w:r>
      <w:r>
        <w:rPr>
          <w:rFonts w:hint="eastAsia" w:ascii="宋体" w:hAnsi="宋体" w:eastAsia="宋体" w:cs="宋体"/>
        </w:rPr>
        <w:t>组织的技术培训。</w:t>
      </w:r>
    </w:p>
    <w:p w14:paraId="03E688FB">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免费提供本项目调试所需的能源动力等，</w:t>
      </w:r>
      <w:r>
        <w:rPr>
          <w:rFonts w:hint="eastAsia" w:ascii="宋体" w:hAnsi="宋体" w:cs="宋体"/>
          <w:lang w:eastAsia="zh-CN"/>
        </w:rPr>
        <w:t>投标人</w:t>
      </w:r>
      <w:r>
        <w:rPr>
          <w:rFonts w:hint="eastAsia" w:ascii="宋体" w:hAnsi="宋体" w:eastAsia="宋体" w:cs="宋体"/>
        </w:rPr>
        <w:t>须自行采购因管路保压试验而产生的耗材。</w:t>
      </w:r>
    </w:p>
    <w:p w14:paraId="64F00D90">
      <w:pPr>
        <w:pStyle w:val="17"/>
        <w:pageBreakBefore w:val="0"/>
        <w:numPr>
          <w:ilvl w:val="0"/>
          <w:numId w:val="1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施工期间，施工电费由</w:t>
      </w:r>
      <w:r>
        <w:rPr>
          <w:rFonts w:hint="eastAsia" w:ascii="宋体" w:hAnsi="宋体" w:cs="宋体"/>
          <w:lang w:eastAsia="zh-CN"/>
        </w:rPr>
        <w:t>投标人</w:t>
      </w:r>
      <w:r>
        <w:rPr>
          <w:rFonts w:hint="eastAsia" w:ascii="宋体" w:hAnsi="宋体" w:eastAsia="宋体" w:cs="宋体"/>
        </w:rPr>
        <w:t>承担。</w:t>
      </w:r>
    </w:p>
    <w:p w14:paraId="291EA246">
      <w:pPr>
        <w:pStyle w:val="4"/>
        <w:pageBreakBefore w:val="0"/>
        <w:numPr>
          <w:ilvl w:val="0"/>
          <w:numId w:val="11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eastAsia="zh-CN"/>
        </w:rPr>
        <w:t>投标人</w:t>
      </w:r>
      <w:r>
        <w:rPr>
          <w:rFonts w:hint="eastAsia" w:ascii="宋体" w:hAnsi="宋体" w:eastAsia="宋体" w:cs="宋体"/>
          <w:sz w:val="24"/>
        </w:rPr>
        <w:t>责任</w:t>
      </w:r>
    </w:p>
    <w:p w14:paraId="27F1E089">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承接的本项目为“交钥匙”工程，</w:t>
      </w:r>
      <w:r>
        <w:rPr>
          <w:rFonts w:hint="eastAsia" w:ascii="宋体" w:hAnsi="宋体" w:cs="宋体"/>
          <w:lang w:eastAsia="zh-CN"/>
        </w:rPr>
        <w:t>投标人</w:t>
      </w:r>
      <w:r>
        <w:rPr>
          <w:rFonts w:hint="eastAsia" w:ascii="宋体" w:hAnsi="宋体" w:eastAsia="宋体" w:cs="宋体"/>
        </w:rPr>
        <w:t>须对工程负全面责任，包括设计、制造、外购、包装、运输、装卸、吊装、就位、安装、调试、备品备件、培训、售后服务、伴随生产以及各种税费、工程保险等项目项下全部内容，以满足工艺、安全、可靠性、相关规范标准等方面要求。</w:t>
      </w:r>
    </w:p>
    <w:p w14:paraId="5C549C14">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本项目调试工作由</w:t>
      </w:r>
      <w:r>
        <w:rPr>
          <w:rFonts w:hint="eastAsia" w:ascii="宋体" w:hAnsi="宋体" w:cs="宋体"/>
          <w:lang w:eastAsia="zh-CN"/>
        </w:rPr>
        <w:t>投标人</w:t>
      </w:r>
      <w:r>
        <w:rPr>
          <w:rFonts w:hint="eastAsia" w:ascii="宋体" w:hAnsi="宋体" w:eastAsia="宋体" w:cs="宋体"/>
        </w:rPr>
        <w:t>调试人员主导，</w:t>
      </w:r>
      <w:r>
        <w:rPr>
          <w:rFonts w:hint="eastAsia" w:ascii="宋体" w:hAnsi="宋体" w:cs="宋体"/>
          <w:lang w:eastAsia="zh-CN"/>
        </w:rPr>
        <w:t>招标人</w:t>
      </w:r>
      <w:r>
        <w:rPr>
          <w:rFonts w:hint="eastAsia" w:ascii="宋体" w:hAnsi="宋体" w:eastAsia="宋体" w:cs="宋体"/>
        </w:rPr>
        <w:t>操作及维护人员辅助；试生产工作由</w:t>
      </w:r>
      <w:r>
        <w:rPr>
          <w:rFonts w:hint="eastAsia" w:ascii="宋体" w:hAnsi="宋体" w:cs="宋体"/>
          <w:lang w:eastAsia="zh-CN"/>
        </w:rPr>
        <w:t>招标人</w:t>
      </w:r>
      <w:r>
        <w:rPr>
          <w:rFonts w:hint="eastAsia" w:ascii="宋体" w:hAnsi="宋体" w:eastAsia="宋体" w:cs="宋体"/>
        </w:rPr>
        <w:t>操作及维护人员主导，</w:t>
      </w:r>
      <w:r>
        <w:rPr>
          <w:rFonts w:hint="eastAsia" w:ascii="宋体" w:hAnsi="宋体" w:cs="宋体"/>
          <w:lang w:eastAsia="zh-CN"/>
        </w:rPr>
        <w:t>投标人</w:t>
      </w:r>
      <w:r>
        <w:rPr>
          <w:rFonts w:hint="eastAsia" w:ascii="宋体" w:hAnsi="宋体" w:eastAsia="宋体" w:cs="宋体"/>
        </w:rPr>
        <w:t>技术人员辅助。若因条件不足，不具备调试条件时，甲、乙双方另行协商。</w:t>
      </w:r>
    </w:p>
    <w:p w14:paraId="524FC4B9">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系统的清洗钝化由设备厂家操作，由材料厂家提供清洗钝化方案及工艺、材料，由设备厂家、材料厂家、</w:t>
      </w:r>
      <w:r>
        <w:rPr>
          <w:rFonts w:hint="eastAsia" w:ascii="宋体" w:hAnsi="宋体" w:cs="宋体"/>
          <w:lang w:eastAsia="zh-CN"/>
        </w:rPr>
        <w:t>招标人</w:t>
      </w:r>
      <w:r>
        <w:rPr>
          <w:rFonts w:hint="eastAsia" w:ascii="宋体" w:hAnsi="宋体" w:eastAsia="宋体" w:cs="宋体"/>
        </w:rPr>
        <w:t>共同对设备的清洗钝化情况进行验收确认。</w:t>
      </w:r>
    </w:p>
    <w:p w14:paraId="158704A3">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须在规定时间内完成供货范围内的全部交货，因</w:t>
      </w:r>
      <w:r>
        <w:rPr>
          <w:rFonts w:hint="eastAsia" w:ascii="宋体" w:hAnsi="宋体" w:cs="宋体"/>
          <w:lang w:eastAsia="zh-CN"/>
        </w:rPr>
        <w:t>投标人</w:t>
      </w:r>
      <w:r>
        <w:rPr>
          <w:rFonts w:hint="eastAsia" w:ascii="宋体" w:hAnsi="宋体" w:eastAsia="宋体" w:cs="宋体"/>
        </w:rPr>
        <w:t>原因而导致项目未能按合同规定的时间按期交工验收，</w:t>
      </w:r>
      <w:r>
        <w:rPr>
          <w:rFonts w:hint="eastAsia" w:ascii="宋体" w:hAnsi="宋体" w:cs="宋体"/>
          <w:lang w:eastAsia="zh-CN"/>
        </w:rPr>
        <w:t>投标人</w:t>
      </w:r>
      <w:r>
        <w:rPr>
          <w:rFonts w:hint="eastAsia" w:ascii="宋体" w:hAnsi="宋体" w:eastAsia="宋体" w:cs="宋体"/>
        </w:rPr>
        <w:t>须承担违约责任。</w:t>
      </w:r>
    </w:p>
    <w:p w14:paraId="78F72664">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向</w:t>
      </w:r>
      <w:r>
        <w:rPr>
          <w:rFonts w:hint="eastAsia" w:ascii="宋体" w:hAnsi="宋体" w:cs="宋体"/>
          <w:lang w:eastAsia="zh-CN"/>
        </w:rPr>
        <w:t>投标人</w:t>
      </w:r>
      <w:r>
        <w:rPr>
          <w:rFonts w:hint="eastAsia" w:ascii="宋体" w:hAnsi="宋体" w:eastAsia="宋体" w:cs="宋体"/>
        </w:rPr>
        <w:t>提供的全部技术文件、技术交底材料，图纸，</w:t>
      </w:r>
      <w:r>
        <w:rPr>
          <w:rFonts w:hint="eastAsia" w:ascii="宋体" w:hAnsi="宋体" w:cs="宋体"/>
          <w:lang w:eastAsia="zh-CN"/>
        </w:rPr>
        <w:t>投标人</w:t>
      </w:r>
      <w:r>
        <w:rPr>
          <w:rFonts w:hint="eastAsia" w:ascii="宋体" w:hAnsi="宋体" w:eastAsia="宋体" w:cs="宋体"/>
        </w:rPr>
        <w:t>须妥善保管，不得提供给任何第三方。如因</w:t>
      </w:r>
      <w:r>
        <w:rPr>
          <w:rFonts w:hint="eastAsia" w:ascii="宋体" w:hAnsi="宋体" w:cs="宋体"/>
          <w:lang w:eastAsia="zh-CN"/>
        </w:rPr>
        <w:t>投标人</w:t>
      </w:r>
      <w:r>
        <w:rPr>
          <w:rFonts w:hint="eastAsia" w:ascii="宋体" w:hAnsi="宋体" w:eastAsia="宋体" w:cs="宋体"/>
        </w:rPr>
        <w:t>违背上述约定而发生泄密或版权纠纷，</w:t>
      </w:r>
      <w:r>
        <w:rPr>
          <w:rFonts w:hint="eastAsia" w:ascii="宋体" w:hAnsi="宋体" w:cs="宋体"/>
          <w:lang w:eastAsia="zh-CN"/>
        </w:rPr>
        <w:t>投标人</w:t>
      </w:r>
      <w:r>
        <w:rPr>
          <w:rFonts w:hint="eastAsia" w:ascii="宋体" w:hAnsi="宋体" w:eastAsia="宋体" w:cs="宋体"/>
        </w:rPr>
        <w:t>应承担全部责任，图纸及技术文件的保密期为十年。</w:t>
      </w:r>
    </w:p>
    <w:p w14:paraId="2873DBFE">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不得将此工程转包第三方。</w:t>
      </w:r>
    </w:p>
    <w:p w14:paraId="63883724">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因</w:t>
      </w:r>
      <w:r>
        <w:rPr>
          <w:rFonts w:hint="eastAsia" w:ascii="宋体" w:hAnsi="宋体" w:cs="宋体"/>
          <w:lang w:eastAsia="zh-CN"/>
        </w:rPr>
        <w:t>投标人</w:t>
      </w:r>
      <w:r>
        <w:rPr>
          <w:rFonts w:hint="eastAsia" w:ascii="宋体" w:hAnsi="宋体" w:eastAsia="宋体" w:cs="宋体"/>
        </w:rPr>
        <w:t>责任直接导致的损失，均由</w:t>
      </w:r>
      <w:r>
        <w:rPr>
          <w:rFonts w:hint="eastAsia" w:ascii="宋体" w:hAnsi="宋体" w:cs="宋体"/>
          <w:lang w:eastAsia="zh-CN"/>
        </w:rPr>
        <w:t>投标人</w:t>
      </w:r>
      <w:r>
        <w:rPr>
          <w:rFonts w:hint="eastAsia" w:ascii="宋体" w:hAnsi="宋体" w:eastAsia="宋体" w:cs="宋体"/>
        </w:rPr>
        <w:t>承担。</w:t>
      </w:r>
    </w:p>
    <w:p w14:paraId="4D154A3E">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须严格按照设计图纸、设计说明、供货文件、技术文件、经双方确认的来往文件以及有关国家标准、规范组织施工，以保证工程质量，同时</w:t>
      </w:r>
      <w:r>
        <w:rPr>
          <w:rFonts w:hint="eastAsia" w:ascii="宋体" w:hAnsi="宋体" w:cs="宋体"/>
          <w:lang w:eastAsia="zh-CN"/>
        </w:rPr>
        <w:t>招标人</w:t>
      </w:r>
      <w:r>
        <w:rPr>
          <w:rFonts w:hint="eastAsia" w:ascii="宋体" w:hAnsi="宋体" w:eastAsia="宋体" w:cs="宋体"/>
        </w:rPr>
        <w:t>负有监督检查责任。</w:t>
      </w:r>
    </w:p>
    <w:p w14:paraId="4793FB36">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除完成本项目内全部要求外，仍须无偿满足因现场施工、安装调试、生产需要等因素而造成的</w:t>
      </w:r>
      <w:r>
        <w:rPr>
          <w:rFonts w:hint="eastAsia" w:ascii="宋体" w:hAnsi="宋体" w:cs="宋体"/>
          <w:lang w:eastAsia="zh-CN"/>
        </w:rPr>
        <w:t>投标人</w:t>
      </w:r>
      <w:r>
        <w:rPr>
          <w:rFonts w:hint="eastAsia" w:ascii="宋体" w:hAnsi="宋体" w:eastAsia="宋体" w:cs="宋体"/>
        </w:rPr>
        <w:t>提出并经</w:t>
      </w:r>
      <w:r>
        <w:rPr>
          <w:rFonts w:hint="eastAsia" w:ascii="宋体" w:hAnsi="宋体" w:cs="宋体"/>
          <w:lang w:eastAsia="zh-CN"/>
        </w:rPr>
        <w:t>招标人</w:t>
      </w:r>
      <w:r>
        <w:rPr>
          <w:rFonts w:hint="eastAsia" w:ascii="宋体" w:hAnsi="宋体" w:eastAsia="宋体" w:cs="宋体"/>
        </w:rPr>
        <w:t>确认的设计变更/通知等修改性文件的内容要求；对于本技术文件中未完全明确责任归属的与本系统相关联的工作内容，</w:t>
      </w:r>
      <w:r>
        <w:rPr>
          <w:rFonts w:hint="eastAsia" w:ascii="宋体" w:hAnsi="宋体" w:cs="宋体"/>
          <w:lang w:eastAsia="zh-CN"/>
        </w:rPr>
        <w:t>投标人</w:t>
      </w:r>
      <w:r>
        <w:rPr>
          <w:rFonts w:hint="eastAsia" w:ascii="宋体" w:hAnsi="宋体" w:eastAsia="宋体" w:cs="宋体"/>
        </w:rPr>
        <w:t>有责任按照现场项目部的协调提供无偿协助。</w:t>
      </w:r>
    </w:p>
    <w:p w14:paraId="7EC14BDD">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输调漆管线在喷漆室的开孔、开洞作业由</w:t>
      </w:r>
      <w:r>
        <w:rPr>
          <w:rFonts w:hint="eastAsia" w:ascii="宋体" w:hAnsi="宋体" w:cs="宋体"/>
          <w:lang w:eastAsia="zh-CN"/>
        </w:rPr>
        <w:t>投标人</w:t>
      </w:r>
      <w:r>
        <w:rPr>
          <w:rFonts w:hint="eastAsia" w:ascii="宋体" w:hAnsi="宋体" w:eastAsia="宋体" w:cs="宋体"/>
        </w:rPr>
        <w:t>负责，在开孔洞前需征求</w:t>
      </w:r>
      <w:r>
        <w:rPr>
          <w:rFonts w:hint="eastAsia" w:ascii="宋体" w:hAnsi="宋体" w:cs="宋体"/>
          <w:lang w:eastAsia="zh-CN"/>
        </w:rPr>
        <w:t>招标人</w:t>
      </w:r>
      <w:r>
        <w:rPr>
          <w:rFonts w:hint="eastAsia" w:ascii="宋体" w:hAnsi="宋体" w:eastAsia="宋体" w:cs="宋体"/>
        </w:rPr>
        <w:t>和喷漆室施工单位的意见后方可进行，开孔洞处应该考虑美观、无缝隙等，如果出现孔洞间隙过大，系统供应商应免费</w:t>
      </w:r>
      <w:r>
        <w:rPr>
          <w:rFonts w:hint="eastAsia" w:ascii="宋体" w:hAnsi="宋体" w:eastAsia="宋体" w:cs="宋体"/>
          <w:lang w:eastAsia="zh-CN"/>
        </w:rPr>
        <w:t>对</w:t>
      </w:r>
      <w:r>
        <w:rPr>
          <w:rFonts w:hint="eastAsia" w:ascii="宋体" w:hAnsi="宋体" w:eastAsia="宋体" w:cs="宋体"/>
        </w:rPr>
        <w:t>其进行密封处理，</w:t>
      </w:r>
      <w:r>
        <w:rPr>
          <w:rFonts w:hint="eastAsia" w:ascii="宋体" w:hAnsi="宋体" w:eastAsia="宋体" w:cs="宋体"/>
          <w:lang w:eastAsia="zh-CN"/>
        </w:rPr>
        <w:t>以</w:t>
      </w:r>
      <w:r>
        <w:rPr>
          <w:rFonts w:hint="eastAsia" w:ascii="宋体" w:hAnsi="宋体" w:eastAsia="宋体" w:cs="宋体"/>
        </w:rPr>
        <w:t>保证喷漆室的密封性能。</w:t>
      </w:r>
    </w:p>
    <w:p w14:paraId="5DE601D3">
      <w:pPr>
        <w:pStyle w:val="17"/>
        <w:pageBreakBefore w:val="0"/>
        <w:numPr>
          <w:ilvl w:val="0"/>
          <w:numId w:val="11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接受在执行合同过程中，</w:t>
      </w:r>
      <w:r>
        <w:rPr>
          <w:rFonts w:hint="eastAsia" w:ascii="宋体" w:hAnsi="宋体" w:cs="宋体"/>
          <w:lang w:eastAsia="zh-CN"/>
        </w:rPr>
        <w:t>投标人</w:t>
      </w:r>
      <w:r>
        <w:rPr>
          <w:rFonts w:hint="eastAsia" w:ascii="宋体" w:hAnsi="宋体" w:eastAsia="宋体" w:cs="宋体"/>
        </w:rPr>
        <w:t>有资金垫付的义务，保证工程按期完成。</w:t>
      </w:r>
    </w:p>
    <w:p w14:paraId="5B15E417">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27" w:name="_Toc6519"/>
      <w:r>
        <w:rPr>
          <w:rFonts w:hint="eastAsia" w:ascii="宋体" w:hAnsi="宋体" w:eastAsia="宋体" w:cs="宋体"/>
          <w:b/>
          <w:bCs/>
          <w:sz w:val="24"/>
          <w:szCs w:val="24"/>
        </w:rPr>
        <w:t>供货范围</w:t>
      </w:r>
      <w:bookmarkEnd w:id="127"/>
    </w:p>
    <w:p w14:paraId="72E09B2C">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本工程采取交钥匙工程的形式,现场设备</w:t>
      </w:r>
      <w:r>
        <w:rPr>
          <w:rFonts w:hint="eastAsia" w:ascii="宋体" w:hAnsi="宋体" w:eastAsia="宋体" w:cs="宋体"/>
          <w:color w:val="auto"/>
          <w:lang w:val="en-US" w:eastAsia="zh-CN"/>
        </w:rPr>
        <w:t>需</w:t>
      </w:r>
      <w:r>
        <w:rPr>
          <w:rFonts w:hint="eastAsia" w:ascii="宋体" w:hAnsi="宋体" w:eastAsia="宋体" w:cs="宋体"/>
          <w:color w:val="auto"/>
        </w:rPr>
        <w:t>利旧使用，</w:t>
      </w:r>
      <w:r>
        <w:rPr>
          <w:rFonts w:hint="eastAsia" w:ascii="宋体" w:hAnsi="宋体" w:cs="宋体"/>
          <w:color w:val="auto"/>
          <w:lang w:eastAsia="zh-CN"/>
        </w:rPr>
        <w:t>投标人</w:t>
      </w:r>
      <w:r>
        <w:rPr>
          <w:rFonts w:hint="eastAsia" w:ascii="宋体" w:hAnsi="宋体" w:eastAsia="宋体" w:cs="宋体"/>
          <w:color w:val="auto"/>
        </w:rPr>
        <w:t>对工程负全面责任，包括设计、</w:t>
      </w:r>
      <w:r>
        <w:rPr>
          <w:rFonts w:hint="eastAsia" w:ascii="宋体" w:hAnsi="宋体" w:eastAsia="宋体" w:cs="宋体"/>
        </w:rPr>
        <w:t>试验、制造、包装、运输、装卸、就位、安装、调试、培训、售后服务、生产陪同以及税费、保险等的全部责任。项目包含以下内容：</w:t>
      </w:r>
    </w:p>
    <w:p w14:paraId="03F76990">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B1</w:t>
      </w:r>
      <w:r>
        <w:rPr>
          <w:rFonts w:hint="eastAsia" w:ascii="宋体" w:hAnsi="宋体" w:eastAsia="宋体" w:cs="宋体"/>
          <w:highlight w:val="none"/>
        </w:rPr>
        <w:t>底色漆循环供给系统2套</w:t>
      </w:r>
      <w:r>
        <w:rPr>
          <w:rFonts w:hint="eastAsia" w:ascii="宋体" w:hAnsi="宋体" w:eastAsia="宋体" w:cs="宋体"/>
        </w:rPr>
        <w:t>；</w:t>
      </w:r>
    </w:p>
    <w:p w14:paraId="5795F733">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B2色漆循环供给系统5套；</w:t>
      </w:r>
    </w:p>
    <w:p w14:paraId="741A9AB9">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2K清漆循环供给系统1套；</w:t>
      </w:r>
    </w:p>
    <w:p w14:paraId="2813C6E7">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清漆固化剂供给系统1套；</w:t>
      </w:r>
    </w:p>
    <w:p w14:paraId="73D14025">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水性型溶剂供给系统1套； </w:t>
      </w:r>
    </w:p>
    <w:p w14:paraId="230EF258">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溶剂型溶剂供给系统1套；</w:t>
      </w:r>
    </w:p>
    <w:p w14:paraId="3298C5B4">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B2色漆线边小系统3套；</w:t>
      </w:r>
    </w:p>
    <w:p w14:paraId="7E2CFCA0">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lang w:val="zh-CN"/>
        </w:rPr>
        <w:t>废溶剂回收系统2套（水基和溶剂基各1套）；</w:t>
      </w:r>
    </w:p>
    <w:p w14:paraId="060D0BA9">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lang w:val="zh-CN"/>
        </w:rPr>
      </w:pPr>
      <w:r>
        <w:rPr>
          <w:rFonts w:hint="eastAsia" w:ascii="宋体" w:hAnsi="宋体" w:eastAsia="宋体" w:cs="宋体"/>
          <w:highlight w:val="none"/>
          <w:lang w:val="zh-CN"/>
        </w:rPr>
        <w:t>双组份配比器</w:t>
      </w:r>
      <w:r>
        <w:rPr>
          <w:rFonts w:hint="eastAsia" w:ascii="宋体" w:hAnsi="宋体" w:eastAsia="宋体" w:cs="宋体"/>
          <w:highlight w:val="none"/>
          <w:lang w:val="en-US" w:eastAsia="zh-CN"/>
        </w:rPr>
        <w:t>2</w:t>
      </w:r>
      <w:r>
        <w:rPr>
          <w:rFonts w:hint="eastAsia" w:ascii="宋体" w:hAnsi="宋体" w:eastAsia="宋体" w:cs="宋体"/>
          <w:highlight w:val="none"/>
          <w:lang w:val="zh-CN"/>
        </w:rPr>
        <w:t>套；</w:t>
      </w:r>
    </w:p>
    <w:p w14:paraId="374678BB">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粗</w:t>
      </w:r>
      <w:r>
        <w:rPr>
          <w:rFonts w:hint="eastAsia" w:ascii="宋体" w:hAnsi="宋体" w:eastAsia="宋体" w:cs="宋体"/>
          <w:lang w:eastAsia="zh-CN"/>
        </w:rPr>
        <w:t>、</w:t>
      </w:r>
      <w:r>
        <w:rPr>
          <w:rFonts w:hint="eastAsia" w:ascii="宋体" w:hAnsi="宋体" w:eastAsia="宋体" w:cs="宋体"/>
          <w:lang w:val="en-US" w:eastAsia="zh-CN"/>
        </w:rPr>
        <w:t>细、底部</w:t>
      </w:r>
      <w:r>
        <w:rPr>
          <w:rFonts w:hint="eastAsia" w:ascii="宋体" w:hAnsi="宋体" w:eastAsia="宋体" w:cs="宋体"/>
        </w:rPr>
        <w:t>密封胶涂胶供给系统1套；</w:t>
      </w:r>
    </w:p>
    <w:p w14:paraId="3E00AFB2">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底部PVC喷涂系统1套（UBC）；</w:t>
      </w:r>
    </w:p>
    <w:p w14:paraId="60AC58EE">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涂装内腔注蜡供给系统 1套； </w:t>
      </w:r>
    </w:p>
    <w:p w14:paraId="0D6C3EA9">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lang w:val="zh-CN"/>
        </w:rPr>
      </w:pPr>
      <w:r>
        <w:rPr>
          <w:rFonts w:hint="eastAsia" w:ascii="宋体" w:hAnsi="宋体" w:eastAsia="宋体" w:cs="宋体"/>
          <w:lang w:val="zh-CN"/>
        </w:rPr>
        <w:t>管中管油漆温度控制系统1套；</w:t>
      </w:r>
    </w:p>
    <w:p w14:paraId="1EB362EA">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其他设备洗枪台、洗眼台等</w:t>
      </w:r>
    </w:p>
    <w:p w14:paraId="6E68FA94">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lang w:val="zh-CN"/>
        </w:rPr>
      </w:pPr>
      <w:r>
        <w:rPr>
          <w:rFonts w:hint="eastAsia" w:ascii="宋体" w:hAnsi="宋体" w:eastAsia="宋体" w:cs="宋体"/>
          <w:lang w:val="zh-CN"/>
        </w:rPr>
        <w:t>压缩空气管路系统1套；</w:t>
      </w:r>
    </w:p>
    <w:p w14:paraId="6C753B8B">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lang w:val="zh-CN"/>
        </w:rPr>
      </w:pPr>
      <w:r>
        <w:rPr>
          <w:rFonts w:hint="eastAsia" w:ascii="宋体" w:hAnsi="宋体" w:eastAsia="宋体" w:cs="宋体"/>
          <w:lang w:val="zh-CN"/>
        </w:rPr>
        <w:t>电气控制系统1套；</w:t>
      </w:r>
    </w:p>
    <w:p w14:paraId="49E6D647">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lang w:val="zh-CN"/>
        </w:rPr>
      </w:pPr>
      <w:r>
        <w:rPr>
          <w:rFonts w:hint="eastAsia" w:ascii="宋体" w:hAnsi="宋体" w:eastAsia="宋体" w:cs="宋体"/>
          <w:lang w:val="zh-CN"/>
        </w:rPr>
        <w:t>调漆间维修工具1套，</w:t>
      </w:r>
      <w:bookmarkStart w:id="128" w:name="_Hlk191666920"/>
      <w:r>
        <w:rPr>
          <w:rFonts w:hint="eastAsia" w:ascii="宋体" w:hAnsi="宋体" w:eastAsia="宋体" w:cs="宋体"/>
          <w:lang w:val="zh-CN"/>
        </w:rPr>
        <w:t>运桶小车2台</w:t>
      </w:r>
      <w:bookmarkEnd w:id="128"/>
      <w:r>
        <w:rPr>
          <w:rFonts w:hint="eastAsia" w:ascii="宋体" w:hAnsi="宋体" w:eastAsia="宋体" w:cs="宋体"/>
          <w:lang w:val="zh-CN"/>
        </w:rPr>
        <w:t>。</w:t>
      </w:r>
    </w:p>
    <w:p w14:paraId="5B9FA3E5">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rPr>
        <w:t>手动空气喷涂：货箱补喷B2段2个枪站；驾驶室内喷B2段2个枪站；外板预喷B1段2个枪站；外板预喷B2段2个枪站；检查补喷B2段2个枪站；CC手工段</w:t>
      </w:r>
      <w:r>
        <w:rPr>
          <w:rFonts w:hint="eastAsia" w:ascii="宋体" w:hAnsi="宋体" w:eastAsia="宋体" w:cs="宋体"/>
          <w:lang w:val="en-US" w:eastAsia="zh-CN"/>
        </w:rPr>
        <w:t>4</w:t>
      </w:r>
      <w:r>
        <w:rPr>
          <w:rFonts w:hint="eastAsia" w:ascii="宋体" w:hAnsi="宋体" w:eastAsia="宋体" w:cs="宋体"/>
        </w:rPr>
        <w:t>个枪站，CC检查</w:t>
      </w:r>
      <w:r>
        <w:rPr>
          <w:rFonts w:hint="eastAsia" w:ascii="宋体" w:hAnsi="宋体" w:eastAsia="宋体" w:cs="宋体"/>
          <w:highlight w:val="none"/>
        </w:rPr>
        <w:t>段2个枪站；共1</w:t>
      </w:r>
      <w:r>
        <w:rPr>
          <w:rFonts w:hint="eastAsia" w:ascii="宋体" w:hAnsi="宋体" w:eastAsia="宋体" w:cs="宋体"/>
          <w:highlight w:val="none"/>
          <w:lang w:val="en-US" w:eastAsia="zh-CN"/>
        </w:rPr>
        <w:t>6</w:t>
      </w:r>
      <w:r>
        <w:rPr>
          <w:rFonts w:hint="eastAsia" w:ascii="宋体" w:hAnsi="宋体" w:eastAsia="宋体" w:cs="宋体"/>
          <w:highlight w:val="none"/>
        </w:rPr>
        <w:t>把喷枪，安装上线使用；</w:t>
      </w:r>
    </w:p>
    <w:p w14:paraId="5CEF51CB">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胶及</w:t>
      </w:r>
      <w:r>
        <w:rPr>
          <w:rFonts w:hint="eastAsia" w:ascii="宋体" w:hAnsi="宋体" w:eastAsia="宋体" w:cs="宋体"/>
          <w:lang w:val="en-US" w:eastAsia="zh-CN"/>
        </w:rPr>
        <w:t>蜡</w:t>
      </w:r>
      <w:r>
        <w:rPr>
          <w:rFonts w:hint="eastAsia" w:ascii="宋体" w:hAnsi="宋体" w:eastAsia="宋体" w:cs="宋体"/>
        </w:rPr>
        <w:t>工位根据</w:t>
      </w:r>
      <w:r>
        <w:rPr>
          <w:rFonts w:hint="eastAsia" w:ascii="宋体" w:hAnsi="宋体" w:cs="宋体"/>
          <w:lang w:eastAsia="zh-CN"/>
        </w:rPr>
        <w:t>招标人</w:t>
      </w:r>
      <w:r>
        <w:rPr>
          <w:rFonts w:hint="eastAsia" w:ascii="宋体" w:hAnsi="宋体" w:eastAsia="宋体" w:cs="宋体"/>
        </w:rPr>
        <w:t>枪站配置确定；注：挤胶枪枪头</w:t>
      </w:r>
      <w:r>
        <w:rPr>
          <w:rFonts w:hint="eastAsia" w:ascii="宋体" w:hAnsi="宋体" w:eastAsia="宋体" w:cs="宋体"/>
          <w:lang w:eastAsia="zh-CN"/>
        </w:rPr>
        <w:t>、</w:t>
      </w:r>
      <w:r>
        <w:rPr>
          <w:rFonts w:hint="eastAsia" w:ascii="宋体" w:hAnsi="宋体" w:eastAsia="宋体" w:cs="宋体"/>
        </w:rPr>
        <w:t>注蜡枪头由</w:t>
      </w:r>
      <w:r>
        <w:rPr>
          <w:rFonts w:hint="eastAsia" w:ascii="宋体" w:hAnsi="宋体" w:cs="宋体"/>
          <w:lang w:eastAsia="zh-CN"/>
        </w:rPr>
        <w:t>投标人</w:t>
      </w:r>
      <w:r>
        <w:rPr>
          <w:rFonts w:hint="eastAsia" w:ascii="宋体" w:hAnsi="宋体" w:eastAsia="宋体" w:cs="宋体"/>
        </w:rPr>
        <w:t>提供</w:t>
      </w:r>
      <w:r>
        <w:rPr>
          <w:rFonts w:hint="eastAsia" w:ascii="宋体" w:hAnsi="宋体" w:eastAsia="宋体" w:cs="宋体"/>
          <w:lang w:eastAsia="zh-CN"/>
        </w:rPr>
        <w:t>，</w:t>
      </w:r>
      <w:r>
        <w:rPr>
          <w:rFonts w:hint="eastAsia" w:ascii="宋体" w:hAnsi="宋体" w:cs="宋体"/>
          <w:lang w:eastAsia="zh-CN"/>
        </w:rPr>
        <w:t>招标人</w:t>
      </w:r>
      <w:r>
        <w:rPr>
          <w:rFonts w:hint="eastAsia" w:ascii="宋体" w:hAnsi="宋体" w:eastAsia="宋体" w:cs="宋体"/>
        </w:rPr>
        <w:t>确认；</w:t>
      </w:r>
    </w:p>
    <w:p w14:paraId="4701CAF0">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Cs/>
        </w:rPr>
      </w:pPr>
      <w:r>
        <w:rPr>
          <w:rFonts w:hint="eastAsia" w:ascii="宋体" w:hAnsi="宋体" w:eastAsia="宋体" w:cs="宋体"/>
        </w:rPr>
        <w:t>现场配置监控PC对设备参数进行人机界面的监控与设定。</w:t>
      </w:r>
    </w:p>
    <w:p w14:paraId="4C9A7F3E">
      <w:pPr>
        <w:pStyle w:val="17"/>
        <w:pageBreakBefore w:val="0"/>
        <w:numPr>
          <w:ilvl w:val="0"/>
          <w:numId w:val="1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Cs/>
        </w:rPr>
      </w:pPr>
      <w:r>
        <w:rPr>
          <w:rFonts w:hint="eastAsia" w:ascii="宋体" w:hAnsi="宋体" w:eastAsia="宋体" w:cs="宋体"/>
          <w:bCs/>
        </w:rPr>
        <w:t>纯水对接、纯水管路由</w:t>
      </w:r>
      <w:r>
        <w:rPr>
          <w:rFonts w:hint="eastAsia" w:ascii="宋体" w:hAnsi="宋体" w:cs="宋体"/>
          <w:bCs/>
          <w:lang w:eastAsia="zh-CN"/>
        </w:rPr>
        <w:t>投标人</w:t>
      </w:r>
      <w:r>
        <w:rPr>
          <w:rFonts w:hint="eastAsia" w:ascii="宋体" w:hAnsi="宋体" w:eastAsia="宋体" w:cs="宋体"/>
          <w:bCs/>
        </w:rPr>
        <w:t>负责。</w:t>
      </w:r>
    </w:p>
    <w:p w14:paraId="60836051">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29" w:name="_Toc30210"/>
      <w:r>
        <w:rPr>
          <w:rFonts w:hint="eastAsia" w:ascii="宋体" w:hAnsi="宋体" w:eastAsia="宋体" w:cs="宋体"/>
          <w:b/>
          <w:bCs/>
          <w:sz w:val="24"/>
          <w:szCs w:val="24"/>
        </w:rPr>
        <w:t>技术参数及技术要求</w:t>
      </w:r>
      <w:bookmarkEnd w:id="129"/>
    </w:p>
    <w:p w14:paraId="5803D423">
      <w:pPr>
        <w:pStyle w:val="3"/>
        <w:pageBreakBefore w:val="0"/>
        <w:numPr>
          <w:ilvl w:val="0"/>
          <w:numId w:val="121"/>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动力能源条件</w:t>
      </w:r>
    </w:p>
    <w:p w14:paraId="38B388C1">
      <w:pPr>
        <w:pStyle w:val="17"/>
        <w:pageBreakBefore w:val="0"/>
        <w:numPr>
          <w:ilvl w:val="0"/>
          <w:numId w:val="12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供给参数</w:t>
      </w:r>
    </w:p>
    <w:p w14:paraId="54061A95">
      <w:pPr>
        <w:pStyle w:val="17"/>
        <w:pageBreakBefore w:val="0"/>
        <w:numPr>
          <w:ilvl w:val="0"/>
          <w:numId w:val="1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电：380V±10%   三相五线50Hz；</w:t>
      </w:r>
    </w:p>
    <w:p w14:paraId="41BE4C37">
      <w:pPr>
        <w:pStyle w:val="17"/>
        <w:pageBreakBefore w:val="0"/>
        <w:numPr>
          <w:ilvl w:val="0"/>
          <w:numId w:val="1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压缩空气：压力：0.6MPa，洁净度：含油量&lt;0.01mg/Nm³，含尘量&lt;1mg/m³，含尘颗粒尺寸&lt;0.1μm、压力露点-20℃；</w:t>
      </w:r>
    </w:p>
    <w:p w14:paraId="245638ED">
      <w:pPr>
        <w:pStyle w:val="17"/>
        <w:pageBreakBefore w:val="0"/>
        <w:numPr>
          <w:ilvl w:val="0"/>
          <w:numId w:val="1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热水：压力： 0.2～0.6MPa；温度： 70～90℃；</w:t>
      </w:r>
    </w:p>
    <w:p w14:paraId="4153FEBB">
      <w:pPr>
        <w:pStyle w:val="17"/>
        <w:pageBreakBefore w:val="0"/>
        <w:numPr>
          <w:ilvl w:val="0"/>
          <w:numId w:val="1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冷水：7～12℃；</w:t>
      </w:r>
    </w:p>
    <w:p w14:paraId="6D5E38E6">
      <w:pPr>
        <w:pStyle w:val="17"/>
        <w:pageBreakBefore w:val="0"/>
        <w:numPr>
          <w:ilvl w:val="0"/>
          <w:numId w:val="1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纯水：压力：0.2～0.3 MPa；电导率：≤3.0μS/cm；PH值：5.5-7.5；环境条件：温度：22～27℃，相对湿度：70±5%。</w:t>
      </w:r>
    </w:p>
    <w:p w14:paraId="107A6E02">
      <w:pPr>
        <w:pStyle w:val="17"/>
        <w:pageBreakBefore w:val="0"/>
        <w:numPr>
          <w:ilvl w:val="0"/>
          <w:numId w:val="12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供给位置： 具体位置见附件《涂装车间工艺平面布置图》</w:t>
      </w:r>
    </w:p>
    <w:p w14:paraId="0FAAC7BC">
      <w:pPr>
        <w:pStyle w:val="17"/>
        <w:pageBreakBefore w:val="0"/>
        <w:numPr>
          <w:ilvl w:val="0"/>
          <w:numId w:val="12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供给连接量 </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3"/>
        <w:gridCol w:w="2406"/>
        <w:gridCol w:w="3080"/>
        <w:gridCol w:w="2105"/>
      </w:tblGrid>
      <w:tr w14:paraId="01FFF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pct"/>
            <w:shd w:val="clear" w:color="auto" w:fill="auto"/>
            <w:vAlign w:val="center"/>
          </w:tcPr>
          <w:p w14:paraId="20E613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名称</w:t>
            </w:r>
          </w:p>
        </w:tc>
        <w:tc>
          <w:tcPr>
            <w:tcW w:w="1246" w:type="pct"/>
            <w:shd w:val="clear" w:color="auto" w:fill="auto"/>
            <w:vAlign w:val="center"/>
          </w:tcPr>
          <w:p w14:paraId="404BED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所在位置</w:t>
            </w:r>
          </w:p>
        </w:tc>
        <w:tc>
          <w:tcPr>
            <w:tcW w:w="1595" w:type="pct"/>
            <w:shd w:val="clear" w:color="auto" w:fill="auto"/>
            <w:vAlign w:val="center"/>
          </w:tcPr>
          <w:p w14:paraId="7F71BB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规格</w:t>
            </w:r>
          </w:p>
        </w:tc>
        <w:tc>
          <w:tcPr>
            <w:tcW w:w="1090" w:type="pct"/>
            <w:shd w:val="clear" w:color="auto" w:fill="auto"/>
            <w:vAlign w:val="center"/>
          </w:tcPr>
          <w:p w14:paraId="431DB1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2D0BB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pct"/>
            <w:shd w:val="clear" w:color="auto" w:fill="auto"/>
            <w:vAlign w:val="center"/>
          </w:tcPr>
          <w:p w14:paraId="3DF08E9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冷水回流点</w:t>
            </w:r>
          </w:p>
        </w:tc>
        <w:tc>
          <w:tcPr>
            <w:tcW w:w="1246" w:type="pct"/>
            <w:shd w:val="clear" w:color="auto" w:fill="auto"/>
            <w:vAlign w:val="center"/>
          </w:tcPr>
          <w:p w14:paraId="58389B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温控间</w:t>
            </w:r>
          </w:p>
        </w:tc>
        <w:tc>
          <w:tcPr>
            <w:tcW w:w="1595" w:type="pct"/>
            <w:shd w:val="clear" w:color="auto" w:fill="auto"/>
            <w:vAlign w:val="center"/>
          </w:tcPr>
          <w:p w14:paraId="6252B59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以实际设计为准</w:t>
            </w:r>
          </w:p>
        </w:tc>
        <w:tc>
          <w:tcPr>
            <w:tcW w:w="1090" w:type="pct"/>
            <w:vMerge w:val="restart"/>
            <w:shd w:val="clear" w:color="auto" w:fill="auto"/>
            <w:vAlign w:val="center"/>
          </w:tcPr>
          <w:p w14:paraId="767A65D0">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4B34C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pct"/>
            <w:shd w:val="clear" w:color="auto" w:fill="auto"/>
            <w:vAlign w:val="center"/>
          </w:tcPr>
          <w:p w14:paraId="4818C6B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冷水接入点</w:t>
            </w:r>
          </w:p>
        </w:tc>
        <w:tc>
          <w:tcPr>
            <w:tcW w:w="1246" w:type="pct"/>
            <w:shd w:val="clear" w:color="auto" w:fill="auto"/>
            <w:vAlign w:val="center"/>
          </w:tcPr>
          <w:p w14:paraId="59315C2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温控间</w:t>
            </w:r>
          </w:p>
        </w:tc>
        <w:tc>
          <w:tcPr>
            <w:tcW w:w="1595" w:type="pct"/>
            <w:shd w:val="clear" w:color="auto" w:fill="auto"/>
            <w:vAlign w:val="center"/>
          </w:tcPr>
          <w:p w14:paraId="50B21FF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以实际设计为准</w:t>
            </w:r>
          </w:p>
        </w:tc>
        <w:tc>
          <w:tcPr>
            <w:tcW w:w="1090" w:type="pct"/>
            <w:vMerge w:val="continue"/>
            <w:shd w:val="clear" w:color="auto" w:fill="auto"/>
            <w:vAlign w:val="center"/>
          </w:tcPr>
          <w:p w14:paraId="3878A9C3">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13C58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pct"/>
            <w:shd w:val="clear" w:color="auto" w:fill="auto"/>
            <w:vAlign w:val="center"/>
          </w:tcPr>
          <w:p w14:paraId="1DE77DD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热水回流点</w:t>
            </w:r>
          </w:p>
        </w:tc>
        <w:tc>
          <w:tcPr>
            <w:tcW w:w="1246" w:type="pct"/>
            <w:shd w:val="clear" w:color="auto" w:fill="auto"/>
            <w:vAlign w:val="center"/>
          </w:tcPr>
          <w:p w14:paraId="472E53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温控间</w:t>
            </w:r>
          </w:p>
        </w:tc>
        <w:tc>
          <w:tcPr>
            <w:tcW w:w="1595" w:type="pct"/>
            <w:shd w:val="clear" w:color="auto" w:fill="auto"/>
            <w:vAlign w:val="center"/>
          </w:tcPr>
          <w:p w14:paraId="29E28C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以实际设计为准</w:t>
            </w:r>
          </w:p>
        </w:tc>
        <w:tc>
          <w:tcPr>
            <w:tcW w:w="1090" w:type="pct"/>
            <w:vMerge w:val="continue"/>
            <w:shd w:val="clear" w:color="auto" w:fill="auto"/>
            <w:vAlign w:val="center"/>
          </w:tcPr>
          <w:p w14:paraId="1AAC992B">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57397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pct"/>
            <w:shd w:val="clear" w:color="auto" w:fill="auto"/>
            <w:vAlign w:val="center"/>
          </w:tcPr>
          <w:p w14:paraId="04C0767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热水接入点</w:t>
            </w:r>
          </w:p>
        </w:tc>
        <w:tc>
          <w:tcPr>
            <w:tcW w:w="1246" w:type="pct"/>
            <w:shd w:val="clear" w:color="auto" w:fill="auto"/>
            <w:vAlign w:val="center"/>
          </w:tcPr>
          <w:p w14:paraId="06FEBA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温控间</w:t>
            </w:r>
          </w:p>
        </w:tc>
        <w:tc>
          <w:tcPr>
            <w:tcW w:w="1595" w:type="pct"/>
            <w:shd w:val="clear" w:color="auto" w:fill="auto"/>
            <w:vAlign w:val="center"/>
          </w:tcPr>
          <w:p w14:paraId="785166D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以实际设计为准</w:t>
            </w:r>
          </w:p>
        </w:tc>
        <w:tc>
          <w:tcPr>
            <w:tcW w:w="1090" w:type="pct"/>
            <w:vMerge w:val="continue"/>
            <w:shd w:val="clear" w:color="auto" w:fill="auto"/>
            <w:vAlign w:val="center"/>
          </w:tcPr>
          <w:p w14:paraId="554F5155">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4BF0C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8" w:type="pct"/>
            <w:shd w:val="clear" w:color="auto" w:fill="auto"/>
            <w:vAlign w:val="center"/>
          </w:tcPr>
          <w:p w14:paraId="06F03A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纯水接入点</w:t>
            </w:r>
          </w:p>
        </w:tc>
        <w:tc>
          <w:tcPr>
            <w:tcW w:w="1246" w:type="pct"/>
            <w:shd w:val="clear" w:color="auto" w:fill="auto"/>
            <w:vAlign w:val="center"/>
          </w:tcPr>
          <w:p w14:paraId="047CA06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温控间</w:t>
            </w:r>
          </w:p>
        </w:tc>
        <w:tc>
          <w:tcPr>
            <w:tcW w:w="1595" w:type="pct"/>
            <w:shd w:val="clear" w:color="auto" w:fill="auto"/>
            <w:vAlign w:val="center"/>
          </w:tcPr>
          <w:p w14:paraId="4904BE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以实际设计为准</w:t>
            </w:r>
          </w:p>
        </w:tc>
        <w:tc>
          <w:tcPr>
            <w:tcW w:w="1090" w:type="pct"/>
            <w:vMerge w:val="continue"/>
            <w:shd w:val="clear" w:color="auto" w:fill="auto"/>
            <w:vAlign w:val="center"/>
          </w:tcPr>
          <w:p w14:paraId="4299EBDD">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4AB4E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68" w:type="pct"/>
            <w:vMerge w:val="restart"/>
            <w:shd w:val="clear" w:color="auto" w:fill="auto"/>
            <w:vAlign w:val="center"/>
          </w:tcPr>
          <w:p w14:paraId="2B232FA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交流电接入点</w:t>
            </w:r>
          </w:p>
        </w:tc>
        <w:tc>
          <w:tcPr>
            <w:tcW w:w="1246" w:type="pct"/>
            <w:shd w:val="clear" w:color="auto" w:fill="auto"/>
            <w:vAlign w:val="center"/>
          </w:tcPr>
          <w:p w14:paraId="7BF4713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供蜡室</w:t>
            </w:r>
          </w:p>
        </w:tc>
        <w:tc>
          <w:tcPr>
            <w:tcW w:w="1595" w:type="pct"/>
            <w:shd w:val="clear" w:color="auto" w:fill="auto"/>
            <w:vAlign w:val="center"/>
          </w:tcPr>
          <w:p w14:paraId="1785563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cs="宋体"/>
                <w:bCs/>
                <w:sz w:val="24"/>
                <w:szCs w:val="24"/>
                <w:lang w:eastAsia="zh-CN"/>
              </w:rPr>
              <w:t>投标人</w:t>
            </w:r>
            <w:r>
              <w:rPr>
                <w:rFonts w:hint="eastAsia" w:ascii="宋体" w:hAnsi="宋体" w:eastAsia="宋体" w:cs="宋体"/>
                <w:bCs/>
                <w:sz w:val="24"/>
                <w:szCs w:val="24"/>
              </w:rPr>
              <w:t>设计提资）</w:t>
            </w:r>
          </w:p>
        </w:tc>
        <w:tc>
          <w:tcPr>
            <w:tcW w:w="1090" w:type="pct"/>
            <w:vMerge w:val="continue"/>
            <w:shd w:val="clear" w:color="auto" w:fill="auto"/>
            <w:vAlign w:val="center"/>
          </w:tcPr>
          <w:p w14:paraId="4535F4B7">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175F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068" w:type="pct"/>
            <w:vMerge w:val="continue"/>
            <w:shd w:val="clear" w:color="auto" w:fill="auto"/>
            <w:vAlign w:val="center"/>
          </w:tcPr>
          <w:p w14:paraId="33E455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246" w:type="pct"/>
            <w:shd w:val="clear" w:color="auto" w:fill="auto"/>
            <w:vAlign w:val="center"/>
          </w:tcPr>
          <w:p w14:paraId="2D97803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供胶间</w:t>
            </w:r>
          </w:p>
        </w:tc>
        <w:tc>
          <w:tcPr>
            <w:tcW w:w="1595" w:type="pct"/>
            <w:shd w:val="clear" w:color="auto" w:fill="auto"/>
            <w:vAlign w:val="center"/>
          </w:tcPr>
          <w:p w14:paraId="572878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cs="宋体"/>
                <w:bCs/>
                <w:sz w:val="24"/>
                <w:szCs w:val="24"/>
                <w:lang w:eastAsia="zh-CN"/>
              </w:rPr>
              <w:t>投标人</w:t>
            </w:r>
            <w:r>
              <w:rPr>
                <w:rFonts w:hint="eastAsia" w:ascii="宋体" w:hAnsi="宋体" w:eastAsia="宋体" w:cs="宋体"/>
                <w:bCs/>
                <w:sz w:val="24"/>
                <w:szCs w:val="24"/>
              </w:rPr>
              <w:t>设计提资）</w:t>
            </w:r>
          </w:p>
        </w:tc>
        <w:tc>
          <w:tcPr>
            <w:tcW w:w="1090" w:type="pct"/>
            <w:vMerge w:val="continue"/>
            <w:shd w:val="clear" w:color="auto" w:fill="auto"/>
            <w:vAlign w:val="center"/>
          </w:tcPr>
          <w:p w14:paraId="50CAA752">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7862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068" w:type="pct"/>
            <w:vMerge w:val="continue"/>
            <w:shd w:val="clear" w:color="auto" w:fill="auto"/>
            <w:vAlign w:val="center"/>
          </w:tcPr>
          <w:p w14:paraId="79E990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246" w:type="pct"/>
            <w:shd w:val="clear" w:color="auto" w:fill="auto"/>
            <w:vAlign w:val="center"/>
          </w:tcPr>
          <w:p w14:paraId="439C43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调漆间、温控间</w:t>
            </w:r>
          </w:p>
        </w:tc>
        <w:tc>
          <w:tcPr>
            <w:tcW w:w="1595" w:type="pct"/>
            <w:shd w:val="clear" w:color="auto" w:fill="auto"/>
            <w:vAlign w:val="center"/>
          </w:tcPr>
          <w:p w14:paraId="2289AF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cs="宋体"/>
                <w:bCs/>
                <w:sz w:val="24"/>
                <w:szCs w:val="24"/>
                <w:lang w:eastAsia="zh-CN"/>
              </w:rPr>
              <w:t>投标人</w:t>
            </w:r>
            <w:r>
              <w:rPr>
                <w:rFonts w:hint="eastAsia" w:ascii="宋体" w:hAnsi="宋体" w:eastAsia="宋体" w:cs="宋体"/>
                <w:bCs/>
                <w:sz w:val="24"/>
                <w:szCs w:val="24"/>
              </w:rPr>
              <w:t>设计提资）</w:t>
            </w:r>
          </w:p>
        </w:tc>
        <w:tc>
          <w:tcPr>
            <w:tcW w:w="1090" w:type="pct"/>
            <w:vMerge w:val="continue"/>
            <w:shd w:val="clear" w:color="auto" w:fill="auto"/>
            <w:vAlign w:val="center"/>
          </w:tcPr>
          <w:p w14:paraId="3BE9953B">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r w14:paraId="15F7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068" w:type="pct"/>
            <w:shd w:val="clear" w:color="auto" w:fill="auto"/>
            <w:vAlign w:val="center"/>
          </w:tcPr>
          <w:p w14:paraId="3F93FB5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压缩空气点</w:t>
            </w:r>
          </w:p>
        </w:tc>
        <w:tc>
          <w:tcPr>
            <w:tcW w:w="2841" w:type="pct"/>
            <w:gridSpan w:val="2"/>
            <w:shd w:val="clear" w:color="auto" w:fill="auto"/>
            <w:vAlign w:val="center"/>
          </w:tcPr>
          <w:p w14:paraId="67094BC8">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bCs/>
                <w:sz w:val="24"/>
                <w:szCs w:val="24"/>
              </w:rPr>
            </w:pPr>
            <w:r>
              <w:rPr>
                <w:rFonts w:hint="eastAsia" w:ascii="宋体" w:hAnsi="宋体" w:eastAsia="宋体" w:cs="宋体"/>
                <w:bCs/>
                <w:sz w:val="24"/>
                <w:szCs w:val="24"/>
              </w:rPr>
              <w:t>参见工艺平面布置图，具体位置图纸会签时确定</w:t>
            </w:r>
          </w:p>
        </w:tc>
        <w:tc>
          <w:tcPr>
            <w:tcW w:w="1090" w:type="pct"/>
            <w:vMerge w:val="continue"/>
            <w:shd w:val="clear" w:color="auto" w:fill="auto"/>
            <w:vAlign w:val="center"/>
          </w:tcPr>
          <w:p w14:paraId="7BEA9895">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p>
        </w:tc>
      </w:tr>
    </w:tbl>
    <w:p w14:paraId="0974C5B5">
      <w:pPr>
        <w:pStyle w:val="3"/>
        <w:pageBreakBefore w:val="0"/>
        <w:numPr>
          <w:ilvl w:val="0"/>
          <w:numId w:val="121"/>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油漆循环系统技术要求</w:t>
      </w:r>
    </w:p>
    <w:p w14:paraId="4D28F86D">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基本参数</w:t>
      </w:r>
    </w:p>
    <w:p w14:paraId="785671EE">
      <w:pPr>
        <w:pStyle w:val="5"/>
        <w:pageBreakBefore w:val="0"/>
        <w:numPr>
          <w:ilvl w:val="0"/>
          <w:numId w:val="12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油漆参数</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228"/>
        <w:gridCol w:w="1638"/>
        <w:gridCol w:w="1323"/>
        <w:gridCol w:w="1453"/>
        <w:gridCol w:w="1582"/>
        <w:gridCol w:w="1227"/>
        <w:gridCol w:w="1203"/>
      </w:tblGrid>
      <w:tr w14:paraId="66BA5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pct"/>
            <w:shd w:val="clear" w:color="auto" w:fill="auto"/>
            <w:vAlign w:val="center"/>
          </w:tcPr>
          <w:p w14:paraId="3C954F74">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涂料参数</w:t>
            </w:r>
          </w:p>
        </w:tc>
        <w:tc>
          <w:tcPr>
            <w:tcW w:w="848" w:type="pct"/>
            <w:shd w:val="clear" w:color="auto" w:fill="auto"/>
            <w:vAlign w:val="center"/>
          </w:tcPr>
          <w:p w14:paraId="16B635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B1底色漆</w:t>
            </w:r>
          </w:p>
        </w:tc>
        <w:tc>
          <w:tcPr>
            <w:tcW w:w="1437" w:type="pct"/>
            <w:gridSpan w:val="2"/>
            <w:tcBorders>
              <w:bottom w:val="single" w:color="auto" w:sz="4" w:space="0"/>
            </w:tcBorders>
            <w:shd w:val="clear" w:color="auto" w:fill="auto"/>
            <w:vAlign w:val="center"/>
          </w:tcPr>
          <w:p w14:paraId="18DE3E5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B2色漆</w:t>
            </w:r>
          </w:p>
        </w:tc>
        <w:tc>
          <w:tcPr>
            <w:tcW w:w="819" w:type="pct"/>
            <w:shd w:val="clear" w:color="auto" w:fill="auto"/>
            <w:vAlign w:val="center"/>
          </w:tcPr>
          <w:p w14:paraId="79D299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溶剂型清漆</w:t>
            </w:r>
          </w:p>
        </w:tc>
        <w:tc>
          <w:tcPr>
            <w:tcW w:w="1258" w:type="pct"/>
            <w:gridSpan w:val="2"/>
            <w:shd w:val="clear" w:color="auto" w:fill="auto"/>
          </w:tcPr>
          <w:p w14:paraId="35C1825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溶剂</w:t>
            </w:r>
          </w:p>
        </w:tc>
      </w:tr>
      <w:tr w14:paraId="5BC21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6" w:type="pct"/>
            <w:shd w:val="clear" w:color="auto" w:fill="auto"/>
            <w:vAlign w:val="center"/>
          </w:tcPr>
          <w:p w14:paraId="39CB92F8">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iCs/>
                <w:sz w:val="24"/>
              </w:rPr>
            </w:pPr>
            <w:r>
              <w:rPr>
                <w:rFonts w:hint="eastAsia" w:ascii="宋体" w:hAnsi="宋体" w:eastAsia="宋体" w:cs="宋体"/>
                <w:bCs/>
                <w:iCs/>
                <w:sz w:val="24"/>
              </w:rPr>
              <w:t>分散介质</w:t>
            </w:r>
          </w:p>
        </w:tc>
        <w:tc>
          <w:tcPr>
            <w:tcW w:w="848" w:type="pct"/>
            <w:tcBorders>
              <w:bottom w:val="single" w:color="auto" w:sz="4" w:space="0"/>
            </w:tcBorders>
            <w:shd w:val="clear" w:color="auto" w:fill="auto"/>
            <w:vAlign w:val="center"/>
          </w:tcPr>
          <w:p w14:paraId="759CA3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水性</w:t>
            </w:r>
          </w:p>
        </w:tc>
        <w:tc>
          <w:tcPr>
            <w:tcW w:w="1437" w:type="pct"/>
            <w:gridSpan w:val="2"/>
            <w:tcBorders>
              <w:bottom w:val="single" w:color="auto" w:sz="4" w:space="0"/>
            </w:tcBorders>
            <w:shd w:val="clear" w:color="auto" w:fill="auto"/>
            <w:vAlign w:val="center"/>
          </w:tcPr>
          <w:p w14:paraId="148FDE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水性金属漆、珠光漆/素色漆</w:t>
            </w:r>
          </w:p>
        </w:tc>
        <w:tc>
          <w:tcPr>
            <w:tcW w:w="819" w:type="pct"/>
            <w:tcBorders>
              <w:bottom w:val="single" w:color="auto" w:sz="4" w:space="0"/>
            </w:tcBorders>
            <w:shd w:val="clear" w:color="auto" w:fill="auto"/>
            <w:vAlign w:val="center"/>
          </w:tcPr>
          <w:p w14:paraId="4D41DD3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2K溶剂型</w:t>
            </w:r>
          </w:p>
        </w:tc>
        <w:tc>
          <w:tcPr>
            <w:tcW w:w="635" w:type="pct"/>
            <w:tcBorders>
              <w:bottom w:val="single" w:color="auto" w:sz="4" w:space="0"/>
            </w:tcBorders>
            <w:shd w:val="clear" w:color="auto" w:fill="auto"/>
            <w:vAlign w:val="center"/>
          </w:tcPr>
          <w:p w14:paraId="10D481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水性</w:t>
            </w:r>
          </w:p>
        </w:tc>
        <w:tc>
          <w:tcPr>
            <w:tcW w:w="622" w:type="pct"/>
            <w:tcBorders>
              <w:bottom w:val="single" w:color="auto" w:sz="4" w:space="0"/>
            </w:tcBorders>
            <w:shd w:val="clear" w:color="auto" w:fill="auto"/>
            <w:vAlign w:val="center"/>
          </w:tcPr>
          <w:p w14:paraId="3A8978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油性</w:t>
            </w:r>
          </w:p>
        </w:tc>
      </w:tr>
      <w:tr w14:paraId="73E3B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36" w:type="pct"/>
            <w:shd w:val="clear" w:color="auto" w:fill="auto"/>
            <w:vAlign w:val="center"/>
          </w:tcPr>
          <w:p w14:paraId="2A29E30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iCs/>
                <w:sz w:val="24"/>
              </w:rPr>
            </w:pPr>
            <w:r>
              <w:rPr>
                <w:rFonts w:hint="eastAsia" w:ascii="宋体" w:hAnsi="宋体" w:eastAsia="宋体" w:cs="宋体"/>
                <w:bCs/>
                <w:iCs/>
                <w:sz w:val="24"/>
              </w:rPr>
              <w:t>施工温度</w:t>
            </w:r>
            <w:r>
              <w:rPr>
                <w:rFonts w:hint="eastAsia" w:ascii="宋体" w:hAnsi="宋体" w:eastAsia="宋体" w:cs="宋体"/>
                <w:bCs/>
                <w:sz w:val="24"/>
              </w:rPr>
              <w:t>℃</w:t>
            </w:r>
          </w:p>
        </w:tc>
        <w:tc>
          <w:tcPr>
            <w:tcW w:w="848" w:type="pct"/>
            <w:shd w:val="clear" w:color="auto" w:fill="auto"/>
            <w:vAlign w:val="center"/>
          </w:tcPr>
          <w:p w14:paraId="3299F45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23±2</w:t>
            </w:r>
          </w:p>
        </w:tc>
        <w:tc>
          <w:tcPr>
            <w:tcW w:w="685" w:type="pct"/>
            <w:shd w:val="clear" w:color="auto" w:fill="auto"/>
            <w:vAlign w:val="center"/>
          </w:tcPr>
          <w:p w14:paraId="1BF2826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23±2</w:t>
            </w:r>
          </w:p>
        </w:tc>
        <w:tc>
          <w:tcPr>
            <w:tcW w:w="752" w:type="pct"/>
            <w:shd w:val="clear" w:color="auto" w:fill="auto"/>
            <w:vAlign w:val="center"/>
          </w:tcPr>
          <w:p w14:paraId="2E7A2ED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23±2</w:t>
            </w:r>
          </w:p>
        </w:tc>
        <w:tc>
          <w:tcPr>
            <w:tcW w:w="819" w:type="pct"/>
            <w:shd w:val="clear" w:color="auto" w:fill="auto"/>
            <w:vAlign w:val="center"/>
          </w:tcPr>
          <w:p w14:paraId="267675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23±2</w:t>
            </w:r>
          </w:p>
        </w:tc>
        <w:tc>
          <w:tcPr>
            <w:tcW w:w="635" w:type="pct"/>
            <w:shd w:val="clear" w:color="auto" w:fill="auto"/>
            <w:vAlign w:val="center"/>
          </w:tcPr>
          <w:p w14:paraId="359ABA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5</w:t>
            </w:r>
            <w:r>
              <w:rPr>
                <w:rFonts w:hint="eastAsia" w:ascii="宋体" w:hAnsi="宋体" w:eastAsia="宋体" w:cs="宋体"/>
                <w:sz w:val="24"/>
              </w:rPr>
              <w:t>～</w:t>
            </w:r>
            <w:r>
              <w:rPr>
                <w:rFonts w:hint="eastAsia" w:ascii="宋体" w:hAnsi="宋体" w:eastAsia="宋体" w:cs="宋体"/>
                <w:bCs/>
                <w:sz w:val="24"/>
              </w:rPr>
              <w:t>45</w:t>
            </w:r>
          </w:p>
        </w:tc>
        <w:tc>
          <w:tcPr>
            <w:tcW w:w="622" w:type="pct"/>
            <w:shd w:val="clear" w:color="auto" w:fill="auto"/>
            <w:vAlign w:val="center"/>
          </w:tcPr>
          <w:p w14:paraId="5549DD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常温</w:t>
            </w:r>
          </w:p>
        </w:tc>
      </w:tr>
    </w:tbl>
    <w:p w14:paraId="64B46C6B">
      <w:pPr>
        <w:pStyle w:val="5"/>
        <w:pageBreakBefore w:val="0"/>
        <w:numPr>
          <w:ilvl w:val="0"/>
          <w:numId w:val="12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出口参数</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79"/>
        <w:gridCol w:w="1470"/>
        <w:gridCol w:w="1234"/>
        <w:gridCol w:w="1209"/>
        <w:gridCol w:w="1251"/>
        <w:gridCol w:w="1192"/>
        <w:gridCol w:w="1234"/>
        <w:gridCol w:w="1385"/>
      </w:tblGrid>
      <w:tr w14:paraId="4D57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7" w:hRule="atLeast"/>
          <w:jc w:val="center"/>
        </w:trPr>
        <w:tc>
          <w:tcPr>
            <w:tcW w:w="111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7AC2EB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涂料种类</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771ACD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B1底漆</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14:paraId="72F38E4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B2色漆</w:t>
            </w:r>
          </w:p>
        </w:tc>
        <w:tc>
          <w:tcPr>
            <w:tcW w:w="648" w:type="pct"/>
            <w:tcBorders>
              <w:top w:val="single" w:color="auto" w:sz="4" w:space="0"/>
              <w:left w:val="single" w:color="auto" w:sz="4" w:space="0"/>
              <w:bottom w:val="single" w:color="auto" w:sz="4" w:space="0"/>
              <w:right w:val="single" w:color="auto" w:sz="4" w:space="0"/>
            </w:tcBorders>
            <w:shd w:val="clear" w:color="auto" w:fill="auto"/>
            <w:vAlign w:val="center"/>
          </w:tcPr>
          <w:p w14:paraId="608BDC0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2K清漆</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0AFC2A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固化剂</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112BA5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水性溶剂</w:t>
            </w:r>
          </w:p>
        </w:tc>
        <w:tc>
          <w:tcPr>
            <w:tcW w:w="716" w:type="pct"/>
            <w:tcBorders>
              <w:top w:val="single" w:color="auto" w:sz="4" w:space="0"/>
              <w:left w:val="single" w:color="auto" w:sz="4" w:space="0"/>
              <w:bottom w:val="single" w:color="auto" w:sz="4" w:space="0"/>
              <w:right w:val="single" w:color="auto" w:sz="4" w:space="0"/>
            </w:tcBorders>
            <w:shd w:val="clear" w:color="auto" w:fill="auto"/>
            <w:vAlign w:val="center"/>
          </w:tcPr>
          <w:p w14:paraId="7D87AE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清漆溶剂</w:t>
            </w:r>
          </w:p>
        </w:tc>
      </w:tr>
      <w:tr w14:paraId="53E55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jc w:val="center"/>
        </w:trPr>
        <w:tc>
          <w:tcPr>
            <w:tcW w:w="1113"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27D8C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套数</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64E58A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color w:val="auto"/>
                <w:sz w:val="24"/>
              </w:rPr>
              <w:t>2</w:t>
            </w:r>
          </w:p>
        </w:tc>
        <w:tc>
          <w:tcPr>
            <w:tcW w:w="626" w:type="pct"/>
            <w:tcBorders>
              <w:top w:val="single" w:color="auto" w:sz="4" w:space="0"/>
              <w:left w:val="single" w:color="auto" w:sz="4" w:space="0"/>
              <w:bottom w:val="single" w:color="auto" w:sz="4" w:space="0"/>
              <w:right w:val="single" w:color="auto" w:sz="4" w:space="0"/>
            </w:tcBorders>
            <w:shd w:val="clear" w:color="auto" w:fill="auto"/>
            <w:vAlign w:val="center"/>
          </w:tcPr>
          <w:p w14:paraId="7746D9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w:t>
            </w:r>
          </w:p>
        </w:tc>
        <w:tc>
          <w:tcPr>
            <w:tcW w:w="648" w:type="pct"/>
            <w:tcBorders>
              <w:top w:val="single" w:color="auto" w:sz="4" w:space="0"/>
              <w:left w:val="single" w:color="auto" w:sz="4" w:space="0"/>
              <w:bottom w:val="single" w:color="auto" w:sz="4" w:space="0"/>
              <w:right w:val="single" w:color="auto" w:sz="4" w:space="0"/>
            </w:tcBorders>
            <w:shd w:val="clear" w:color="auto" w:fill="auto"/>
            <w:vAlign w:val="center"/>
          </w:tcPr>
          <w:p w14:paraId="282590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w:t>
            </w:r>
          </w:p>
        </w:tc>
        <w:tc>
          <w:tcPr>
            <w:tcW w:w="617" w:type="pct"/>
            <w:tcBorders>
              <w:top w:val="single" w:color="auto" w:sz="4" w:space="0"/>
              <w:left w:val="single" w:color="auto" w:sz="4" w:space="0"/>
              <w:bottom w:val="single" w:color="auto" w:sz="4" w:space="0"/>
              <w:right w:val="single" w:color="auto" w:sz="4" w:space="0"/>
            </w:tcBorders>
            <w:shd w:val="clear" w:color="auto" w:fill="auto"/>
            <w:vAlign w:val="center"/>
          </w:tcPr>
          <w:p w14:paraId="71D2D6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w:t>
            </w:r>
          </w:p>
        </w:tc>
        <w:tc>
          <w:tcPr>
            <w:tcW w:w="639" w:type="pct"/>
            <w:tcBorders>
              <w:top w:val="single" w:color="auto" w:sz="4" w:space="0"/>
              <w:left w:val="single" w:color="auto" w:sz="4" w:space="0"/>
              <w:bottom w:val="single" w:color="auto" w:sz="4" w:space="0"/>
              <w:right w:val="single" w:color="auto" w:sz="4" w:space="0"/>
            </w:tcBorders>
            <w:shd w:val="clear" w:color="auto" w:fill="auto"/>
            <w:vAlign w:val="center"/>
          </w:tcPr>
          <w:p w14:paraId="4A0A99D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w:t>
            </w:r>
          </w:p>
        </w:tc>
        <w:tc>
          <w:tcPr>
            <w:tcW w:w="716" w:type="pct"/>
            <w:tcBorders>
              <w:top w:val="single" w:color="auto" w:sz="4" w:space="0"/>
              <w:left w:val="single" w:color="auto" w:sz="4" w:space="0"/>
              <w:bottom w:val="single" w:color="auto" w:sz="4" w:space="0"/>
              <w:right w:val="single" w:color="auto" w:sz="4" w:space="0"/>
            </w:tcBorders>
            <w:shd w:val="clear" w:color="auto" w:fill="auto"/>
            <w:vAlign w:val="center"/>
          </w:tcPr>
          <w:p w14:paraId="14494E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w:t>
            </w:r>
          </w:p>
        </w:tc>
      </w:tr>
      <w:tr w14:paraId="19AED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52" w:type="pct"/>
            <w:vMerge w:val="restart"/>
            <w:shd w:val="clear" w:color="auto" w:fill="auto"/>
            <w:vAlign w:val="center"/>
          </w:tcPr>
          <w:p w14:paraId="67D737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检查段喷涂</w:t>
            </w:r>
          </w:p>
        </w:tc>
        <w:tc>
          <w:tcPr>
            <w:tcW w:w="760" w:type="pct"/>
            <w:shd w:val="clear" w:color="auto" w:fill="auto"/>
            <w:vAlign w:val="center"/>
          </w:tcPr>
          <w:p w14:paraId="7DF9D5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枪站数</w:t>
            </w:r>
          </w:p>
        </w:tc>
        <w:tc>
          <w:tcPr>
            <w:tcW w:w="3886" w:type="pct"/>
            <w:gridSpan w:val="6"/>
            <w:shd w:val="clear" w:color="auto" w:fill="auto"/>
            <w:vAlign w:val="center"/>
          </w:tcPr>
          <w:p w14:paraId="2F71C3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以实际设计为准</w:t>
            </w:r>
          </w:p>
        </w:tc>
      </w:tr>
      <w:tr w14:paraId="4DEA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jc w:val="center"/>
        </w:trPr>
        <w:tc>
          <w:tcPr>
            <w:tcW w:w="352" w:type="pct"/>
            <w:vMerge w:val="continue"/>
            <w:shd w:val="clear" w:color="auto" w:fill="auto"/>
            <w:vAlign w:val="center"/>
          </w:tcPr>
          <w:p w14:paraId="740DD4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p>
        </w:tc>
        <w:tc>
          <w:tcPr>
            <w:tcW w:w="760" w:type="pct"/>
            <w:shd w:val="clear" w:color="auto" w:fill="auto"/>
            <w:vAlign w:val="center"/>
          </w:tcPr>
          <w:p w14:paraId="167A3F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压力</w:t>
            </w:r>
          </w:p>
        </w:tc>
        <w:tc>
          <w:tcPr>
            <w:tcW w:w="639" w:type="pct"/>
            <w:shd w:val="clear" w:color="auto" w:fill="auto"/>
            <w:vAlign w:val="center"/>
          </w:tcPr>
          <w:p w14:paraId="535904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5～10Bar</w:t>
            </w:r>
          </w:p>
        </w:tc>
        <w:tc>
          <w:tcPr>
            <w:tcW w:w="626" w:type="pct"/>
            <w:shd w:val="clear" w:color="auto" w:fill="auto"/>
            <w:vAlign w:val="center"/>
          </w:tcPr>
          <w:p w14:paraId="28AA3A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5～10Bar</w:t>
            </w:r>
          </w:p>
        </w:tc>
        <w:tc>
          <w:tcPr>
            <w:tcW w:w="648" w:type="pct"/>
            <w:shd w:val="clear" w:color="auto" w:fill="auto"/>
            <w:vAlign w:val="center"/>
          </w:tcPr>
          <w:p w14:paraId="677BDA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5～15Bar</w:t>
            </w:r>
          </w:p>
        </w:tc>
        <w:tc>
          <w:tcPr>
            <w:tcW w:w="617" w:type="pct"/>
            <w:shd w:val="clear" w:color="auto" w:fill="auto"/>
            <w:vAlign w:val="center"/>
          </w:tcPr>
          <w:p w14:paraId="14681C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5～10Bar</w:t>
            </w:r>
          </w:p>
        </w:tc>
        <w:tc>
          <w:tcPr>
            <w:tcW w:w="639" w:type="pct"/>
            <w:shd w:val="clear" w:color="auto" w:fill="auto"/>
            <w:vAlign w:val="center"/>
          </w:tcPr>
          <w:p w14:paraId="704CB8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5～10Bar</w:t>
            </w:r>
          </w:p>
        </w:tc>
        <w:tc>
          <w:tcPr>
            <w:tcW w:w="716" w:type="pct"/>
            <w:shd w:val="clear" w:color="auto" w:fill="auto"/>
            <w:vAlign w:val="center"/>
          </w:tcPr>
          <w:p w14:paraId="0962C48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5～10Bar</w:t>
            </w:r>
          </w:p>
        </w:tc>
      </w:tr>
      <w:tr w14:paraId="5B870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jc w:val="center"/>
        </w:trPr>
        <w:tc>
          <w:tcPr>
            <w:tcW w:w="352" w:type="pct"/>
            <w:vMerge w:val="continue"/>
            <w:shd w:val="clear" w:color="auto" w:fill="auto"/>
            <w:vAlign w:val="center"/>
          </w:tcPr>
          <w:p w14:paraId="6FDD7F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p>
        </w:tc>
        <w:tc>
          <w:tcPr>
            <w:tcW w:w="760" w:type="pct"/>
            <w:shd w:val="clear" w:color="auto" w:fill="auto"/>
            <w:vAlign w:val="center"/>
          </w:tcPr>
          <w:p w14:paraId="2C00045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流量cc/min</w:t>
            </w:r>
          </w:p>
        </w:tc>
        <w:tc>
          <w:tcPr>
            <w:tcW w:w="639" w:type="pct"/>
            <w:shd w:val="clear" w:color="auto" w:fill="auto"/>
            <w:vAlign w:val="center"/>
          </w:tcPr>
          <w:p w14:paraId="1FD7A5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700</w:t>
            </w:r>
          </w:p>
        </w:tc>
        <w:tc>
          <w:tcPr>
            <w:tcW w:w="626" w:type="pct"/>
            <w:shd w:val="clear" w:color="auto" w:fill="auto"/>
            <w:vAlign w:val="center"/>
          </w:tcPr>
          <w:p w14:paraId="26F7B1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700</w:t>
            </w:r>
          </w:p>
        </w:tc>
        <w:tc>
          <w:tcPr>
            <w:tcW w:w="648" w:type="pct"/>
            <w:tcBorders>
              <w:right w:val="single" w:color="000000" w:sz="4" w:space="0"/>
            </w:tcBorders>
            <w:shd w:val="clear" w:color="auto" w:fill="auto"/>
            <w:vAlign w:val="center"/>
          </w:tcPr>
          <w:p w14:paraId="44FDF6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700</w:t>
            </w:r>
          </w:p>
        </w:tc>
        <w:tc>
          <w:tcPr>
            <w:tcW w:w="617" w:type="pct"/>
            <w:tcBorders>
              <w:left w:val="single" w:color="000000" w:sz="4" w:space="0"/>
            </w:tcBorders>
            <w:shd w:val="clear" w:color="auto" w:fill="auto"/>
            <w:vAlign w:val="center"/>
          </w:tcPr>
          <w:p w14:paraId="7628DE0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700</w:t>
            </w:r>
          </w:p>
        </w:tc>
        <w:tc>
          <w:tcPr>
            <w:tcW w:w="639" w:type="pct"/>
            <w:shd w:val="clear" w:color="auto" w:fill="auto"/>
            <w:vAlign w:val="center"/>
          </w:tcPr>
          <w:p w14:paraId="2EFBD79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≥1000</w:t>
            </w:r>
          </w:p>
        </w:tc>
        <w:tc>
          <w:tcPr>
            <w:tcW w:w="716" w:type="pct"/>
            <w:shd w:val="clear" w:color="auto" w:fill="auto"/>
            <w:vAlign w:val="center"/>
          </w:tcPr>
          <w:p w14:paraId="63FFF0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≥1000</w:t>
            </w:r>
          </w:p>
        </w:tc>
      </w:tr>
      <w:tr w14:paraId="7ECF8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52" w:type="pct"/>
            <w:vMerge w:val="restart"/>
            <w:shd w:val="clear" w:color="auto" w:fill="auto"/>
            <w:vAlign w:val="center"/>
          </w:tcPr>
          <w:p w14:paraId="50BA26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内板手工喷涂</w:t>
            </w:r>
          </w:p>
        </w:tc>
        <w:tc>
          <w:tcPr>
            <w:tcW w:w="760" w:type="pct"/>
            <w:shd w:val="clear" w:color="auto" w:fill="auto"/>
            <w:vAlign w:val="center"/>
          </w:tcPr>
          <w:p w14:paraId="62D8CF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枪站数</w:t>
            </w:r>
          </w:p>
        </w:tc>
        <w:tc>
          <w:tcPr>
            <w:tcW w:w="3886" w:type="pct"/>
            <w:gridSpan w:val="6"/>
            <w:shd w:val="clear" w:color="auto" w:fill="auto"/>
            <w:vAlign w:val="center"/>
          </w:tcPr>
          <w:p w14:paraId="39222C6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以实际设计为准</w:t>
            </w:r>
          </w:p>
        </w:tc>
      </w:tr>
      <w:tr w14:paraId="0A857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52" w:type="pct"/>
            <w:vMerge w:val="continue"/>
            <w:shd w:val="clear" w:color="auto" w:fill="auto"/>
            <w:vAlign w:val="center"/>
          </w:tcPr>
          <w:p w14:paraId="695C066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p>
        </w:tc>
        <w:tc>
          <w:tcPr>
            <w:tcW w:w="760" w:type="pct"/>
            <w:shd w:val="clear" w:color="auto" w:fill="auto"/>
            <w:vAlign w:val="center"/>
          </w:tcPr>
          <w:p w14:paraId="10E2598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压力</w:t>
            </w:r>
          </w:p>
        </w:tc>
        <w:tc>
          <w:tcPr>
            <w:tcW w:w="639" w:type="pct"/>
            <w:shd w:val="clear" w:color="auto" w:fill="auto"/>
            <w:vAlign w:val="center"/>
          </w:tcPr>
          <w:p w14:paraId="05C473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w:t>
            </w:r>
          </w:p>
        </w:tc>
        <w:tc>
          <w:tcPr>
            <w:tcW w:w="626" w:type="pct"/>
            <w:shd w:val="clear" w:color="auto" w:fill="auto"/>
            <w:vAlign w:val="center"/>
          </w:tcPr>
          <w:p w14:paraId="1F9AEAE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w:t>
            </w:r>
            <w:r>
              <w:rPr>
                <w:rFonts w:hint="eastAsia" w:ascii="宋体" w:hAnsi="宋体" w:eastAsia="宋体" w:cs="宋体"/>
                <w:sz w:val="24"/>
              </w:rPr>
              <w:t>～</w:t>
            </w:r>
            <w:r>
              <w:rPr>
                <w:rFonts w:hint="eastAsia" w:ascii="宋体" w:hAnsi="宋体" w:eastAsia="宋体" w:cs="宋体"/>
                <w:bCs/>
                <w:sz w:val="24"/>
              </w:rPr>
              <w:t>10Bar</w:t>
            </w:r>
          </w:p>
        </w:tc>
        <w:tc>
          <w:tcPr>
            <w:tcW w:w="648" w:type="pct"/>
            <w:tcBorders>
              <w:right w:val="single" w:color="000000" w:sz="4" w:space="0"/>
            </w:tcBorders>
            <w:shd w:val="clear" w:color="auto" w:fill="auto"/>
            <w:vAlign w:val="center"/>
          </w:tcPr>
          <w:p w14:paraId="7B57B9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w:t>
            </w:r>
            <w:r>
              <w:rPr>
                <w:rFonts w:hint="eastAsia" w:ascii="宋体" w:hAnsi="宋体" w:eastAsia="宋体" w:cs="宋体"/>
                <w:sz w:val="24"/>
              </w:rPr>
              <w:t>～</w:t>
            </w:r>
            <w:r>
              <w:rPr>
                <w:rFonts w:hint="eastAsia" w:ascii="宋体" w:hAnsi="宋体" w:eastAsia="宋体" w:cs="宋体"/>
                <w:bCs/>
                <w:sz w:val="24"/>
              </w:rPr>
              <w:t>15Bar</w:t>
            </w:r>
          </w:p>
        </w:tc>
        <w:tc>
          <w:tcPr>
            <w:tcW w:w="617" w:type="pct"/>
            <w:tcBorders>
              <w:left w:val="single" w:color="000000" w:sz="4" w:space="0"/>
            </w:tcBorders>
            <w:shd w:val="clear" w:color="auto" w:fill="auto"/>
            <w:vAlign w:val="center"/>
          </w:tcPr>
          <w:p w14:paraId="10F0746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w:t>
            </w:r>
            <w:r>
              <w:rPr>
                <w:rFonts w:hint="eastAsia" w:ascii="宋体" w:hAnsi="宋体" w:eastAsia="宋体" w:cs="宋体"/>
                <w:sz w:val="24"/>
              </w:rPr>
              <w:t>～</w:t>
            </w:r>
            <w:r>
              <w:rPr>
                <w:rFonts w:hint="eastAsia" w:ascii="宋体" w:hAnsi="宋体" w:eastAsia="宋体" w:cs="宋体"/>
                <w:bCs/>
                <w:sz w:val="24"/>
              </w:rPr>
              <w:t>10Bar</w:t>
            </w:r>
          </w:p>
        </w:tc>
        <w:tc>
          <w:tcPr>
            <w:tcW w:w="639" w:type="pct"/>
            <w:shd w:val="clear" w:color="auto" w:fill="auto"/>
            <w:vAlign w:val="center"/>
          </w:tcPr>
          <w:p w14:paraId="717A146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w:t>
            </w:r>
            <w:r>
              <w:rPr>
                <w:rFonts w:hint="eastAsia" w:ascii="宋体" w:hAnsi="宋体" w:eastAsia="宋体" w:cs="宋体"/>
                <w:sz w:val="24"/>
              </w:rPr>
              <w:t>～</w:t>
            </w:r>
            <w:r>
              <w:rPr>
                <w:rFonts w:hint="eastAsia" w:ascii="宋体" w:hAnsi="宋体" w:eastAsia="宋体" w:cs="宋体"/>
                <w:bCs/>
                <w:sz w:val="24"/>
              </w:rPr>
              <w:t>10Bar</w:t>
            </w:r>
          </w:p>
        </w:tc>
        <w:tc>
          <w:tcPr>
            <w:tcW w:w="716" w:type="pct"/>
            <w:shd w:val="clear" w:color="auto" w:fill="auto"/>
            <w:vAlign w:val="center"/>
          </w:tcPr>
          <w:p w14:paraId="4BC254E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5</w:t>
            </w:r>
            <w:r>
              <w:rPr>
                <w:rFonts w:hint="eastAsia" w:ascii="宋体" w:hAnsi="宋体" w:eastAsia="宋体" w:cs="宋体"/>
                <w:sz w:val="24"/>
              </w:rPr>
              <w:t>～</w:t>
            </w:r>
            <w:r>
              <w:rPr>
                <w:rFonts w:hint="eastAsia" w:ascii="宋体" w:hAnsi="宋体" w:eastAsia="宋体" w:cs="宋体"/>
                <w:bCs/>
                <w:sz w:val="24"/>
              </w:rPr>
              <w:t>10Bar</w:t>
            </w:r>
          </w:p>
        </w:tc>
      </w:tr>
      <w:tr w14:paraId="2D977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52" w:type="pct"/>
            <w:vMerge w:val="continue"/>
            <w:shd w:val="clear" w:color="auto" w:fill="auto"/>
            <w:vAlign w:val="center"/>
          </w:tcPr>
          <w:p w14:paraId="4339F1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p>
        </w:tc>
        <w:tc>
          <w:tcPr>
            <w:tcW w:w="760" w:type="pct"/>
            <w:shd w:val="clear" w:color="auto" w:fill="auto"/>
            <w:vAlign w:val="center"/>
          </w:tcPr>
          <w:p w14:paraId="621EFF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流量cc/min</w:t>
            </w:r>
          </w:p>
        </w:tc>
        <w:tc>
          <w:tcPr>
            <w:tcW w:w="639" w:type="pct"/>
            <w:shd w:val="clear" w:color="auto" w:fill="auto"/>
            <w:vAlign w:val="center"/>
          </w:tcPr>
          <w:p w14:paraId="2098C60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w:t>
            </w:r>
          </w:p>
        </w:tc>
        <w:tc>
          <w:tcPr>
            <w:tcW w:w="626" w:type="pct"/>
            <w:shd w:val="clear" w:color="auto" w:fill="auto"/>
            <w:vAlign w:val="center"/>
          </w:tcPr>
          <w:p w14:paraId="2E1C2D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700</w:t>
            </w:r>
          </w:p>
        </w:tc>
        <w:tc>
          <w:tcPr>
            <w:tcW w:w="648" w:type="pct"/>
            <w:shd w:val="clear" w:color="auto" w:fill="auto"/>
            <w:vAlign w:val="center"/>
          </w:tcPr>
          <w:p w14:paraId="52F7268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700</w:t>
            </w:r>
          </w:p>
        </w:tc>
        <w:tc>
          <w:tcPr>
            <w:tcW w:w="617" w:type="pct"/>
            <w:shd w:val="clear" w:color="auto" w:fill="auto"/>
            <w:vAlign w:val="center"/>
          </w:tcPr>
          <w:p w14:paraId="4B05BD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1000</w:t>
            </w:r>
          </w:p>
        </w:tc>
        <w:tc>
          <w:tcPr>
            <w:tcW w:w="639" w:type="pct"/>
            <w:shd w:val="clear" w:color="auto" w:fill="auto"/>
            <w:vAlign w:val="center"/>
          </w:tcPr>
          <w:p w14:paraId="7090DFC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≥2000</w:t>
            </w:r>
          </w:p>
        </w:tc>
        <w:tc>
          <w:tcPr>
            <w:tcW w:w="716" w:type="pct"/>
            <w:shd w:val="clear" w:color="auto" w:fill="auto"/>
            <w:vAlign w:val="center"/>
          </w:tcPr>
          <w:p w14:paraId="1B9B80F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≥2000</w:t>
            </w:r>
          </w:p>
        </w:tc>
      </w:tr>
      <w:tr w14:paraId="691C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52" w:type="pct"/>
            <w:vMerge w:val="restart"/>
            <w:shd w:val="clear" w:color="auto" w:fill="auto"/>
            <w:vAlign w:val="center"/>
          </w:tcPr>
          <w:p w14:paraId="743910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外板自动喷涂</w:t>
            </w:r>
          </w:p>
        </w:tc>
        <w:tc>
          <w:tcPr>
            <w:tcW w:w="760" w:type="pct"/>
            <w:shd w:val="clear" w:color="auto" w:fill="auto"/>
            <w:vAlign w:val="center"/>
          </w:tcPr>
          <w:p w14:paraId="7A5856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枪站数</w:t>
            </w:r>
          </w:p>
        </w:tc>
        <w:tc>
          <w:tcPr>
            <w:tcW w:w="3886" w:type="pct"/>
            <w:gridSpan w:val="6"/>
            <w:shd w:val="clear" w:color="auto" w:fill="auto"/>
            <w:vAlign w:val="center"/>
          </w:tcPr>
          <w:p w14:paraId="613F47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以实际设计为准</w:t>
            </w:r>
          </w:p>
        </w:tc>
      </w:tr>
      <w:tr w14:paraId="03EBC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52" w:type="pct"/>
            <w:vMerge w:val="continue"/>
            <w:shd w:val="clear" w:color="auto" w:fill="auto"/>
            <w:vAlign w:val="center"/>
          </w:tcPr>
          <w:p w14:paraId="29B211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p>
        </w:tc>
        <w:tc>
          <w:tcPr>
            <w:tcW w:w="760" w:type="pct"/>
            <w:shd w:val="clear" w:color="auto" w:fill="auto"/>
            <w:vAlign w:val="center"/>
          </w:tcPr>
          <w:p w14:paraId="01899B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压力</w:t>
            </w:r>
          </w:p>
        </w:tc>
        <w:tc>
          <w:tcPr>
            <w:tcW w:w="639" w:type="pct"/>
            <w:shd w:val="clear" w:color="auto" w:fill="auto"/>
            <w:vAlign w:val="center"/>
          </w:tcPr>
          <w:p w14:paraId="1C3DA7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w:t>
            </w:r>
            <w:r>
              <w:rPr>
                <w:rFonts w:hint="eastAsia" w:ascii="宋体" w:hAnsi="宋体" w:eastAsia="宋体" w:cs="宋体"/>
                <w:sz w:val="24"/>
              </w:rPr>
              <w:t>～</w:t>
            </w:r>
            <w:r>
              <w:rPr>
                <w:rFonts w:hint="eastAsia" w:ascii="宋体" w:hAnsi="宋体" w:eastAsia="宋体" w:cs="宋体"/>
                <w:bCs/>
                <w:sz w:val="24"/>
              </w:rPr>
              <w:t>12Bar</w:t>
            </w:r>
          </w:p>
        </w:tc>
        <w:tc>
          <w:tcPr>
            <w:tcW w:w="626" w:type="pct"/>
            <w:shd w:val="clear" w:color="auto" w:fill="auto"/>
            <w:vAlign w:val="center"/>
          </w:tcPr>
          <w:p w14:paraId="67A34C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w:t>
            </w:r>
            <w:r>
              <w:rPr>
                <w:rFonts w:hint="eastAsia" w:ascii="宋体" w:hAnsi="宋体" w:eastAsia="宋体" w:cs="宋体"/>
                <w:sz w:val="24"/>
              </w:rPr>
              <w:t>～</w:t>
            </w:r>
            <w:r>
              <w:rPr>
                <w:rFonts w:hint="eastAsia" w:ascii="宋体" w:hAnsi="宋体" w:eastAsia="宋体" w:cs="宋体"/>
                <w:bCs/>
                <w:sz w:val="24"/>
              </w:rPr>
              <w:t>12Bar</w:t>
            </w:r>
          </w:p>
        </w:tc>
        <w:tc>
          <w:tcPr>
            <w:tcW w:w="648" w:type="pct"/>
            <w:shd w:val="clear" w:color="auto" w:fill="auto"/>
            <w:vAlign w:val="center"/>
          </w:tcPr>
          <w:p w14:paraId="0FCF07D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w:t>
            </w:r>
            <w:r>
              <w:rPr>
                <w:rFonts w:hint="eastAsia" w:ascii="宋体" w:hAnsi="宋体" w:eastAsia="宋体" w:cs="宋体"/>
                <w:sz w:val="24"/>
              </w:rPr>
              <w:t>～</w:t>
            </w:r>
            <w:r>
              <w:rPr>
                <w:rFonts w:hint="eastAsia" w:ascii="宋体" w:hAnsi="宋体" w:eastAsia="宋体" w:cs="宋体"/>
                <w:bCs/>
                <w:sz w:val="24"/>
              </w:rPr>
              <w:t>15Bar</w:t>
            </w:r>
          </w:p>
        </w:tc>
        <w:tc>
          <w:tcPr>
            <w:tcW w:w="617" w:type="pct"/>
            <w:shd w:val="clear" w:color="auto" w:fill="auto"/>
            <w:vAlign w:val="center"/>
          </w:tcPr>
          <w:p w14:paraId="62A259D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w:t>
            </w:r>
            <w:r>
              <w:rPr>
                <w:rFonts w:hint="eastAsia" w:ascii="宋体" w:hAnsi="宋体" w:eastAsia="宋体" w:cs="宋体"/>
                <w:sz w:val="24"/>
              </w:rPr>
              <w:t>～</w:t>
            </w:r>
            <w:r>
              <w:rPr>
                <w:rFonts w:hint="eastAsia" w:ascii="宋体" w:hAnsi="宋体" w:eastAsia="宋体" w:cs="宋体"/>
                <w:bCs/>
                <w:sz w:val="24"/>
              </w:rPr>
              <w:t>12Bar</w:t>
            </w:r>
          </w:p>
        </w:tc>
        <w:tc>
          <w:tcPr>
            <w:tcW w:w="639" w:type="pct"/>
            <w:shd w:val="clear" w:color="auto" w:fill="auto"/>
            <w:vAlign w:val="center"/>
          </w:tcPr>
          <w:p w14:paraId="299E10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w:t>
            </w:r>
            <w:r>
              <w:rPr>
                <w:rFonts w:hint="eastAsia" w:ascii="宋体" w:hAnsi="宋体" w:eastAsia="宋体" w:cs="宋体"/>
                <w:sz w:val="24"/>
              </w:rPr>
              <w:t>～</w:t>
            </w:r>
            <w:r>
              <w:rPr>
                <w:rFonts w:hint="eastAsia" w:ascii="宋体" w:hAnsi="宋体" w:eastAsia="宋体" w:cs="宋体"/>
                <w:bCs/>
                <w:sz w:val="24"/>
              </w:rPr>
              <w:t>12Bar</w:t>
            </w:r>
          </w:p>
        </w:tc>
        <w:tc>
          <w:tcPr>
            <w:tcW w:w="716" w:type="pct"/>
            <w:shd w:val="clear" w:color="auto" w:fill="auto"/>
            <w:vAlign w:val="center"/>
          </w:tcPr>
          <w:p w14:paraId="7E59C8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7</w:t>
            </w:r>
            <w:r>
              <w:rPr>
                <w:rFonts w:hint="eastAsia" w:ascii="宋体" w:hAnsi="宋体" w:eastAsia="宋体" w:cs="宋体"/>
                <w:sz w:val="24"/>
              </w:rPr>
              <w:t>～</w:t>
            </w:r>
            <w:r>
              <w:rPr>
                <w:rFonts w:hint="eastAsia" w:ascii="宋体" w:hAnsi="宋体" w:eastAsia="宋体" w:cs="宋体"/>
                <w:bCs/>
                <w:sz w:val="24"/>
              </w:rPr>
              <w:t>12Bar</w:t>
            </w:r>
          </w:p>
        </w:tc>
      </w:tr>
      <w:tr w14:paraId="375DC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5" w:hRule="atLeast"/>
          <w:jc w:val="center"/>
        </w:trPr>
        <w:tc>
          <w:tcPr>
            <w:tcW w:w="352" w:type="pct"/>
            <w:vMerge w:val="continue"/>
            <w:shd w:val="clear" w:color="auto" w:fill="auto"/>
            <w:vAlign w:val="center"/>
          </w:tcPr>
          <w:p w14:paraId="4ED4C5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p>
        </w:tc>
        <w:tc>
          <w:tcPr>
            <w:tcW w:w="760" w:type="pct"/>
            <w:shd w:val="clear" w:color="auto" w:fill="auto"/>
            <w:vAlign w:val="center"/>
          </w:tcPr>
          <w:p w14:paraId="0762F88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流量cc/min</w:t>
            </w:r>
          </w:p>
        </w:tc>
        <w:tc>
          <w:tcPr>
            <w:tcW w:w="3886" w:type="pct"/>
            <w:gridSpan w:val="6"/>
            <w:shd w:val="clear" w:color="auto" w:fill="auto"/>
            <w:vAlign w:val="center"/>
          </w:tcPr>
          <w:p w14:paraId="250EED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以实际设计为准</w:t>
            </w:r>
          </w:p>
        </w:tc>
      </w:tr>
    </w:tbl>
    <w:p w14:paraId="3BD30FD0">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b/>
        </w:rPr>
        <w:t>注：</w:t>
      </w:r>
      <w:r>
        <w:rPr>
          <w:rFonts w:hint="eastAsia" w:ascii="宋体" w:hAnsi="宋体" w:cs="宋体"/>
          <w:b/>
          <w:lang w:eastAsia="zh-CN"/>
        </w:rPr>
        <w:t>投标人</w:t>
      </w:r>
      <w:r>
        <w:rPr>
          <w:rFonts w:hint="eastAsia" w:ascii="宋体" w:hAnsi="宋体" w:eastAsia="宋体" w:cs="宋体"/>
          <w:b/>
        </w:rPr>
        <w:t>设备系统应能满足以上参数的工艺要求。</w:t>
      </w:r>
    </w:p>
    <w:p w14:paraId="12E114DE">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系统配置及功能参数</w:t>
      </w:r>
    </w:p>
    <w:p w14:paraId="7B1B177B">
      <w:pPr>
        <w:pStyle w:val="5"/>
        <w:pageBreakBefore w:val="0"/>
        <w:numPr>
          <w:ilvl w:val="0"/>
          <w:numId w:val="12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大线循环系统</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2"/>
        <w:gridCol w:w="1231"/>
        <w:gridCol w:w="1148"/>
        <w:gridCol w:w="1146"/>
        <w:gridCol w:w="1065"/>
        <w:gridCol w:w="1231"/>
        <w:gridCol w:w="1295"/>
        <w:gridCol w:w="1186"/>
      </w:tblGrid>
      <w:tr w14:paraId="244F2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371B73D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油漆</w:t>
            </w:r>
          </w:p>
        </w:tc>
        <w:tc>
          <w:tcPr>
            <w:tcW w:w="637" w:type="pct"/>
            <w:vAlign w:val="center"/>
          </w:tcPr>
          <w:p w14:paraId="1ABAB90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B1</w:t>
            </w:r>
          </w:p>
        </w:tc>
        <w:tc>
          <w:tcPr>
            <w:tcW w:w="594" w:type="pct"/>
            <w:vAlign w:val="center"/>
          </w:tcPr>
          <w:p w14:paraId="5BAB8E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B2</w:t>
            </w:r>
          </w:p>
        </w:tc>
        <w:tc>
          <w:tcPr>
            <w:tcW w:w="593" w:type="pct"/>
            <w:vAlign w:val="center"/>
          </w:tcPr>
          <w:p w14:paraId="66D89E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B2</w:t>
            </w:r>
          </w:p>
          <w:p w14:paraId="0E44976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小系统</w:t>
            </w:r>
          </w:p>
        </w:tc>
        <w:tc>
          <w:tcPr>
            <w:tcW w:w="551" w:type="pct"/>
            <w:vAlign w:val="center"/>
          </w:tcPr>
          <w:p w14:paraId="294E2B6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清漆</w:t>
            </w:r>
          </w:p>
        </w:tc>
        <w:tc>
          <w:tcPr>
            <w:tcW w:w="637" w:type="pct"/>
            <w:vAlign w:val="center"/>
          </w:tcPr>
          <w:p w14:paraId="7177293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固化剂</w:t>
            </w:r>
          </w:p>
        </w:tc>
        <w:tc>
          <w:tcPr>
            <w:tcW w:w="670" w:type="pct"/>
            <w:vAlign w:val="center"/>
          </w:tcPr>
          <w:p w14:paraId="5636EF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油性</w:t>
            </w:r>
            <w:r>
              <w:rPr>
                <w:rFonts w:hint="eastAsia" w:ascii="宋体" w:hAnsi="宋体" w:eastAsia="宋体" w:cs="宋体"/>
                <w:sz w:val="24"/>
                <w:szCs w:val="24"/>
              </w:rPr>
              <w:t>溶剂</w:t>
            </w:r>
          </w:p>
        </w:tc>
        <w:tc>
          <w:tcPr>
            <w:tcW w:w="614" w:type="pct"/>
            <w:vAlign w:val="center"/>
          </w:tcPr>
          <w:p w14:paraId="4B67E8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水性溶剂</w:t>
            </w:r>
          </w:p>
        </w:tc>
      </w:tr>
      <w:tr w14:paraId="6AD33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5C9E268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数量</w:t>
            </w:r>
          </w:p>
        </w:tc>
        <w:tc>
          <w:tcPr>
            <w:tcW w:w="637" w:type="pct"/>
            <w:vAlign w:val="center"/>
          </w:tcPr>
          <w:p w14:paraId="2AAFD5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594" w:type="pct"/>
            <w:vAlign w:val="center"/>
          </w:tcPr>
          <w:p w14:paraId="0A9912D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593" w:type="pct"/>
            <w:vAlign w:val="center"/>
          </w:tcPr>
          <w:p w14:paraId="469C923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551" w:type="pct"/>
            <w:vAlign w:val="center"/>
          </w:tcPr>
          <w:p w14:paraId="7C3DD26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637" w:type="pct"/>
            <w:vAlign w:val="center"/>
          </w:tcPr>
          <w:p w14:paraId="2D96AF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670" w:type="pct"/>
            <w:vAlign w:val="center"/>
          </w:tcPr>
          <w:p w14:paraId="2C33463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614" w:type="pct"/>
            <w:vAlign w:val="center"/>
          </w:tcPr>
          <w:p w14:paraId="56E2A3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r>
      <w:tr w14:paraId="2CD6D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054642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循环方式</w:t>
            </w:r>
          </w:p>
        </w:tc>
        <w:tc>
          <w:tcPr>
            <w:tcW w:w="637" w:type="pct"/>
            <w:vAlign w:val="center"/>
          </w:tcPr>
          <w:p w14:paraId="482750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两线</w:t>
            </w:r>
          </w:p>
        </w:tc>
        <w:tc>
          <w:tcPr>
            <w:tcW w:w="594" w:type="pct"/>
            <w:vAlign w:val="center"/>
          </w:tcPr>
          <w:p w14:paraId="282DDC1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两线</w:t>
            </w:r>
          </w:p>
        </w:tc>
        <w:tc>
          <w:tcPr>
            <w:tcW w:w="593" w:type="pct"/>
            <w:vAlign w:val="center"/>
          </w:tcPr>
          <w:p w14:paraId="15AFC10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两线</w:t>
            </w:r>
          </w:p>
        </w:tc>
        <w:tc>
          <w:tcPr>
            <w:tcW w:w="551" w:type="pct"/>
            <w:vAlign w:val="center"/>
          </w:tcPr>
          <w:p w14:paraId="60BCCA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两线</w:t>
            </w:r>
          </w:p>
        </w:tc>
        <w:tc>
          <w:tcPr>
            <w:tcW w:w="637" w:type="pct"/>
            <w:vAlign w:val="center"/>
          </w:tcPr>
          <w:p w14:paraId="5372F38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主管循环</w:t>
            </w:r>
          </w:p>
        </w:tc>
        <w:tc>
          <w:tcPr>
            <w:tcW w:w="670" w:type="pct"/>
            <w:vAlign w:val="center"/>
          </w:tcPr>
          <w:p w14:paraId="307D600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主管循环</w:t>
            </w:r>
          </w:p>
        </w:tc>
        <w:tc>
          <w:tcPr>
            <w:tcW w:w="614" w:type="pct"/>
            <w:vAlign w:val="center"/>
          </w:tcPr>
          <w:p w14:paraId="70D5D54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主管循环</w:t>
            </w:r>
          </w:p>
        </w:tc>
      </w:tr>
      <w:tr w14:paraId="5399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12DB646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温度控制范围</w:t>
            </w:r>
          </w:p>
        </w:tc>
        <w:tc>
          <w:tcPr>
            <w:tcW w:w="637" w:type="pct"/>
            <w:vAlign w:val="center"/>
          </w:tcPr>
          <w:p w14:paraId="40FAEE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23-25℃</w:t>
            </w:r>
          </w:p>
        </w:tc>
        <w:tc>
          <w:tcPr>
            <w:tcW w:w="594" w:type="pct"/>
            <w:vAlign w:val="center"/>
          </w:tcPr>
          <w:p w14:paraId="0C390FE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23-25℃</w:t>
            </w:r>
          </w:p>
        </w:tc>
        <w:tc>
          <w:tcPr>
            <w:tcW w:w="593" w:type="pct"/>
            <w:vAlign w:val="center"/>
          </w:tcPr>
          <w:p w14:paraId="2019AE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551" w:type="pct"/>
            <w:vAlign w:val="center"/>
          </w:tcPr>
          <w:p w14:paraId="5B28A0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23-25℃</w:t>
            </w:r>
          </w:p>
        </w:tc>
        <w:tc>
          <w:tcPr>
            <w:tcW w:w="637" w:type="pct"/>
            <w:vAlign w:val="center"/>
          </w:tcPr>
          <w:p w14:paraId="504147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23-25℃</w:t>
            </w:r>
          </w:p>
        </w:tc>
        <w:tc>
          <w:tcPr>
            <w:tcW w:w="670" w:type="pct"/>
            <w:vAlign w:val="center"/>
          </w:tcPr>
          <w:p w14:paraId="73DCC70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6366BC0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35-45℃</w:t>
            </w:r>
          </w:p>
        </w:tc>
      </w:tr>
      <w:tr w14:paraId="55EAB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0" w:type="pct"/>
            <w:vAlign w:val="center"/>
          </w:tcPr>
          <w:p w14:paraId="63FA99F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循环泵</w:t>
            </w:r>
          </w:p>
        </w:tc>
        <w:tc>
          <w:tcPr>
            <w:tcW w:w="637" w:type="pct"/>
            <w:vAlign w:val="center"/>
          </w:tcPr>
          <w:p w14:paraId="659B02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电动泵</w:t>
            </w:r>
          </w:p>
        </w:tc>
        <w:tc>
          <w:tcPr>
            <w:tcW w:w="594" w:type="pct"/>
            <w:vAlign w:val="center"/>
          </w:tcPr>
          <w:p w14:paraId="5411642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电动泵</w:t>
            </w:r>
          </w:p>
        </w:tc>
        <w:tc>
          <w:tcPr>
            <w:tcW w:w="593" w:type="pct"/>
            <w:vAlign w:val="center"/>
          </w:tcPr>
          <w:p w14:paraId="1866BF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气动</w:t>
            </w:r>
            <w:r>
              <w:rPr>
                <w:rFonts w:hint="eastAsia" w:ascii="宋体" w:hAnsi="宋体" w:eastAsia="宋体" w:cs="宋体"/>
                <w:color w:val="auto"/>
                <w:sz w:val="24"/>
                <w:szCs w:val="24"/>
                <w:highlight w:val="none"/>
              </w:rPr>
              <w:t>柱塞泵</w:t>
            </w:r>
          </w:p>
        </w:tc>
        <w:tc>
          <w:tcPr>
            <w:tcW w:w="551" w:type="pct"/>
            <w:vAlign w:val="center"/>
          </w:tcPr>
          <w:p w14:paraId="0BFD4D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电动泵</w:t>
            </w:r>
          </w:p>
        </w:tc>
        <w:tc>
          <w:tcPr>
            <w:tcW w:w="637" w:type="pct"/>
            <w:vAlign w:val="center"/>
          </w:tcPr>
          <w:p w14:paraId="1D343E1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电动泵</w:t>
            </w:r>
          </w:p>
        </w:tc>
        <w:tc>
          <w:tcPr>
            <w:tcW w:w="670" w:type="pct"/>
            <w:vAlign w:val="center"/>
          </w:tcPr>
          <w:p w14:paraId="67FE036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电动泵</w:t>
            </w:r>
          </w:p>
        </w:tc>
        <w:tc>
          <w:tcPr>
            <w:tcW w:w="614" w:type="pct"/>
            <w:vAlign w:val="center"/>
          </w:tcPr>
          <w:p w14:paraId="0215DFFE">
            <w:pPr>
              <w:pStyle w:val="1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FF0000"/>
                <w:sz w:val="24"/>
                <w:szCs w:val="24"/>
                <w:highlight w:val="yellow"/>
              </w:rPr>
            </w:pPr>
            <w:r>
              <w:rPr>
                <w:rFonts w:hint="eastAsia" w:ascii="宋体" w:hAnsi="宋体" w:eastAsia="宋体" w:cs="宋体"/>
                <w:sz w:val="24"/>
                <w:szCs w:val="24"/>
                <w:lang w:val="en-US" w:eastAsia="zh-CN"/>
              </w:rPr>
              <w:t>电动</w:t>
            </w:r>
            <w:r>
              <w:rPr>
                <w:rFonts w:hint="eastAsia" w:ascii="宋体" w:hAnsi="宋体" w:eastAsia="宋体" w:cs="宋体"/>
                <w:sz w:val="24"/>
                <w:szCs w:val="24"/>
              </w:rPr>
              <w:t>泵</w:t>
            </w:r>
          </w:p>
        </w:tc>
      </w:tr>
      <w:tr w14:paraId="6E91C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5BA4D1D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模组出口过滤器</w:t>
            </w:r>
          </w:p>
        </w:tc>
        <w:tc>
          <w:tcPr>
            <w:tcW w:w="637" w:type="pct"/>
            <w:vAlign w:val="center"/>
          </w:tcPr>
          <w:p w14:paraId="027C35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袋式不锈钢双过滤</w:t>
            </w:r>
          </w:p>
        </w:tc>
        <w:tc>
          <w:tcPr>
            <w:tcW w:w="594" w:type="pct"/>
            <w:vAlign w:val="center"/>
          </w:tcPr>
          <w:p w14:paraId="314B5B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袋式不锈钢双过滤</w:t>
            </w:r>
          </w:p>
        </w:tc>
        <w:tc>
          <w:tcPr>
            <w:tcW w:w="593" w:type="pct"/>
            <w:vAlign w:val="center"/>
          </w:tcPr>
          <w:p w14:paraId="0930C59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w:t>
            </w:r>
          </w:p>
        </w:tc>
        <w:tc>
          <w:tcPr>
            <w:tcW w:w="551" w:type="pct"/>
            <w:vAlign w:val="center"/>
          </w:tcPr>
          <w:p w14:paraId="09FFAAB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袋式不锈钢双过滤</w:t>
            </w:r>
          </w:p>
        </w:tc>
        <w:tc>
          <w:tcPr>
            <w:tcW w:w="637" w:type="pct"/>
            <w:vAlign w:val="center"/>
          </w:tcPr>
          <w:p w14:paraId="7D8A8D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袋式不锈钢双过滤</w:t>
            </w:r>
          </w:p>
        </w:tc>
        <w:tc>
          <w:tcPr>
            <w:tcW w:w="670" w:type="pct"/>
            <w:vAlign w:val="center"/>
          </w:tcPr>
          <w:p w14:paraId="294ED6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w:t>
            </w:r>
          </w:p>
        </w:tc>
        <w:tc>
          <w:tcPr>
            <w:tcW w:w="614" w:type="pct"/>
            <w:vAlign w:val="center"/>
          </w:tcPr>
          <w:p w14:paraId="6847FA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袋式不锈钢</w:t>
            </w:r>
          </w:p>
        </w:tc>
      </w:tr>
      <w:tr w14:paraId="33DB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22F0EAA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回流/转料过滤器</w:t>
            </w:r>
          </w:p>
        </w:tc>
        <w:tc>
          <w:tcPr>
            <w:tcW w:w="637" w:type="pct"/>
            <w:vAlign w:val="center"/>
          </w:tcPr>
          <w:p w14:paraId="523173E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5AF59F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不锈钢</w:t>
            </w:r>
          </w:p>
        </w:tc>
        <w:tc>
          <w:tcPr>
            <w:tcW w:w="594" w:type="pct"/>
            <w:vAlign w:val="center"/>
          </w:tcPr>
          <w:p w14:paraId="7E309B4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4929C77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不锈钢</w:t>
            </w:r>
          </w:p>
        </w:tc>
        <w:tc>
          <w:tcPr>
            <w:tcW w:w="593" w:type="pct"/>
            <w:vAlign w:val="center"/>
          </w:tcPr>
          <w:p w14:paraId="7DFE380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2D4F82C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不锈钢</w:t>
            </w:r>
          </w:p>
        </w:tc>
        <w:tc>
          <w:tcPr>
            <w:tcW w:w="551" w:type="pct"/>
            <w:vAlign w:val="center"/>
          </w:tcPr>
          <w:p w14:paraId="5EF8CD6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0CD6F9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不锈钢</w:t>
            </w:r>
          </w:p>
        </w:tc>
        <w:tc>
          <w:tcPr>
            <w:tcW w:w="637" w:type="pct"/>
            <w:vAlign w:val="center"/>
          </w:tcPr>
          <w:p w14:paraId="72C9528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4106630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rPr>
              <w:t>不锈钢</w:t>
            </w:r>
          </w:p>
        </w:tc>
        <w:tc>
          <w:tcPr>
            <w:tcW w:w="670" w:type="pct"/>
            <w:vAlign w:val="center"/>
          </w:tcPr>
          <w:p w14:paraId="145F7C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1C9DEC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rPr>
              <w:t>不锈钢</w:t>
            </w:r>
          </w:p>
        </w:tc>
        <w:tc>
          <w:tcPr>
            <w:tcW w:w="614" w:type="pct"/>
            <w:vAlign w:val="center"/>
          </w:tcPr>
          <w:p w14:paraId="4AEC9E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袋式</w:t>
            </w:r>
          </w:p>
          <w:p w14:paraId="3AC0E1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highlight w:val="none"/>
              </w:rPr>
              <w:t>不锈钢</w:t>
            </w:r>
          </w:p>
        </w:tc>
      </w:tr>
      <w:tr w14:paraId="6344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391343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背压调节阀</w:t>
            </w:r>
          </w:p>
        </w:tc>
        <w:tc>
          <w:tcPr>
            <w:tcW w:w="637" w:type="pct"/>
            <w:vAlign w:val="center"/>
          </w:tcPr>
          <w:p w14:paraId="7E1269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气动</w:t>
            </w:r>
          </w:p>
        </w:tc>
        <w:tc>
          <w:tcPr>
            <w:tcW w:w="594" w:type="pct"/>
            <w:vAlign w:val="center"/>
          </w:tcPr>
          <w:p w14:paraId="2C0DCD1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气动</w:t>
            </w:r>
          </w:p>
        </w:tc>
        <w:tc>
          <w:tcPr>
            <w:tcW w:w="593" w:type="pct"/>
            <w:vAlign w:val="center"/>
          </w:tcPr>
          <w:p w14:paraId="7195E3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机械式</w:t>
            </w:r>
          </w:p>
        </w:tc>
        <w:tc>
          <w:tcPr>
            <w:tcW w:w="551" w:type="pct"/>
            <w:vAlign w:val="center"/>
          </w:tcPr>
          <w:p w14:paraId="4F99C9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气动</w:t>
            </w:r>
          </w:p>
        </w:tc>
        <w:tc>
          <w:tcPr>
            <w:tcW w:w="637" w:type="pct"/>
            <w:vAlign w:val="center"/>
          </w:tcPr>
          <w:p w14:paraId="0E528D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气动</w:t>
            </w:r>
          </w:p>
        </w:tc>
        <w:tc>
          <w:tcPr>
            <w:tcW w:w="670" w:type="pct"/>
            <w:vAlign w:val="center"/>
          </w:tcPr>
          <w:p w14:paraId="0CEF30B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气动</w:t>
            </w:r>
          </w:p>
        </w:tc>
        <w:tc>
          <w:tcPr>
            <w:tcW w:w="614" w:type="pct"/>
            <w:vAlign w:val="center"/>
          </w:tcPr>
          <w:p w14:paraId="294E70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气动</w:t>
            </w:r>
          </w:p>
        </w:tc>
      </w:tr>
      <w:tr w14:paraId="19102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700" w:type="pct"/>
            <w:vAlign w:val="center"/>
          </w:tcPr>
          <w:p w14:paraId="3926178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上料泵</w:t>
            </w:r>
          </w:p>
        </w:tc>
        <w:tc>
          <w:tcPr>
            <w:tcW w:w="637" w:type="pct"/>
            <w:vAlign w:val="center"/>
          </w:tcPr>
          <w:p w14:paraId="6F8BA56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隔膜泵</w:t>
            </w:r>
          </w:p>
        </w:tc>
        <w:tc>
          <w:tcPr>
            <w:tcW w:w="594" w:type="pct"/>
            <w:vAlign w:val="center"/>
          </w:tcPr>
          <w:p w14:paraId="4D6A79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隔膜泵</w:t>
            </w:r>
          </w:p>
        </w:tc>
        <w:tc>
          <w:tcPr>
            <w:tcW w:w="593" w:type="pct"/>
            <w:vAlign w:val="center"/>
          </w:tcPr>
          <w:p w14:paraId="23DE66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隔膜泵</w:t>
            </w:r>
          </w:p>
        </w:tc>
        <w:tc>
          <w:tcPr>
            <w:tcW w:w="551" w:type="pct"/>
            <w:vAlign w:val="center"/>
          </w:tcPr>
          <w:p w14:paraId="4E985E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隔膜泵</w:t>
            </w:r>
          </w:p>
        </w:tc>
        <w:tc>
          <w:tcPr>
            <w:tcW w:w="637" w:type="pct"/>
            <w:vAlign w:val="center"/>
          </w:tcPr>
          <w:p w14:paraId="2A23DA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氮气顶入</w:t>
            </w:r>
          </w:p>
        </w:tc>
        <w:tc>
          <w:tcPr>
            <w:tcW w:w="670" w:type="pct"/>
            <w:vAlign w:val="center"/>
          </w:tcPr>
          <w:p w14:paraId="2A2370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隔膜泵</w:t>
            </w:r>
          </w:p>
        </w:tc>
        <w:tc>
          <w:tcPr>
            <w:tcW w:w="614" w:type="pct"/>
            <w:vAlign w:val="center"/>
          </w:tcPr>
          <w:p w14:paraId="590117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隔膜泵</w:t>
            </w:r>
          </w:p>
        </w:tc>
      </w:tr>
      <w:tr w14:paraId="406A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6F61BAC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调漆桶</w:t>
            </w:r>
          </w:p>
        </w:tc>
        <w:tc>
          <w:tcPr>
            <w:tcW w:w="637" w:type="pct"/>
            <w:vAlign w:val="center"/>
          </w:tcPr>
          <w:p w14:paraId="0FF2DD3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200L</w:t>
            </w:r>
          </w:p>
        </w:tc>
        <w:tc>
          <w:tcPr>
            <w:tcW w:w="594" w:type="pct"/>
            <w:vAlign w:val="center"/>
          </w:tcPr>
          <w:p w14:paraId="7FF27BC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200L</w:t>
            </w:r>
          </w:p>
        </w:tc>
        <w:tc>
          <w:tcPr>
            <w:tcW w:w="593" w:type="pct"/>
            <w:vAlign w:val="center"/>
          </w:tcPr>
          <w:p w14:paraId="662654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551" w:type="pct"/>
            <w:vAlign w:val="center"/>
          </w:tcPr>
          <w:p w14:paraId="2D4ACE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200L</w:t>
            </w:r>
          </w:p>
        </w:tc>
        <w:tc>
          <w:tcPr>
            <w:tcW w:w="637" w:type="pct"/>
            <w:vAlign w:val="center"/>
          </w:tcPr>
          <w:p w14:paraId="1D5EFF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70" w:type="pct"/>
            <w:vAlign w:val="center"/>
          </w:tcPr>
          <w:p w14:paraId="6EDC4F8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03B1AA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r>
      <w:tr w14:paraId="7A429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00" w:type="pct"/>
            <w:vAlign w:val="center"/>
          </w:tcPr>
          <w:p w14:paraId="38B037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调漆桶液位计</w:t>
            </w:r>
          </w:p>
        </w:tc>
        <w:tc>
          <w:tcPr>
            <w:tcW w:w="637" w:type="pct"/>
            <w:vAlign w:val="center"/>
          </w:tcPr>
          <w:p w14:paraId="18F93EC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594" w:type="pct"/>
            <w:vAlign w:val="center"/>
          </w:tcPr>
          <w:p w14:paraId="4EC524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593" w:type="pct"/>
            <w:vAlign w:val="center"/>
          </w:tcPr>
          <w:p w14:paraId="4004E7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551" w:type="pct"/>
            <w:vAlign w:val="center"/>
          </w:tcPr>
          <w:p w14:paraId="003D97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637" w:type="pct"/>
            <w:vAlign w:val="center"/>
          </w:tcPr>
          <w:p w14:paraId="54FE2CC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70" w:type="pct"/>
            <w:vAlign w:val="center"/>
          </w:tcPr>
          <w:p w14:paraId="739B6B5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64F95F6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r>
      <w:tr w14:paraId="7A396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00" w:type="pct"/>
            <w:vAlign w:val="center"/>
          </w:tcPr>
          <w:p w14:paraId="0A7F46E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调漆桶搅拌器</w:t>
            </w:r>
          </w:p>
        </w:tc>
        <w:tc>
          <w:tcPr>
            <w:tcW w:w="637" w:type="pct"/>
            <w:vAlign w:val="center"/>
          </w:tcPr>
          <w:p w14:paraId="1AD54E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c>
          <w:tcPr>
            <w:tcW w:w="594" w:type="pct"/>
            <w:vAlign w:val="center"/>
          </w:tcPr>
          <w:p w14:paraId="5D7709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c>
          <w:tcPr>
            <w:tcW w:w="593" w:type="pct"/>
            <w:vAlign w:val="center"/>
          </w:tcPr>
          <w:p w14:paraId="38BCD0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551" w:type="pct"/>
            <w:vAlign w:val="center"/>
          </w:tcPr>
          <w:p w14:paraId="7582DAF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c>
          <w:tcPr>
            <w:tcW w:w="637" w:type="pct"/>
            <w:vAlign w:val="center"/>
          </w:tcPr>
          <w:p w14:paraId="2D1FCC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70" w:type="pct"/>
            <w:vAlign w:val="center"/>
          </w:tcPr>
          <w:p w14:paraId="4EC8DC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255BBDF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r>
      <w:tr w14:paraId="33D52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101B58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循环桶</w:t>
            </w:r>
          </w:p>
        </w:tc>
        <w:tc>
          <w:tcPr>
            <w:tcW w:w="637" w:type="pct"/>
            <w:vAlign w:val="center"/>
          </w:tcPr>
          <w:p w14:paraId="7B18B1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200L</w:t>
            </w:r>
          </w:p>
        </w:tc>
        <w:tc>
          <w:tcPr>
            <w:tcW w:w="594" w:type="pct"/>
            <w:vAlign w:val="center"/>
          </w:tcPr>
          <w:p w14:paraId="12C5D7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200L</w:t>
            </w:r>
          </w:p>
        </w:tc>
        <w:tc>
          <w:tcPr>
            <w:tcW w:w="593" w:type="pct"/>
            <w:vAlign w:val="center"/>
          </w:tcPr>
          <w:p w14:paraId="60E753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100L</w:t>
            </w:r>
          </w:p>
        </w:tc>
        <w:tc>
          <w:tcPr>
            <w:tcW w:w="551" w:type="pct"/>
            <w:vAlign w:val="center"/>
          </w:tcPr>
          <w:p w14:paraId="5872899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200L</w:t>
            </w:r>
          </w:p>
        </w:tc>
        <w:tc>
          <w:tcPr>
            <w:tcW w:w="637" w:type="pct"/>
            <w:vAlign w:val="center"/>
          </w:tcPr>
          <w:p w14:paraId="542754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150L</w:t>
            </w:r>
          </w:p>
        </w:tc>
        <w:tc>
          <w:tcPr>
            <w:tcW w:w="670" w:type="pct"/>
            <w:vAlign w:val="center"/>
          </w:tcPr>
          <w:p w14:paraId="68794D3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300L</w:t>
            </w:r>
          </w:p>
        </w:tc>
        <w:tc>
          <w:tcPr>
            <w:tcW w:w="614" w:type="pct"/>
            <w:vAlign w:val="center"/>
          </w:tcPr>
          <w:p w14:paraId="095EB8B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500L</w:t>
            </w:r>
          </w:p>
        </w:tc>
      </w:tr>
      <w:tr w14:paraId="76AF1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6E8000F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循环桶液位计</w:t>
            </w:r>
          </w:p>
        </w:tc>
        <w:tc>
          <w:tcPr>
            <w:tcW w:w="637" w:type="pct"/>
            <w:vAlign w:val="center"/>
          </w:tcPr>
          <w:p w14:paraId="2C7665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594" w:type="pct"/>
            <w:vAlign w:val="center"/>
          </w:tcPr>
          <w:p w14:paraId="74895C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593" w:type="pct"/>
            <w:vAlign w:val="center"/>
          </w:tcPr>
          <w:p w14:paraId="2DFBE9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气动浮球</w:t>
            </w:r>
          </w:p>
        </w:tc>
        <w:tc>
          <w:tcPr>
            <w:tcW w:w="551" w:type="pct"/>
            <w:vAlign w:val="center"/>
          </w:tcPr>
          <w:p w14:paraId="44C7613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637" w:type="pct"/>
            <w:vAlign w:val="center"/>
          </w:tcPr>
          <w:p w14:paraId="15E708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压差式</w:t>
            </w:r>
          </w:p>
        </w:tc>
        <w:tc>
          <w:tcPr>
            <w:tcW w:w="670" w:type="pct"/>
            <w:vAlign w:val="center"/>
          </w:tcPr>
          <w:p w14:paraId="584EB8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c>
          <w:tcPr>
            <w:tcW w:w="614" w:type="pct"/>
            <w:vAlign w:val="center"/>
          </w:tcPr>
          <w:p w14:paraId="5E5EC93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静压式</w:t>
            </w:r>
          </w:p>
        </w:tc>
      </w:tr>
      <w:tr w14:paraId="5586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6A3A78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循环桶</w:t>
            </w:r>
          </w:p>
          <w:p w14:paraId="73B1D9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搅拌器</w:t>
            </w:r>
          </w:p>
        </w:tc>
        <w:tc>
          <w:tcPr>
            <w:tcW w:w="637" w:type="pct"/>
            <w:vAlign w:val="center"/>
          </w:tcPr>
          <w:p w14:paraId="361BE73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c>
          <w:tcPr>
            <w:tcW w:w="594" w:type="pct"/>
            <w:vAlign w:val="center"/>
          </w:tcPr>
          <w:p w14:paraId="0E0AC9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c>
          <w:tcPr>
            <w:tcW w:w="593" w:type="pct"/>
            <w:vAlign w:val="center"/>
          </w:tcPr>
          <w:p w14:paraId="045D66D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气动</w:t>
            </w:r>
          </w:p>
          <w:p w14:paraId="72CEE28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搅拌器</w:t>
            </w:r>
          </w:p>
        </w:tc>
        <w:tc>
          <w:tcPr>
            <w:tcW w:w="551" w:type="pct"/>
            <w:vAlign w:val="center"/>
          </w:tcPr>
          <w:p w14:paraId="620716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c>
          <w:tcPr>
            <w:tcW w:w="637" w:type="pct"/>
            <w:vAlign w:val="center"/>
          </w:tcPr>
          <w:p w14:paraId="6161537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670" w:type="pct"/>
            <w:vAlign w:val="center"/>
          </w:tcPr>
          <w:p w14:paraId="57BB37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p>
        </w:tc>
        <w:tc>
          <w:tcPr>
            <w:tcW w:w="614" w:type="pct"/>
            <w:vAlign w:val="center"/>
          </w:tcPr>
          <w:p w14:paraId="288FEC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电动低剪切搅拌器</w:t>
            </w:r>
          </w:p>
        </w:tc>
      </w:tr>
      <w:tr w14:paraId="5E317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3E72DB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温度控制</w:t>
            </w:r>
          </w:p>
        </w:tc>
        <w:tc>
          <w:tcPr>
            <w:tcW w:w="637" w:type="pct"/>
            <w:vAlign w:val="center"/>
          </w:tcPr>
          <w:p w14:paraId="2DA9E5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管中管</w:t>
            </w:r>
          </w:p>
        </w:tc>
        <w:tc>
          <w:tcPr>
            <w:tcW w:w="594" w:type="pct"/>
            <w:vAlign w:val="center"/>
          </w:tcPr>
          <w:p w14:paraId="649F85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管中管</w:t>
            </w:r>
          </w:p>
        </w:tc>
        <w:tc>
          <w:tcPr>
            <w:tcW w:w="593" w:type="pct"/>
            <w:vAlign w:val="center"/>
          </w:tcPr>
          <w:p w14:paraId="47409A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551" w:type="pct"/>
            <w:vAlign w:val="center"/>
          </w:tcPr>
          <w:p w14:paraId="3EF90F4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管中管</w:t>
            </w:r>
          </w:p>
        </w:tc>
        <w:tc>
          <w:tcPr>
            <w:tcW w:w="637" w:type="pct"/>
            <w:vAlign w:val="center"/>
          </w:tcPr>
          <w:p w14:paraId="0FA19B8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管中管</w:t>
            </w:r>
          </w:p>
        </w:tc>
        <w:tc>
          <w:tcPr>
            <w:tcW w:w="670" w:type="pct"/>
            <w:vAlign w:val="center"/>
          </w:tcPr>
          <w:p w14:paraId="000AF3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6C4D46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管中管</w:t>
            </w:r>
          </w:p>
        </w:tc>
      </w:tr>
      <w:tr w14:paraId="59336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6B8615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控制阀</w:t>
            </w:r>
          </w:p>
        </w:tc>
        <w:tc>
          <w:tcPr>
            <w:tcW w:w="637" w:type="pct"/>
            <w:vAlign w:val="center"/>
          </w:tcPr>
          <w:p w14:paraId="0B67B3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六通阀</w:t>
            </w:r>
          </w:p>
        </w:tc>
        <w:tc>
          <w:tcPr>
            <w:tcW w:w="594" w:type="pct"/>
            <w:vAlign w:val="center"/>
          </w:tcPr>
          <w:p w14:paraId="6AA4FC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六通阀</w:t>
            </w:r>
          </w:p>
        </w:tc>
        <w:tc>
          <w:tcPr>
            <w:tcW w:w="593" w:type="pct"/>
            <w:vAlign w:val="center"/>
          </w:tcPr>
          <w:p w14:paraId="63F79A9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551" w:type="pct"/>
            <w:vAlign w:val="center"/>
          </w:tcPr>
          <w:p w14:paraId="16082C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六通阀</w:t>
            </w:r>
          </w:p>
        </w:tc>
        <w:tc>
          <w:tcPr>
            <w:tcW w:w="637" w:type="pct"/>
            <w:vAlign w:val="center"/>
          </w:tcPr>
          <w:p w14:paraId="035838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六通阀</w:t>
            </w:r>
          </w:p>
        </w:tc>
        <w:tc>
          <w:tcPr>
            <w:tcW w:w="670" w:type="pct"/>
            <w:vAlign w:val="center"/>
          </w:tcPr>
          <w:p w14:paraId="03E96F0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6BB9F4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六通阀</w:t>
            </w:r>
          </w:p>
        </w:tc>
      </w:tr>
      <w:tr w14:paraId="6FCC5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46F70A9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冷却水</w:t>
            </w:r>
          </w:p>
        </w:tc>
        <w:tc>
          <w:tcPr>
            <w:tcW w:w="637" w:type="pct"/>
            <w:vAlign w:val="center"/>
          </w:tcPr>
          <w:p w14:paraId="3A46FC5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12℃（IN）</w:t>
            </w:r>
          </w:p>
        </w:tc>
        <w:tc>
          <w:tcPr>
            <w:tcW w:w="594" w:type="pct"/>
            <w:vAlign w:val="center"/>
          </w:tcPr>
          <w:p w14:paraId="654A1C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12℃（IN）</w:t>
            </w:r>
          </w:p>
        </w:tc>
        <w:tc>
          <w:tcPr>
            <w:tcW w:w="593" w:type="pct"/>
            <w:vAlign w:val="center"/>
          </w:tcPr>
          <w:p w14:paraId="48C2BA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551" w:type="pct"/>
            <w:vAlign w:val="center"/>
          </w:tcPr>
          <w:p w14:paraId="4B50657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12℃（IN）</w:t>
            </w:r>
          </w:p>
        </w:tc>
        <w:tc>
          <w:tcPr>
            <w:tcW w:w="637" w:type="pct"/>
            <w:vAlign w:val="center"/>
          </w:tcPr>
          <w:p w14:paraId="25F03F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12℃（IN）</w:t>
            </w:r>
          </w:p>
        </w:tc>
        <w:tc>
          <w:tcPr>
            <w:tcW w:w="670" w:type="pct"/>
            <w:vAlign w:val="center"/>
          </w:tcPr>
          <w:p w14:paraId="592676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5BE180C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12℃（IN）</w:t>
            </w:r>
          </w:p>
        </w:tc>
      </w:tr>
      <w:tr w14:paraId="27A1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37CD25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热水</w:t>
            </w:r>
          </w:p>
        </w:tc>
        <w:tc>
          <w:tcPr>
            <w:tcW w:w="637" w:type="pct"/>
            <w:vAlign w:val="center"/>
          </w:tcPr>
          <w:p w14:paraId="726F3B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594" w:type="pct"/>
            <w:vAlign w:val="center"/>
          </w:tcPr>
          <w:p w14:paraId="3489301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593" w:type="pct"/>
            <w:vAlign w:val="center"/>
          </w:tcPr>
          <w:p w14:paraId="685DD3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551" w:type="pct"/>
            <w:vAlign w:val="center"/>
          </w:tcPr>
          <w:p w14:paraId="0B4222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637" w:type="pct"/>
            <w:vAlign w:val="center"/>
          </w:tcPr>
          <w:p w14:paraId="547BFE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670" w:type="pct"/>
            <w:vAlign w:val="center"/>
          </w:tcPr>
          <w:p w14:paraId="35D2182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14" w:type="pct"/>
            <w:vAlign w:val="center"/>
          </w:tcPr>
          <w:p w14:paraId="5346BDC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45℃</w:t>
            </w:r>
          </w:p>
        </w:tc>
      </w:tr>
      <w:tr w14:paraId="7E971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13F02B30">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火阻器</w:t>
            </w:r>
          </w:p>
        </w:tc>
        <w:tc>
          <w:tcPr>
            <w:tcW w:w="637" w:type="pct"/>
            <w:vAlign w:val="center"/>
          </w:tcPr>
          <w:p w14:paraId="342BC4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sz w:val="24"/>
                <w:szCs w:val="24"/>
              </w:rPr>
              <w:t>——</w:t>
            </w:r>
          </w:p>
        </w:tc>
        <w:tc>
          <w:tcPr>
            <w:tcW w:w="594" w:type="pct"/>
            <w:vAlign w:val="center"/>
          </w:tcPr>
          <w:p w14:paraId="6B29477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sz w:val="24"/>
                <w:szCs w:val="24"/>
              </w:rPr>
              <w:t>——</w:t>
            </w:r>
          </w:p>
        </w:tc>
        <w:tc>
          <w:tcPr>
            <w:tcW w:w="593" w:type="pct"/>
            <w:vAlign w:val="center"/>
          </w:tcPr>
          <w:p w14:paraId="58E27AF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sz w:val="24"/>
                <w:szCs w:val="24"/>
              </w:rPr>
              <w:t>——</w:t>
            </w:r>
          </w:p>
        </w:tc>
        <w:tc>
          <w:tcPr>
            <w:tcW w:w="551" w:type="pct"/>
            <w:vAlign w:val="center"/>
          </w:tcPr>
          <w:p w14:paraId="209270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有</w:t>
            </w:r>
          </w:p>
        </w:tc>
        <w:tc>
          <w:tcPr>
            <w:tcW w:w="637" w:type="pct"/>
            <w:vAlign w:val="center"/>
          </w:tcPr>
          <w:p w14:paraId="4A5A874A">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670" w:type="pct"/>
            <w:vAlign w:val="center"/>
          </w:tcPr>
          <w:p w14:paraId="61DC1053">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有</w:t>
            </w:r>
          </w:p>
        </w:tc>
        <w:tc>
          <w:tcPr>
            <w:tcW w:w="614" w:type="pct"/>
            <w:vAlign w:val="center"/>
          </w:tcPr>
          <w:p w14:paraId="437A82CE">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r>
      <w:tr w14:paraId="13248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5D2593ED">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管路材质</w:t>
            </w:r>
          </w:p>
        </w:tc>
        <w:tc>
          <w:tcPr>
            <w:tcW w:w="637" w:type="pct"/>
            <w:vAlign w:val="center"/>
          </w:tcPr>
          <w:p w14:paraId="205F3EA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94" w:type="pct"/>
            <w:vAlign w:val="center"/>
          </w:tcPr>
          <w:p w14:paraId="264EFAA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93" w:type="pct"/>
            <w:vAlign w:val="center"/>
          </w:tcPr>
          <w:p w14:paraId="09252D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51" w:type="pct"/>
            <w:vAlign w:val="center"/>
          </w:tcPr>
          <w:p w14:paraId="20DB251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637" w:type="pct"/>
            <w:vAlign w:val="center"/>
          </w:tcPr>
          <w:p w14:paraId="546FC80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c>
          <w:tcPr>
            <w:tcW w:w="670" w:type="pct"/>
            <w:vAlign w:val="center"/>
          </w:tcPr>
          <w:p w14:paraId="02C369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c>
          <w:tcPr>
            <w:tcW w:w="614" w:type="pct"/>
            <w:vAlign w:val="center"/>
          </w:tcPr>
          <w:p w14:paraId="53C4CFB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r>
      <w:tr w14:paraId="4D917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72AD19A3">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接头材质</w:t>
            </w:r>
          </w:p>
        </w:tc>
        <w:tc>
          <w:tcPr>
            <w:tcW w:w="637" w:type="pct"/>
            <w:vAlign w:val="center"/>
          </w:tcPr>
          <w:p w14:paraId="0D44F2D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94" w:type="pct"/>
            <w:vAlign w:val="center"/>
          </w:tcPr>
          <w:p w14:paraId="78B6A1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93" w:type="pct"/>
            <w:vAlign w:val="center"/>
          </w:tcPr>
          <w:p w14:paraId="14F2954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51" w:type="pct"/>
            <w:vAlign w:val="center"/>
          </w:tcPr>
          <w:p w14:paraId="212F81D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637" w:type="pct"/>
            <w:vAlign w:val="center"/>
          </w:tcPr>
          <w:p w14:paraId="38EE0A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c>
          <w:tcPr>
            <w:tcW w:w="670" w:type="pct"/>
            <w:vAlign w:val="center"/>
          </w:tcPr>
          <w:p w14:paraId="676F897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c>
          <w:tcPr>
            <w:tcW w:w="614" w:type="pct"/>
            <w:vAlign w:val="center"/>
          </w:tcPr>
          <w:p w14:paraId="6CAA462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r>
      <w:tr w14:paraId="188A3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12D912CF">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部件材质</w:t>
            </w:r>
          </w:p>
        </w:tc>
        <w:tc>
          <w:tcPr>
            <w:tcW w:w="637" w:type="pct"/>
            <w:vAlign w:val="center"/>
          </w:tcPr>
          <w:p w14:paraId="20DE39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94" w:type="pct"/>
            <w:vAlign w:val="center"/>
          </w:tcPr>
          <w:p w14:paraId="76F778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93" w:type="pct"/>
            <w:vAlign w:val="center"/>
          </w:tcPr>
          <w:p w14:paraId="49695FB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551" w:type="pct"/>
            <w:vAlign w:val="center"/>
          </w:tcPr>
          <w:p w14:paraId="5209A33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yellow"/>
              </w:rPr>
            </w:pPr>
            <w:r>
              <w:rPr>
                <w:rFonts w:hint="eastAsia" w:ascii="宋体" w:hAnsi="宋体" w:eastAsia="宋体" w:cs="宋体"/>
                <w:sz w:val="24"/>
                <w:szCs w:val="24"/>
              </w:rPr>
              <w:t>304L</w:t>
            </w:r>
          </w:p>
        </w:tc>
        <w:tc>
          <w:tcPr>
            <w:tcW w:w="637" w:type="pct"/>
            <w:vAlign w:val="center"/>
          </w:tcPr>
          <w:p w14:paraId="739DAB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c>
          <w:tcPr>
            <w:tcW w:w="670" w:type="pct"/>
            <w:vAlign w:val="center"/>
          </w:tcPr>
          <w:p w14:paraId="11308B3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c>
          <w:tcPr>
            <w:tcW w:w="614" w:type="pct"/>
            <w:vAlign w:val="center"/>
          </w:tcPr>
          <w:p w14:paraId="7B625DD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highlight w:val="yellow"/>
              </w:rPr>
            </w:pPr>
            <w:r>
              <w:rPr>
                <w:rFonts w:hint="eastAsia" w:ascii="宋体" w:hAnsi="宋体" w:eastAsia="宋体" w:cs="宋体"/>
                <w:sz w:val="24"/>
                <w:szCs w:val="24"/>
              </w:rPr>
              <w:t>304L</w:t>
            </w:r>
          </w:p>
        </w:tc>
      </w:tr>
      <w:tr w14:paraId="517A0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tcBorders>
              <w:top w:val="single" w:color="auto" w:sz="4" w:space="0"/>
              <w:left w:val="single" w:color="auto" w:sz="4" w:space="0"/>
              <w:bottom w:val="single" w:color="auto" w:sz="4" w:space="0"/>
              <w:right w:val="single" w:color="auto" w:sz="4" w:space="0"/>
            </w:tcBorders>
            <w:vAlign w:val="center"/>
          </w:tcPr>
          <w:p w14:paraId="01966F85">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软管</w:t>
            </w:r>
          </w:p>
        </w:tc>
        <w:tc>
          <w:tcPr>
            <w:tcW w:w="637" w:type="pct"/>
            <w:tcBorders>
              <w:top w:val="single" w:color="auto" w:sz="4" w:space="0"/>
              <w:left w:val="single" w:color="auto" w:sz="4" w:space="0"/>
              <w:bottom w:val="single" w:color="auto" w:sz="4" w:space="0"/>
              <w:right w:val="single" w:color="auto" w:sz="4" w:space="0"/>
            </w:tcBorders>
            <w:vAlign w:val="center"/>
          </w:tcPr>
          <w:p w14:paraId="046C096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94" w:type="pct"/>
            <w:tcBorders>
              <w:top w:val="single" w:color="auto" w:sz="4" w:space="0"/>
              <w:left w:val="single" w:color="auto" w:sz="4" w:space="0"/>
              <w:bottom w:val="single" w:color="auto" w:sz="4" w:space="0"/>
              <w:right w:val="single" w:color="auto" w:sz="4" w:space="0"/>
            </w:tcBorders>
            <w:vAlign w:val="center"/>
          </w:tcPr>
          <w:p w14:paraId="5B1AEFD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93" w:type="pct"/>
            <w:tcBorders>
              <w:top w:val="single" w:color="auto" w:sz="4" w:space="0"/>
              <w:left w:val="single" w:color="auto" w:sz="4" w:space="0"/>
              <w:bottom w:val="single" w:color="auto" w:sz="4" w:space="0"/>
              <w:right w:val="single" w:color="auto" w:sz="4" w:space="0"/>
            </w:tcBorders>
            <w:vAlign w:val="center"/>
          </w:tcPr>
          <w:p w14:paraId="3C9DDB4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51" w:type="pct"/>
            <w:tcBorders>
              <w:top w:val="single" w:color="auto" w:sz="4" w:space="0"/>
              <w:left w:val="single" w:color="auto" w:sz="4" w:space="0"/>
              <w:bottom w:val="single" w:color="auto" w:sz="4" w:space="0"/>
              <w:right w:val="single" w:color="auto" w:sz="4" w:space="0"/>
            </w:tcBorders>
            <w:vAlign w:val="center"/>
          </w:tcPr>
          <w:p w14:paraId="3BD7B8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637" w:type="pct"/>
            <w:tcBorders>
              <w:top w:val="single" w:color="auto" w:sz="4" w:space="0"/>
              <w:left w:val="single" w:color="auto" w:sz="4" w:space="0"/>
              <w:bottom w:val="single" w:color="auto" w:sz="4" w:space="0"/>
              <w:right w:val="single" w:color="auto" w:sz="4" w:space="0"/>
            </w:tcBorders>
            <w:vAlign w:val="center"/>
          </w:tcPr>
          <w:p w14:paraId="238B7D4A">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670" w:type="pct"/>
            <w:tcBorders>
              <w:top w:val="single" w:color="auto" w:sz="4" w:space="0"/>
              <w:left w:val="single" w:color="auto" w:sz="4" w:space="0"/>
              <w:bottom w:val="single" w:color="auto" w:sz="4" w:space="0"/>
              <w:right w:val="single" w:color="auto" w:sz="4" w:space="0"/>
            </w:tcBorders>
            <w:vAlign w:val="center"/>
          </w:tcPr>
          <w:p w14:paraId="15C39B0B">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614" w:type="pct"/>
            <w:tcBorders>
              <w:top w:val="single" w:color="auto" w:sz="4" w:space="0"/>
              <w:left w:val="single" w:color="auto" w:sz="4" w:space="0"/>
              <w:bottom w:val="single" w:color="auto" w:sz="4" w:space="0"/>
              <w:right w:val="single" w:color="auto" w:sz="4" w:space="0"/>
            </w:tcBorders>
            <w:vAlign w:val="center"/>
          </w:tcPr>
          <w:p w14:paraId="04A2E853">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r>
      <w:tr w14:paraId="7A2E1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0" w:type="pct"/>
            <w:vAlign w:val="center"/>
          </w:tcPr>
          <w:p w14:paraId="0C5DE4DF">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bookmarkStart w:id="130" w:name="_Hlk51319811"/>
            <w:r>
              <w:rPr>
                <w:rFonts w:hint="eastAsia" w:ascii="宋体" w:hAnsi="宋体" w:eastAsia="宋体" w:cs="宋体"/>
                <w:sz w:val="24"/>
                <w:szCs w:val="24"/>
              </w:rPr>
              <w:t>枪下调压器及快插</w:t>
            </w:r>
          </w:p>
        </w:tc>
        <w:tc>
          <w:tcPr>
            <w:tcW w:w="637" w:type="pct"/>
            <w:vAlign w:val="center"/>
          </w:tcPr>
          <w:p w14:paraId="468FEFE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94" w:type="pct"/>
            <w:vAlign w:val="center"/>
          </w:tcPr>
          <w:p w14:paraId="27E9D6A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93" w:type="pct"/>
            <w:vAlign w:val="center"/>
          </w:tcPr>
          <w:p w14:paraId="4A4E539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51" w:type="pct"/>
            <w:vAlign w:val="center"/>
          </w:tcPr>
          <w:p w14:paraId="3820013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637" w:type="pct"/>
            <w:vAlign w:val="center"/>
          </w:tcPr>
          <w:p w14:paraId="1637634A">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670" w:type="pct"/>
            <w:vAlign w:val="center"/>
          </w:tcPr>
          <w:p w14:paraId="0FFEF133">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614" w:type="pct"/>
            <w:vAlign w:val="center"/>
          </w:tcPr>
          <w:p w14:paraId="16679EFD">
            <w:pPr>
              <w:pStyle w:val="52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r>
      <w:bookmarkEnd w:id="130"/>
    </w:tbl>
    <w:p w14:paraId="3C62AA36">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p>
    <w:p w14:paraId="2CA5DC04">
      <w:pPr>
        <w:pStyle w:val="5"/>
        <w:pageBreakBefore w:val="0"/>
        <w:numPr>
          <w:ilvl w:val="0"/>
          <w:numId w:val="12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线边小循环系统（利旧）</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868"/>
        <w:gridCol w:w="4786"/>
      </w:tblGrid>
      <w:tr w14:paraId="17B1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1" w:hRule="atLeast"/>
          <w:tblHeader/>
        </w:trPr>
        <w:tc>
          <w:tcPr>
            <w:tcW w:w="500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E8AFC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shd w:val="clear" w:color="auto" w:fill="D7D7D7"/>
              </w:rPr>
              <w:t>B2色漆线边小循环系统</w:t>
            </w:r>
          </w:p>
        </w:tc>
      </w:tr>
      <w:tr w14:paraId="362D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1"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780D64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数量</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07C47A8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r>
      <w:tr w14:paraId="66C6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502402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放置位置</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1BD4F1C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cs="宋体"/>
                <w:sz w:val="24"/>
                <w:lang w:eastAsia="zh-CN"/>
              </w:rPr>
              <w:t>招标人</w:t>
            </w:r>
            <w:r>
              <w:rPr>
                <w:rFonts w:hint="eastAsia" w:ascii="宋体" w:hAnsi="宋体" w:eastAsia="宋体" w:cs="宋体"/>
                <w:sz w:val="24"/>
              </w:rPr>
              <w:t>指定</w:t>
            </w:r>
          </w:p>
        </w:tc>
      </w:tr>
      <w:tr w14:paraId="31295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141F1DD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安装方式</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30347A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柜内集成</w:t>
            </w:r>
          </w:p>
        </w:tc>
      </w:tr>
      <w:tr w14:paraId="5FFD5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676FFD8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循环方式</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508F73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两线循环</w:t>
            </w:r>
          </w:p>
        </w:tc>
      </w:tr>
      <w:tr w14:paraId="2BE67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3D554A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循环柱塞泵</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354313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气动柱塞泵</w:t>
            </w:r>
            <w:r>
              <w:rPr>
                <w:rFonts w:hint="eastAsia" w:ascii="宋体" w:hAnsi="宋体" w:cs="宋体"/>
                <w:sz w:val="24"/>
                <w:lang w:eastAsia="zh-CN"/>
              </w:rPr>
              <w:t>（</w:t>
            </w:r>
            <w:r>
              <w:rPr>
                <w:rFonts w:hint="eastAsia" w:ascii="宋体" w:hAnsi="宋体" w:cs="宋体"/>
                <w:sz w:val="24"/>
                <w:lang w:val="en-US" w:eastAsia="zh-CN"/>
              </w:rPr>
              <w:t>利旧部分沿用</w:t>
            </w:r>
            <w:r>
              <w:rPr>
                <w:rFonts w:hint="eastAsia" w:ascii="宋体" w:hAnsi="宋体" w:cs="宋体"/>
                <w:sz w:val="24"/>
                <w:lang w:eastAsia="zh-CN"/>
              </w:rPr>
              <w:t>）</w:t>
            </w:r>
          </w:p>
        </w:tc>
      </w:tr>
      <w:tr w14:paraId="0DB2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0C3201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稳压器</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2B6249D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SST低剪切</w:t>
            </w:r>
          </w:p>
        </w:tc>
      </w:tr>
      <w:tr w14:paraId="06A3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7D2C015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循环罐容积L</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6A9598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SST316 100L</w:t>
            </w:r>
          </w:p>
        </w:tc>
      </w:tr>
      <w:tr w14:paraId="4138E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0"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7D23E54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循环罐搅拌器</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627E05E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气动</w:t>
            </w:r>
          </w:p>
        </w:tc>
      </w:tr>
      <w:tr w14:paraId="5ECEA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1382937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循环罐液位计</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2E0FBF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浮球</w:t>
            </w:r>
          </w:p>
        </w:tc>
      </w:tr>
      <w:tr w14:paraId="4533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4B5A42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过滤器数量</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1412EB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r>
      <w:tr w14:paraId="6E45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62A9D45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背压阀</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03DBA0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SST低剪切</w:t>
            </w:r>
          </w:p>
        </w:tc>
      </w:tr>
      <w:tr w14:paraId="7BF2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9" w:hRule="atLeast"/>
          <w:tblHeader/>
        </w:trPr>
        <w:tc>
          <w:tcPr>
            <w:tcW w:w="2521" w:type="pct"/>
            <w:tcBorders>
              <w:top w:val="single" w:color="auto" w:sz="4" w:space="0"/>
              <w:left w:val="single" w:color="auto" w:sz="4" w:space="0"/>
              <w:bottom w:val="single" w:color="auto" w:sz="4" w:space="0"/>
              <w:right w:val="single" w:color="auto" w:sz="4" w:space="0"/>
            </w:tcBorders>
            <w:shd w:val="clear" w:color="auto" w:fill="auto"/>
            <w:vAlign w:val="center"/>
          </w:tcPr>
          <w:p w14:paraId="55C33E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所带枪站数</w:t>
            </w:r>
          </w:p>
        </w:tc>
        <w:tc>
          <w:tcPr>
            <w:tcW w:w="2478" w:type="pct"/>
            <w:tcBorders>
              <w:top w:val="single" w:color="auto" w:sz="4" w:space="0"/>
              <w:left w:val="single" w:color="auto" w:sz="4" w:space="0"/>
              <w:bottom w:val="single" w:color="auto" w:sz="4" w:space="0"/>
              <w:right w:val="single" w:color="auto" w:sz="4" w:space="0"/>
            </w:tcBorders>
            <w:shd w:val="clear" w:color="auto" w:fill="auto"/>
            <w:vAlign w:val="center"/>
          </w:tcPr>
          <w:p w14:paraId="33A1728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lang w:eastAsia="zh-CN"/>
              </w:rPr>
            </w:pPr>
            <w:r>
              <w:rPr>
                <w:rFonts w:hint="eastAsia" w:ascii="宋体" w:hAnsi="宋体" w:eastAsia="宋体" w:cs="宋体"/>
                <w:color w:val="auto"/>
                <w:sz w:val="24"/>
              </w:rPr>
              <w:t>4（机器人）+6</w:t>
            </w:r>
            <w:r>
              <w:rPr>
                <w:rFonts w:hint="eastAsia" w:ascii="宋体" w:hAnsi="宋体" w:eastAsia="宋体" w:cs="宋体"/>
                <w:color w:val="auto"/>
                <w:sz w:val="24"/>
                <w:lang w:eastAsia="zh-CN"/>
              </w:rPr>
              <w:t>（</w:t>
            </w:r>
            <w:r>
              <w:rPr>
                <w:rFonts w:hint="eastAsia" w:ascii="宋体" w:hAnsi="宋体" w:eastAsia="宋体" w:cs="宋体"/>
                <w:color w:val="auto"/>
                <w:sz w:val="24"/>
              </w:rPr>
              <w:t>手工内喷</w:t>
            </w:r>
            <w:r>
              <w:rPr>
                <w:rFonts w:hint="eastAsia" w:ascii="宋体" w:hAnsi="宋体" w:eastAsia="宋体" w:cs="宋体"/>
                <w:color w:val="auto"/>
                <w:sz w:val="24"/>
                <w:lang w:eastAsia="zh-CN"/>
              </w:rPr>
              <w:t>）</w:t>
            </w:r>
            <w:r>
              <w:rPr>
                <w:rFonts w:hint="eastAsia" w:ascii="宋体" w:hAnsi="宋体" w:eastAsia="宋体" w:cs="宋体"/>
                <w:color w:val="auto"/>
                <w:sz w:val="24"/>
              </w:rPr>
              <w:t>+2</w:t>
            </w:r>
            <w:r>
              <w:rPr>
                <w:rFonts w:hint="eastAsia" w:ascii="宋体" w:hAnsi="宋体" w:eastAsia="宋体" w:cs="宋体"/>
                <w:sz w:val="24"/>
                <w:lang w:eastAsia="zh-CN"/>
              </w:rPr>
              <w:t>（</w:t>
            </w:r>
            <w:r>
              <w:rPr>
                <w:rFonts w:hint="eastAsia" w:ascii="宋体" w:hAnsi="宋体" w:eastAsia="宋体" w:cs="宋体"/>
                <w:sz w:val="24"/>
              </w:rPr>
              <w:t>手工检查</w:t>
            </w:r>
            <w:r>
              <w:rPr>
                <w:rFonts w:hint="eastAsia" w:ascii="宋体" w:hAnsi="宋体" w:eastAsia="宋体" w:cs="宋体"/>
                <w:sz w:val="24"/>
                <w:lang w:eastAsia="zh-CN"/>
              </w:rPr>
              <w:t>）</w:t>
            </w:r>
          </w:p>
        </w:tc>
      </w:tr>
    </w:tbl>
    <w:p w14:paraId="73EFD8FA">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系统配置说明</w:t>
      </w:r>
    </w:p>
    <w:p w14:paraId="13445E59">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小系统</w:t>
      </w:r>
    </w:p>
    <w:p w14:paraId="73D09DDB">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小系统安装在喷漆线旁，采用气动泵单缸系统</w:t>
      </w:r>
      <w:r>
        <w:rPr>
          <w:rFonts w:hint="eastAsia" w:ascii="宋体" w:hAnsi="宋体" w:eastAsia="宋体" w:cs="宋体"/>
          <w:lang w:eastAsia="zh-CN"/>
        </w:rPr>
        <w:t>两</w:t>
      </w:r>
      <w:r>
        <w:rPr>
          <w:rFonts w:hint="eastAsia" w:ascii="宋体" w:hAnsi="宋体" w:eastAsia="宋体" w:cs="宋体"/>
        </w:rPr>
        <w:t>线循环，溶剂型色漆的循环系统，所有接触涂料的部件材质必须是</w:t>
      </w:r>
      <w:r>
        <w:rPr>
          <w:rFonts w:hint="eastAsia" w:ascii="宋体" w:hAnsi="宋体" w:eastAsia="宋体" w:cs="宋体"/>
          <w:lang w:val="en-US" w:eastAsia="zh-CN"/>
        </w:rPr>
        <w:t>SUS</w:t>
      </w:r>
      <w:r>
        <w:rPr>
          <w:rFonts w:hint="eastAsia" w:ascii="宋体" w:hAnsi="宋体" w:eastAsia="宋体" w:cs="宋体"/>
        </w:rPr>
        <w:t>304L不锈钢或更高规格，所有接触清漆的部件材质也必须是</w:t>
      </w:r>
      <w:r>
        <w:rPr>
          <w:rFonts w:hint="eastAsia" w:ascii="宋体" w:hAnsi="宋体" w:eastAsia="宋体" w:cs="宋体"/>
          <w:lang w:val="en-US" w:eastAsia="zh-CN"/>
        </w:rPr>
        <w:t>SUS</w:t>
      </w:r>
      <w:r>
        <w:rPr>
          <w:rFonts w:hint="eastAsia" w:ascii="宋体" w:hAnsi="宋体" w:eastAsia="宋体" w:cs="宋体"/>
        </w:rPr>
        <w:t>304L</w:t>
      </w:r>
      <w:r>
        <w:rPr>
          <w:rFonts w:hint="eastAsia" w:ascii="宋体" w:hAnsi="宋体" w:eastAsia="宋体" w:cs="宋体"/>
          <w:color w:val="auto"/>
        </w:rPr>
        <w:t>不</w:t>
      </w:r>
      <w:r>
        <w:rPr>
          <w:rFonts w:hint="eastAsia" w:ascii="宋体" w:hAnsi="宋体" w:eastAsia="宋体" w:cs="宋体"/>
        </w:rPr>
        <w:t>锈钢或更高规格。</w:t>
      </w:r>
    </w:p>
    <w:p w14:paraId="5DD1184D">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设置不锈钢室体，进出输漆管道从不锈钢室体上进行开孔（预留一组外接颜色进出油漆管道进出孔），室体设置可开关门，方便更换油漆操作，内置压缩空气送风，保证不锈钢室体内呈正压。</w:t>
      </w:r>
    </w:p>
    <w:p w14:paraId="31EB4B0F">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油漆管道材质采用不锈钢</w:t>
      </w:r>
      <w:r>
        <w:rPr>
          <w:rFonts w:hint="eastAsia" w:ascii="宋体" w:hAnsi="宋体" w:eastAsia="宋体" w:cs="宋体"/>
          <w:lang w:val="en-US" w:eastAsia="zh-CN"/>
        </w:rPr>
        <w:t>SUS</w:t>
      </w:r>
      <w:r>
        <w:rPr>
          <w:rFonts w:hint="eastAsia" w:ascii="宋体" w:hAnsi="宋体" w:eastAsia="宋体" w:cs="宋体"/>
        </w:rPr>
        <w:t>304L材质，管道内壁采用磷化度膜，输出流量不低于5000ml/min，保证机器人不会发生闪喷等压力不稳定等问题，循环罐至管道之间用特氟龙6*9软管连接，软管外使用防折弯弹簧护套。</w:t>
      </w:r>
    </w:p>
    <w:p w14:paraId="6345983A">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漆管道上设置稳压塔，最大流体工作的压力600psi（4.2MPa），材质为不锈钢，保证流体波动小，构造方便冲洗，换色清洗时间不超过4小时，单次清洗溶剂不能超过80kg，清洗管道后的废溶剂通过单独阀门管道流入废溶剂管道中。</w:t>
      </w:r>
    </w:p>
    <w:p w14:paraId="68D973D3">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油漆输送管道设置袋式过滤器，过滤等级分为金属漆125μm,本色漆为80μm，满足操作简单，维护方便，高流量等要求，并且一次性配备满足换色10次的使用滤袋，滤袋规格尺寸与调漆间现有使用滤袋规格需保持一致。</w:t>
      </w:r>
    </w:p>
    <w:p w14:paraId="6D224B61">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管道设置背压阀背压调节器控制上游流体压力（背压阀品牌使用进口品牌）。流量不低于5000ml/min；泵浦采用进口品牌不锈钢泵。</w:t>
      </w:r>
    </w:p>
    <w:p w14:paraId="01E7E7A5">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管道接头采用不低于S</w:t>
      </w:r>
      <w:r>
        <w:rPr>
          <w:rFonts w:hint="eastAsia" w:ascii="宋体" w:hAnsi="宋体" w:eastAsia="宋体" w:cs="宋体"/>
          <w:lang w:val="en-US" w:eastAsia="zh-CN"/>
        </w:rPr>
        <w:t>US304L</w:t>
      </w:r>
      <w:r>
        <w:rPr>
          <w:rFonts w:hint="eastAsia" w:ascii="宋体" w:hAnsi="宋体" w:eastAsia="宋体" w:cs="宋体"/>
        </w:rPr>
        <w:t>球阀，油漆管道设置压力表，应安装在油漆过滤后的管道上。</w:t>
      </w:r>
    </w:p>
    <w:p w14:paraId="7DEC95C5">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安装溶剂与循环管道色漆三通阀门，用于快速短接清洗。</w:t>
      </w:r>
    </w:p>
    <w:p w14:paraId="1F8376E3">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所有接头与机器人接头兼容。</w:t>
      </w:r>
    </w:p>
    <w:p w14:paraId="0E7EC66F">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罐体油漆管道连接方式为快插式。</w:t>
      </w:r>
    </w:p>
    <w:p w14:paraId="484BAA6F">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压缩空气管道连接方式为快插式。</w:t>
      </w:r>
    </w:p>
    <w:p w14:paraId="6E2D1468">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新增的管路各个接口处要求必须密封到位，施工完毕后需要进行防漏验证。</w:t>
      </w:r>
    </w:p>
    <w:p w14:paraId="25DEC797">
      <w:pPr>
        <w:pStyle w:val="17"/>
        <w:pageBreakBefore w:val="0"/>
        <w:numPr>
          <w:ilvl w:val="0"/>
          <w:numId w:val="128"/>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循环罐及管道接地线需进行固定并接地完好。</w:t>
      </w:r>
    </w:p>
    <w:p w14:paraId="53B65FA6">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油漆循环供漆模组</w:t>
      </w:r>
    </w:p>
    <w:p w14:paraId="1A2AE7DF">
      <w:pPr>
        <w:pStyle w:val="17"/>
        <w:pageBreakBefore w:val="0"/>
        <w:numPr>
          <w:ilvl w:val="0"/>
          <w:numId w:val="129"/>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模组包括：电动泵、涂料袋式过滤器、循环罐和调漆罐、电动变频低剪切搅拌器、静压式液位计、涂料温度计、加料泵、涂料压力表、低剪切背压阀、涂料软管及接头等。</w:t>
      </w:r>
    </w:p>
    <w:p w14:paraId="7B8598C8">
      <w:pPr>
        <w:pStyle w:val="17"/>
        <w:pageBreakBefore w:val="0"/>
        <w:numPr>
          <w:ilvl w:val="0"/>
          <w:numId w:val="129"/>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模组设备安装方式：落地式安装，预组装后整体发货。</w:t>
      </w:r>
    </w:p>
    <w:p w14:paraId="063515E8">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循环泵:</w:t>
      </w:r>
    </w:p>
    <w:p w14:paraId="6AC89E02">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采用</w:t>
      </w:r>
      <w:r>
        <w:rPr>
          <w:rFonts w:hint="eastAsia" w:ascii="宋体" w:hAnsi="宋体" w:eastAsia="宋体" w:cs="宋体"/>
          <w:color w:val="auto"/>
        </w:rPr>
        <w:t>电动泵</w:t>
      </w:r>
      <w:r>
        <w:rPr>
          <w:rFonts w:hint="eastAsia" w:ascii="宋体" w:hAnsi="宋体" w:eastAsia="宋体" w:cs="宋体"/>
        </w:rPr>
        <w:t>。该泵最大的涂料压力和最大涂料流量应满足系统枪站出口的压力和流量要求。泵及所有与涂料或溶剂所接触的部件材质应是不锈钢并电解抛光，适于水性型漆和溶剂型漆。缸体和凸轮、摩擦部件采用不锈钢材料或更高耐磨的材料。循环泵输出压力在0～15Bar之间可调，无需稳压器情况下压力波动幅度要求在±0.5Bar之内。</w:t>
      </w:r>
    </w:p>
    <w:p w14:paraId="5B3C5CE6">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电动泵循环泵选型应充分考虑系统内枪站/出口位置、输漆管路管径及长度、涂料粘度、喷涂压力及流量等各方面因素，同时要求设备符合安全防爆、低维护费用的设计要求。</w:t>
      </w:r>
    </w:p>
    <w:p w14:paraId="143EAF71">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电动循环泵由主控制柜的驱动单元提供动力，循环泵工作状态由原厂提供的智能卡通过PLC智能控制驱动电动泵进行速度/压力/流量调节。</w:t>
      </w:r>
    </w:p>
    <w:p w14:paraId="11B4AEDB">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shd w:val="clear"/>
        </w:rPr>
        <w:t>电动循</w:t>
      </w:r>
      <w:r>
        <w:rPr>
          <w:rFonts w:hint="eastAsia" w:ascii="宋体" w:hAnsi="宋体" w:eastAsia="宋体" w:cs="宋体"/>
          <w:highlight w:val="none"/>
        </w:rPr>
        <w:t>环泵的驱动电机采用具备热敏保护的防爆电机，热敏保护装置能有效保护电机的过热。电控系统满足防爆区域控制要求，元件选型根据国家防爆标准选型。驱动电机采用隔爆防爆技术，防爆等级和其他性能必须达到国家相关标准要求。</w:t>
      </w:r>
    </w:p>
    <w:p w14:paraId="0A0F5C54">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电动泵的流量、压力、报警信号和工作模式等能通过控制PLC设置并上传至中控室。</w:t>
      </w:r>
    </w:p>
    <w:p w14:paraId="3044FB3A">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设备选型要求同时满足电动泵的工作频次在10～40次/min，工作时不出现爬行现象。</w:t>
      </w:r>
    </w:p>
    <w:p w14:paraId="4BEBB44E">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使用电动泵输漆系统，泵的流量压力满足工艺要求。通过SMART智能卡实现恒压力及恒流量模式切换，并实现智能化节能控制。电动泵配合程序设置需保证油漆循环系统实现生产模式、非生产模式、休眠模式，且保证非生产模式与生产模式切换时间不超过60s。</w:t>
      </w:r>
    </w:p>
    <w:p w14:paraId="1C2769B8">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生产模式（恒压输送模式）：该运行模式为保证管路内流速、枪站压力、枪站流量的正常生产状态，由控制系统根据机器人喷涂队列信息自动进行工作模式和休眠模式的切换，系统切换响应时间需满足喷涂机器人对涂料的使用要求。</w:t>
      </w:r>
    </w:p>
    <w:p w14:paraId="59E3FC96">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休眠模式(恒流量输送模式)：该运行模式为保证管路内流速，保证循环系统内油漆粘度与生产时状态一致，但枪站压力、枪站流量可以不符合生产状态要求，最终保证系统节能。</w:t>
      </w:r>
    </w:p>
    <w:p w14:paraId="33B3CDDB">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非生产模式：该运行模式为电动泵自动间歇性运行，保证管路内油漆不沉淀、不堵塞，且在2个小时内可以恢复到待机模式或生产模式的运行状态。最终保证油漆循环次数最小，系统节能。</w:t>
      </w:r>
    </w:p>
    <w:p w14:paraId="191E0C18">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每套模组出口均配备涂料压力传感器（与电动泵配套的原厂产品），可以自动监测系统压力并将信号上传给控制系统，当压力超出设定值时系统报警或停机，当到达设定的耐压极限时自动打开背压阀进行泄压。</w:t>
      </w:r>
    </w:p>
    <w:p w14:paraId="76E2A9E1">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电动泵出口配置机械式泄压阀（与电动泵配套的原厂产品），在系统超过预设压力的情况下，机械式泄压阀会自动打开，开始泄压，来保护系统的使用安全。</w:t>
      </w:r>
    </w:p>
    <w:p w14:paraId="0A735761">
      <w:pPr>
        <w:pStyle w:val="17"/>
        <w:pageBreakBefore w:val="0"/>
        <w:numPr>
          <w:ilvl w:val="0"/>
          <w:numId w:val="130"/>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highlight w:val="none"/>
        </w:rPr>
      </w:pPr>
      <w:r>
        <w:rPr>
          <w:rFonts w:hint="eastAsia" w:ascii="宋体" w:hAnsi="宋体" w:eastAsia="宋体" w:cs="宋体"/>
          <w:highlight w:val="none"/>
        </w:rPr>
        <w:t>电动泵的主泵须进行相关的联锁，在需要时系统可以手动或自动停止循环泵工作，保证系统安全。</w:t>
      </w:r>
    </w:p>
    <w:p w14:paraId="063C6443">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加料泵</w:t>
      </w:r>
    </w:p>
    <w:p w14:paraId="62F2CA8C">
      <w:pPr>
        <w:pStyle w:val="17"/>
        <w:pageBreakBefore w:val="0"/>
        <w:numPr>
          <w:ilvl w:val="0"/>
          <w:numId w:val="131"/>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加料泵采用隔膜泵。该泵最大涂料压力和最大涂料流量应满足要求，操作简便，性能可靠，大流量的加料需要，水性涂料系统采用不锈钢加料泵。</w:t>
      </w:r>
    </w:p>
    <w:p w14:paraId="0D129964">
      <w:pPr>
        <w:pStyle w:val="17"/>
        <w:pageBreakBefore w:val="0"/>
        <w:numPr>
          <w:ilvl w:val="0"/>
          <w:numId w:val="131"/>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水性清洗溶剂搅拌罐分别在纯水管路与药剂管路各配一台不锈钢计量仪表。</w:t>
      </w:r>
    </w:p>
    <w:p w14:paraId="241E6C57">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涂料过滤器</w:t>
      </w:r>
    </w:p>
    <w:p w14:paraId="3A165314">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采用袋式过滤器作为加料、出口、回流过滤，每套系统各三个过滤器。</w:t>
      </w:r>
    </w:p>
    <w:p w14:paraId="1B05C469">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在回流口安装袋式过滤器对回流油漆进行过滤，带有流通（四通阀）旁路。</w:t>
      </w:r>
    </w:p>
    <w:p w14:paraId="0473C15D">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回流口安装在桶底，减少飞溅。所有泵出口过滤器两边安装隔膜式涂料压力表，方便了解过滤袋清洁状况，及时更换及维护。</w:t>
      </w:r>
    </w:p>
    <w:p w14:paraId="21F5FEC3">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所有过滤器的壳体及网篮均由SUS3</w:t>
      </w:r>
      <w:r>
        <w:rPr>
          <w:rFonts w:hint="eastAsia" w:ascii="宋体" w:hAnsi="宋体" w:eastAsia="宋体" w:cs="宋体"/>
          <w:lang w:val="en-US" w:eastAsia="zh-CN"/>
        </w:rPr>
        <w:t>04L</w:t>
      </w:r>
      <w:r>
        <w:rPr>
          <w:rFonts w:hint="eastAsia" w:ascii="宋体" w:hAnsi="宋体" w:eastAsia="宋体" w:cs="宋体"/>
        </w:rPr>
        <w:t>不锈钢制成。过滤器的内部、网篮、压环及盖子都需要钝化或电解抛光。所设计的壳体，在顶盖关闭的时候，通过确定的卡位使过滤器固定在一个合适的位置。壳体顶部的O型圈应涂覆特氟龙®或业主批准的材料。垂直动作的吊环螺栓确保壳体顶盖关闭。</w:t>
      </w:r>
    </w:p>
    <w:p w14:paraId="01CA2B97">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涂料桶加料和回流的过滤器应是串接袋式过滤器。过滤器的滤袋不应是丝绒制成，并不应使用如硅树脂会影响涂料的润滑材料。</w:t>
      </w:r>
    </w:p>
    <w:p w14:paraId="565BCE38">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所有的过滤器必须是非螺纹连接和可以快速维护的，以避免空气进入和涂料干结。</w:t>
      </w:r>
    </w:p>
    <w:p w14:paraId="7FEB6083">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油漆罐</w:t>
      </w:r>
    </w:p>
    <w:p w14:paraId="3A3CD08A">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固化剂罐采用穹顶式，其余采用平顶式油漆罐。整个罐材质不低于SUS</w:t>
      </w:r>
      <w:r>
        <w:rPr>
          <w:rFonts w:hint="eastAsia" w:ascii="宋体" w:hAnsi="宋体" w:eastAsia="宋体" w:cs="宋体"/>
          <w:lang w:val="en-US" w:eastAsia="zh-CN"/>
        </w:rPr>
        <w:t>304L</w:t>
      </w:r>
      <w:r>
        <w:rPr>
          <w:rFonts w:hint="eastAsia" w:ascii="宋体" w:hAnsi="宋体" w:eastAsia="宋体" w:cs="宋体"/>
        </w:rPr>
        <w:t>不锈钢（厚度δ≥3mm）制成，罐体需电解抛光，具有良好的表面光洁度和耐腐蚀性，保证罐内壁不易挂漆，减少油漆结皮的可能性；罐体、罐盖密封结构必须具有良好的气密性，能有效防止罐内油漆溶剂（包括纯水）的挥发和外部意外灰尘/颗粒的进入。水性漆用罐体内不得安装扰流板，其</w:t>
      </w:r>
      <w:r>
        <w:rPr>
          <w:rFonts w:hint="eastAsia" w:ascii="宋体" w:hAnsi="宋体" w:eastAsia="宋体" w:cs="宋体"/>
          <w:lang w:eastAsia="zh-CN"/>
        </w:rPr>
        <w:t>它</w:t>
      </w:r>
      <w:r>
        <w:rPr>
          <w:rFonts w:hint="eastAsia" w:ascii="宋体" w:hAnsi="宋体" w:eastAsia="宋体" w:cs="宋体"/>
        </w:rPr>
        <w:t>罐体不做要求。</w:t>
      </w:r>
    </w:p>
    <w:p w14:paraId="60DA9993">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平顶罐盖采用法兰连接形式，上部安装有搅拌器、火焰阻隔器和温度计等设备的开口。</w:t>
      </w:r>
    </w:p>
    <w:p w14:paraId="726FB15F">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固化剂罐的顶部是穹型的，装有加料口，由此可以进入罐的内部，加料口底部装有衬垫确保口盖在关闭锁紧时与桶紧贴。衬垫由特氟龙®或是</w:t>
      </w:r>
      <w:r>
        <w:rPr>
          <w:rFonts w:hint="eastAsia" w:ascii="宋体" w:hAnsi="宋体" w:cs="宋体"/>
          <w:lang w:eastAsia="zh-CN"/>
        </w:rPr>
        <w:t>招标人</w:t>
      </w:r>
      <w:r>
        <w:rPr>
          <w:rFonts w:hint="eastAsia" w:ascii="宋体" w:hAnsi="宋体" w:eastAsia="宋体" w:cs="宋体"/>
        </w:rPr>
        <w:t>批准的同等材料制成，它可以抵御系统中使用的所有溶剂和清洗材料。盖子上的衬垫与罐缘应贴合正确，避免衬垫变形、卡滞、剥落或扭曲。所有加料盖子配有把手。</w:t>
      </w:r>
    </w:p>
    <w:p w14:paraId="24A0552A">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涂料通过回流管路回流到循环罐的底部。</w:t>
      </w:r>
    </w:p>
    <w:p w14:paraId="69DC0BF5">
      <w:pPr>
        <w:pStyle w:val="17"/>
        <w:pageBreakBefore w:val="0"/>
        <w:numPr>
          <w:ilvl w:val="0"/>
          <w:numId w:val="132"/>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每套系统配置1个200L调漆罐，1个200L油漆循环罐（</w:t>
      </w:r>
      <w:r>
        <w:rPr>
          <w:rFonts w:hint="eastAsia" w:ascii="宋体" w:hAnsi="宋体" w:eastAsia="宋体" w:cs="宋体"/>
          <w:lang w:eastAsia="zh-CN"/>
        </w:rPr>
        <w:t>油性</w:t>
      </w:r>
      <w:r>
        <w:rPr>
          <w:rFonts w:hint="eastAsia" w:ascii="宋体" w:hAnsi="宋体" w:eastAsia="宋体" w:cs="宋体"/>
        </w:rPr>
        <w:t>溶剂500L循环罐</w:t>
      </w:r>
      <w:r>
        <w:rPr>
          <w:rFonts w:hint="eastAsia" w:ascii="宋体" w:hAnsi="宋体" w:eastAsia="宋体" w:cs="宋体"/>
          <w:lang w:eastAsia="zh-CN"/>
        </w:rPr>
        <w:t>、水性</w:t>
      </w:r>
      <w:r>
        <w:rPr>
          <w:rFonts w:hint="eastAsia" w:ascii="宋体" w:hAnsi="宋体" w:eastAsia="宋体" w:cs="宋体"/>
        </w:rPr>
        <w:t>溶剂500L循环罐）（200L为正常液位时容积），各油漆罐及其他设备必须采用铜排硬连接接地。接地电阻≤4Ω</w:t>
      </w:r>
      <w:r>
        <w:rPr>
          <w:rFonts w:hint="eastAsia" w:ascii="宋体" w:hAnsi="宋体" w:eastAsia="宋体" w:cs="宋体"/>
          <w:lang w:eastAsia="zh-CN"/>
        </w:rPr>
        <w:t>（提资）</w:t>
      </w:r>
      <w:r>
        <w:rPr>
          <w:rFonts w:hint="eastAsia" w:ascii="宋体" w:hAnsi="宋体" w:eastAsia="宋体" w:cs="宋体"/>
        </w:rPr>
        <w:t>。</w:t>
      </w:r>
    </w:p>
    <w:p w14:paraId="2E527432">
      <w:pPr>
        <w:pStyle w:val="17"/>
        <w:keepNext w:val="0"/>
        <w:keepLines w:val="0"/>
        <w:pageBreakBefore w:val="0"/>
        <w:widowControl w:val="0"/>
        <w:numPr>
          <w:ilvl w:val="0"/>
          <w:numId w:val="1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温度计：循环罐上装有一个转盘式温度计。温度计安装在罐维护一侧容易看见的地方。涂料温度控制系统需要另加一个温度计。温度计是圈形不锈钢外壳，刻度可以显示系统正常操作温度范围。</w:t>
      </w:r>
    </w:p>
    <w:p w14:paraId="1011E8FD">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油漆罐液位控制</w:t>
      </w:r>
    </w:p>
    <w:p w14:paraId="27398EDD">
      <w:pPr>
        <w:pStyle w:val="17"/>
        <w:pageBreakBefore w:val="0"/>
        <w:numPr>
          <w:ilvl w:val="0"/>
          <w:numId w:val="133"/>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油漆循环罐上安装气动隔膜泵从原漆（工作液）桶中抽取原漆（工作液）至循环罐，控制液位在指定的高度，保证油漆粘度的稳定，同时可进行手动/自动加料的切换。从原料桶至调漆罐为人工加料，从调漆罐到循环罐可切换为自动加料。</w:t>
      </w:r>
    </w:p>
    <w:p w14:paraId="34EE1726">
      <w:pPr>
        <w:pStyle w:val="17"/>
        <w:pageBreakBefore w:val="0"/>
        <w:numPr>
          <w:ilvl w:val="0"/>
          <w:numId w:val="133"/>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当循环罐油漆消耗到规定液位时，自动打开加料泵，往循环罐中加料。</w:t>
      </w:r>
    </w:p>
    <w:p w14:paraId="294D5F54">
      <w:pPr>
        <w:pStyle w:val="17"/>
        <w:pageBreakBefore w:val="0"/>
        <w:numPr>
          <w:ilvl w:val="0"/>
          <w:numId w:val="133"/>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油漆罐上安装液位报警装置，当液位到达低位时发出报警，提醒工人及时加料。液位高度报警点可以调节设定。</w:t>
      </w:r>
    </w:p>
    <w:p w14:paraId="1BC92EAD">
      <w:pPr>
        <w:pStyle w:val="17"/>
        <w:pageBreakBefore w:val="0"/>
        <w:numPr>
          <w:ilvl w:val="0"/>
          <w:numId w:val="133"/>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液位控制系统适合于水性型漆和溶剂型漆。</w:t>
      </w:r>
    </w:p>
    <w:p w14:paraId="395015BC">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电动搅拌器</w:t>
      </w:r>
    </w:p>
    <w:p w14:paraId="2CEB80FD">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一个完整的变频搅拌器应是通过法兰固定安装在罐盖上，并有隔离装置避免涂料遭受污染。</w:t>
      </w:r>
    </w:p>
    <w:p w14:paraId="5ED9F50D">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搅拌器的设计应实现原料无飞溅，并能在液位最高的前提下充分搅拌，对原料的剪切力及原料气沫状况最小化，搅拌要避免形成漩涡、混入空气、产生气泡等。同时也要达到水性漆所需的搅拌效果。须考虑调漆间环境对电动元器件的防爆要求。</w:t>
      </w:r>
    </w:p>
    <w:p w14:paraId="37DC8298">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罐上装有SEW低剪切力搅拌器，具备自动调节功能，它由防爆变频电机、减速机等组成。叶片采用低剪切叶片。</w:t>
      </w:r>
    </w:p>
    <w:p w14:paraId="357E26F4">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须根据涂料供应商提供的涂料信息，来确定正确的搅拌叶片规格以达到罐内所需的混合水平和水性型漆所需的搅拌效果。</w:t>
      </w:r>
    </w:p>
    <w:p w14:paraId="136CBDAA">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无极变频调速，搅拌器须能实现随液面的高低变化而自动改变搅拌器的转速，以保证漆液的搅拌效果和要求。</w:t>
      </w:r>
    </w:p>
    <w:p w14:paraId="4F14A8AC">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火焰阻隔器（仅用于罩光清漆及溶剂性溶剂）</w:t>
      </w:r>
    </w:p>
    <w:p w14:paraId="29127BCC">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火焰阻隔器具有排气和火焰阻隔双重功能。它能有效防止罐内溶剂的挥发流失，防止油漆罐因超压或真空状态造成的罐壁破裂。火焰阻隔器能防止罐外火焰进入罐内，引起火灾。其腔内的隔板可作为罐的呼吸通道，又能防止溶剂流失，他们的开启和关闭能保证罐内的安全工作压力，避免罐的损坏。火焰阻隔器的材质为SUS316不锈钢。</w:t>
      </w:r>
    </w:p>
    <w:p w14:paraId="04B29635">
      <w:pPr>
        <w:pStyle w:val="17"/>
        <w:pageBreakBefore w:val="0"/>
        <w:numPr>
          <w:ilvl w:val="0"/>
          <w:numId w:val="134"/>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独立式安装：这种火焰阻隔器外型为蘑菇状，独立安装在每个需要防火的油漆罐及溶剂罐上。以防止罐外火焰进入罐内，避免罐内燃烧。</w:t>
      </w:r>
    </w:p>
    <w:p w14:paraId="071BB47B">
      <w:pPr>
        <w:pStyle w:val="17"/>
        <w:keepNext w:val="0"/>
        <w:keepLines w:val="0"/>
        <w:pageBreakBefore w:val="0"/>
        <w:widowControl w:val="0"/>
        <w:numPr>
          <w:ilvl w:val="0"/>
          <w:numId w:val="1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背压阀：在系统的回流管路上装有一个可以拆卸的，带压力表的背压阀（BPR）。背压阀应是低剪切设计，由不锈钢构成，所使用的材料应不会对水性型涂料产生影响并适合溶剂型涂料。背压可实现手动控制，并可以配合PLC实现远程自动控制。</w:t>
      </w:r>
    </w:p>
    <w:p w14:paraId="4AC238E4">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压力表</w:t>
      </w:r>
    </w:p>
    <w:p w14:paraId="6CD14970">
      <w:pPr>
        <w:pStyle w:val="17"/>
        <w:pageBreakBefore w:val="0"/>
        <w:numPr>
          <w:ilvl w:val="0"/>
          <w:numId w:val="135"/>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输调漆系统使用的压力表是阻尼式充油压力表。</w:t>
      </w:r>
    </w:p>
    <w:p w14:paraId="374316A9">
      <w:pPr>
        <w:pStyle w:val="17"/>
        <w:pageBreakBefore w:val="0"/>
        <w:numPr>
          <w:ilvl w:val="0"/>
          <w:numId w:val="135"/>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所有压力表安装在容易看见的地方，所有压力表上标注正常压力范围。</w:t>
      </w:r>
    </w:p>
    <w:p w14:paraId="75E0D56E">
      <w:pPr>
        <w:pStyle w:val="17"/>
        <w:pageBreakBefore w:val="0"/>
        <w:numPr>
          <w:ilvl w:val="0"/>
          <w:numId w:val="135"/>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系统压力表是圆形不锈钢外壳的，内部填满液体，所带的刻度可以显示系统操作的正常压力范围。</w:t>
      </w:r>
    </w:p>
    <w:p w14:paraId="07806DA3">
      <w:pPr>
        <w:pStyle w:val="17"/>
        <w:pageBreakBefore w:val="0"/>
        <w:numPr>
          <w:ilvl w:val="0"/>
          <w:numId w:val="135"/>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在供应管的涂料过滤器前后都装有压力表（刻度显示应符合国际标准）。</w:t>
      </w:r>
    </w:p>
    <w:p w14:paraId="4AD82966">
      <w:pPr>
        <w:pStyle w:val="17"/>
        <w:pageBreakBefore w:val="0"/>
        <w:numPr>
          <w:ilvl w:val="0"/>
          <w:numId w:val="135"/>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在背压阀上安装有压力表。</w:t>
      </w:r>
    </w:p>
    <w:p w14:paraId="001C2AFA">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 xml:space="preserve">输漆管路 </w:t>
      </w:r>
    </w:p>
    <w:p w14:paraId="0353F0E5">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所有输漆管路均不低于不锈钢SUS</w:t>
      </w:r>
      <w:r>
        <w:rPr>
          <w:rFonts w:hint="eastAsia" w:ascii="宋体" w:hAnsi="宋体" w:eastAsia="宋体" w:cs="宋体"/>
          <w:lang w:val="en-US" w:eastAsia="zh-CN"/>
        </w:rPr>
        <w:t>304L</w:t>
      </w:r>
      <w:r>
        <w:rPr>
          <w:rFonts w:hint="eastAsia" w:ascii="宋体" w:hAnsi="宋体" w:eastAsia="宋体" w:cs="宋体"/>
        </w:rPr>
        <w:t>材质无缝管制成，油漆供应系统管路连接采用卡套或卡盘式接头连接，可快速拆卸，维护方便。所有接头为平滑设计，流道平整光滑，设计时考虑接头内径与管道内径一致，变径卡套接头锥形过度，避免油漆死角及沉淀的产生，调漆间油漆管路出口至机器人段入口处之间应装有油漆压力表，能正常监视管道内部油漆压力。</w:t>
      </w:r>
    </w:p>
    <w:p w14:paraId="60B39AC4">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管路系统的弯路应有统一的最大转弯半径。所有管路的弯曲半径应大于管路直径的六倍。为了保持统一的管路间隙，在穿过墙壁及地板的地方，可以使用更小的转弯半径，转弯圆滑并真正做到无褶皱。弯曲应防止横断面变形。</w:t>
      </w:r>
    </w:p>
    <w:p w14:paraId="03FDEA2A">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弯曲的过程要保证管壁和管径变化最小。所有管路的弯管样件及管路尺寸在开始施工前要得到</w:t>
      </w:r>
      <w:r>
        <w:rPr>
          <w:rFonts w:hint="eastAsia" w:ascii="宋体" w:hAnsi="宋体" w:cs="宋体"/>
          <w:lang w:eastAsia="zh-CN"/>
        </w:rPr>
        <w:t>招标人</w:t>
      </w:r>
      <w:r>
        <w:rPr>
          <w:rFonts w:hint="eastAsia" w:ascii="宋体" w:hAnsi="宋体" w:eastAsia="宋体" w:cs="宋体"/>
        </w:rPr>
        <w:t>批准。</w:t>
      </w:r>
    </w:p>
    <w:p w14:paraId="2CC6F2C0">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输调漆管路清洗应考虑到支管路的清洗设计；</w:t>
      </w:r>
    </w:p>
    <w:p w14:paraId="5BCE9646">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所有输漆管路（含支管）均须包不低于10mm厚度保温管，直到使用端。</w:t>
      </w:r>
    </w:p>
    <w:p w14:paraId="76F1E329">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主管及支管路内涂料流速应满足涂料使用要求。</w:t>
      </w:r>
    </w:p>
    <w:p w14:paraId="5D93D03E">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所有管路制作、固定、支撑等须遵循《工业金属管道工程施工及验收规范》GB 50235—97。</w:t>
      </w:r>
    </w:p>
    <w:p w14:paraId="020F1809">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所有管路制作、固定、支撑等须遵循《涂装供漆系统技术条件》JB-T 10536-2005。</w:t>
      </w:r>
    </w:p>
    <w:p w14:paraId="5E9BDB54">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输调漆管道内壁采用钝化处理。</w:t>
      </w:r>
    </w:p>
    <w:p w14:paraId="4259608E">
      <w:pPr>
        <w:pStyle w:val="17"/>
        <w:pageBreakBefore w:val="0"/>
        <w:numPr>
          <w:ilvl w:val="0"/>
          <w:numId w:val="136"/>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焊接管道部位表面处理，焊接部分需要抛光处理，确保光滑、美观。</w:t>
      </w:r>
    </w:p>
    <w:p w14:paraId="3E350BC7">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球阀</w:t>
      </w:r>
    </w:p>
    <w:p w14:paraId="75A3051F">
      <w:pPr>
        <w:pStyle w:val="17"/>
        <w:pageBreakBefore w:val="0"/>
        <w:numPr>
          <w:ilvl w:val="0"/>
          <w:numId w:val="137"/>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所有涂料用球阀应该是SUS316以上不锈钢阀身、阀球、阀轴。特氟龙®阀座应有缝隙填充物以防止积漆。阀包括可锁定的水平把手。所提供的阀必须完全不含有任何污染物、油和润滑剂。</w:t>
      </w:r>
    </w:p>
    <w:p w14:paraId="3D0FF715">
      <w:pPr>
        <w:pStyle w:val="17"/>
        <w:pageBreakBefore w:val="0"/>
        <w:numPr>
          <w:ilvl w:val="0"/>
          <w:numId w:val="137"/>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涂料枪站球阀应是全包式两片式球阀，不锈钢阀身、阀球、阀轴，并有必要的穿墙接口板的管路端头组件。</w:t>
      </w:r>
    </w:p>
    <w:p w14:paraId="58D10327">
      <w:pPr>
        <w:pStyle w:val="17"/>
        <w:pageBreakBefore w:val="0"/>
        <w:numPr>
          <w:ilvl w:val="0"/>
          <w:numId w:val="137"/>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大于或等于12.5mm 的所有涂料系统的球阀应是适于焊接方式安装的三片式球阀。</w:t>
      </w:r>
    </w:p>
    <w:p w14:paraId="40444593">
      <w:pPr>
        <w:pStyle w:val="17"/>
        <w:pageBreakBefore w:val="0"/>
        <w:numPr>
          <w:ilvl w:val="0"/>
          <w:numId w:val="137"/>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涂料枪站球阀应是不锈钢阀身，球和阀轴的两片式HOSCO®全通径球阀，涂料枪站球阀有必要的接口板用于管路端头组件。</w:t>
      </w:r>
    </w:p>
    <w:p w14:paraId="4F585290">
      <w:pPr>
        <w:pStyle w:val="17"/>
        <w:pageBreakBefore w:val="0"/>
        <w:numPr>
          <w:ilvl w:val="0"/>
          <w:numId w:val="137"/>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除非有特别指明，所有涂料及溶剂系统球阀应使用卡套连接。</w:t>
      </w:r>
    </w:p>
    <w:p w14:paraId="76DB42A9">
      <w:pPr>
        <w:pStyle w:val="17"/>
        <w:pageBreakBefore w:val="0"/>
        <w:numPr>
          <w:ilvl w:val="0"/>
          <w:numId w:val="137"/>
        </w:numPr>
        <w:tabs>
          <w:tab w:val="left" w:pos="-84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所有溶剂阀的形式和结构应尽可能与涂料所使用的阀相同。</w:t>
      </w:r>
    </w:p>
    <w:p w14:paraId="7360F81E">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出口组件</w:t>
      </w:r>
    </w:p>
    <w:p w14:paraId="79E97DDB">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两线系统手动出口组件包括：夹墙式涂料球阀、涂料压力表、尼龙复合涂料软管、枪下Y型流量调节器及枪下快插。</w:t>
      </w:r>
    </w:p>
    <w:p w14:paraId="7CB10E79">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两线系统自动出口组件包括：夹墙式涂料球阀、涂料压力表；从夹墙式球阀到机器人之间的涂料软管及接头由机器人公司提供。</w:t>
      </w:r>
    </w:p>
    <w:p w14:paraId="6979F958">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主管循环系统溶剂手动出口为盲端式出口，包括：夹墙式涂料球阀、枪站调压器、涂料压力表、尼龙复合涂料软管及枪下快插等。</w:t>
      </w:r>
    </w:p>
    <w:p w14:paraId="3558BD64">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主管循环系统溶剂自动出口组件包括：夹墙式涂料球阀、枪站调压器、压力表；从夹墙式球阀到机器人之间的涂料软管及接头由机器人公司提供。 </w:t>
      </w:r>
    </w:p>
    <w:p w14:paraId="35A4BE61">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手动工位软管采用耐折、具有良好弯曲性能的尼龙复合涂料CPH软管。</w:t>
      </w:r>
    </w:p>
    <w:p w14:paraId="2AD2044E">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涂料球阀采用全包式球阀，无死角设计，保证油漆品质。</w:t>
      </w:r>
    </w:p>
    <w:p w14:paraId="39B6C693">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采用通过针阀调节流量的Y型枪下流量调节器。</w:t>
      </w:r>
    </w:p>
    <w:p w14:paraId="2810552E">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枪下接头为快插设计，满足密封效果好，操作简单，减少油漆泄露，换色时间短的要求。</w:t>
      </w:r>
    </w:p>
    <w:p w14:paraId="698717A2">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所有自动枪站安装到球阀为止。</w:t>
      </w:r>
    </w:p>
    <w:p w14:paraId="7EE426D7">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每个手工枪站的喷房两侧需安装防静电滑轮，方便喷漆工人吊挂喷漆软管使用。</w:t>
      </w:r>
    </w:p>
    <w:p w14:paraId="429C1438">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所有喷房外侧的输调漆枪站安装防护罩，防护罩采用优质碳钢制作，表面进行喷漆或喷粉处理，在压力表一侧安装玻璃观察窗，方便巡检油漆压力。防护罩由</w:t>
      </w:r>
      <w:r>
        <w:rPr>
          <w:rFonts w:hint="eastAsia" w:ascii="宋体" w:hAnsi="宋体" w:cs="宋体"/>
          <w:lang w:eastAsia="zh-CN"/>
        </w:rPr>
        <w:t>投标人</w:t>
      </w:r>
      <w:r>
        <w:rPr>
          <w:rFonts w:hint="eastAsia" w:ascii="宋体" w:hAnsi="宋体" w:eastAsia="宋体" w:cs="宋体"/>
        </w:rPr>
        <w:t>负责。</w:t>
      </w:r>
    </w:p>
    <w:p w14:paraId="34F96E22">
      <w:pPr>
        <w:pStyle w:val="17"/>
        <w:pageBreakBefore w:val="0"/>
        <w:numPr>
          <w:ilvl w:val="0"/>
          <w:numId w:val="127"/>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冷热水单元</w:t>
      </w:r>
    </w:p>
    <w:p w14:paraId="0F9C2796">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冷热水单元循环水泵采取一用一备形式。安装槽钢80mm高底座不锈钢接水盘和排水口和不锈钢阀门，引到下水。</w:t>
      </w:r>
    </w:p>
    <w:p w14:paraId="32516EC2">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冷热水单元下均须设置不锈钢接水盘，排水口安装不锈钢球阀，并装有排水管道，并引至排水点。</w:t>
      </w:r>
    </w:p>
    <w:p w14:paraId="567AC0B7">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电动调节阀采用进口品牌。</w:t>
      </w:r>
    </w:p>
    <w:p w14:paraId="64CF2D07">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热水水箱内配置电加热系统。（在停产阶段电加热系统须满足油漆温度要求）。</w:t>
      </w:r>
    </w:p>
    <w:p w14:paraId="26554EBB">
      <w:pPr>
        <w:pStyle w:val="17"/>
        <w:pageBreakBefore w:val="0"/>
        <w:numPr>
          <w:ilvl w:val="0"/>
          <w:numId w:val="138"/>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由于水基清洗溶剂要求温度较高，所以需要单独设置热水泵给清洗溶剂管中管单独加热。</w:t>
      </w:r>
    </w:p>
    <w:p w14:paraId="21DD64E7">
      <w:pPr>
        <w:pStyle w:val="17"/>
        <w:keepNext w:val="0"/>
        <w:keepLines w:val="0"/>
        <w:pageBreakBefore w:val="0"/>
        <w:widowControl w:val="0"/>
        <w:numPr>
          <w:ilvl w:val="0"/>
          <w:numId w:val="1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制冷系统：</w:t>
      </w:r>
      <w:r>
        <w:rPr>
          <w:rFonts w:hint="eastAsia" w:ascii="宋体" w:hAnsi="宋体" w:cs="宋体"/>
          <w:lang w:eastAsia="zh-CN"/>
        </w:rPr>
        <w:t>招标人</w:t>
      </w:r>
      <w:r>
        <w:rPr>
          <w:rFonts w:hint="eastAsia" w:ascii="宋体" w:hAnsi="宋体" w:eastAsia="宋体" w:cs="宋体"/>
        </w:rPr>
        <w:t>提供温控系统所需的冷水及供回管线至温控间并预留阀门，通过板式换热器使用二次冷水。</w:t>
      </w:r>
    </w:p>
    <w:p w14:paraId="3CF8C513">
      <w:pPr>
        <w:pStyle w:val="17"/>
        <w:keepNext w:val="0"/>
        <w:keepLines w:val="0"/>
        <w:pageBreakBefore w:val="0"/>
        <w:widowControl w:val="0"/>
        <w:numPr>
          <w:ilvl w:val="0"/>
          <w:numId w:val="127"/>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热水系统：</w:t>
      </w:r>
      <w:r>
        <w:rPr>
          <w:rFonts w:hint="eastAsia" w:ascii="宋体" w:hAnsi="宋体" w:eastAsia="宋体" w:cs="宋体"/>
          <w:lang w:eastAsia="zh-CN"/>
        </w:rPr>
        <w:t>投标人</w:t>
      </w:r>
      <w:r>
        <w:rPr>
          <w:rFonts w:hint="eastAsia" w:ascii="宋体" w:hAnsi="宋体" w:eastAsia="宋体" w:cs="宋体"/>
        </w:rPr>
        <w:t>自供温控系统所需的热水及供回管线至温控间并预留阀门，通过板式换热器使用二次热水。</w:t>
      </w:r>
      <w:r>
        <w:rPr>
          <w:rFonts w:hint="eastAsia" w:ascii="宋体" w:hAnsi="宋体" w:eastAsia="宋体" w:cs="宋体"/>
          <w:lang w:eastAsia="zh-CN"/>
        </w:rPr>
        <w:t>投标人</w:t>
      </w:r>
      <w:r>
        <w:rPr>
          <w:rFonts w:hint="eastAsia" w:ascii="宋体" w:hAnsi="宋体" w:eastAsia="宋体" w:cs="宋体"/>
        </w:rPr>
        <w:t>配备热水水箱内配置电加热系统。（在停产阶段备用电加热系统自动启动并能满足油漆温度要求</w:t>
      </w:r>
      <w:r>
        <w:rPr>
          <w:rFonts w:hint="eastAsia" w:ascii="宋体" w:hAnsi="宋体" w:cs="宋体"/>
          <w:lang w:eastAsia="zh-CN"/>
        </w:rPr>
        <w:t>）。</w:t>
      </w:r>
    </w:p>
    <w:p w14:paraId="1FAA4C9F">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油漆温度控制系统</w:t>
      </w:r>
    </w:p>
    <w:p w14:paraId="2A95A74F">
      <w:pPr>
        <w:pStyle w:val="17"/>
        <w:pageBreakBefore w:val="0"/>
        <w:numPr>
          <w:ilvl w:val="0"/>
          <w:numId w:val="1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油漆温度控制系统采用管中管温控方式，共配备9套（用于B1底漆2套、B2色漆5套、2K清漆1套及水性溶剂1套）。该系统采用自动控温方式，控温精度±1℃（水性溶剂仅加热）。要求6位3通阀采用进口产品。</w:t>
      </w:r>
    </w:p>
    <w:p w14:paraId="65633D11">
      <w:pPr>
        <w:pStyle w:val="17"/>
        <w:pageBreakBefore w:val="0"/>
        <w:numPr>
          <w:ilvl w:val="0"/>
          <w:numId w:val="1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管中管热交换器循环回路里面的介质为去离子水，该去离子水的温度通过一级热交换器进行加热和冷却，此被加热或冷却的去离子水再去加热管中管的涂料材料。管中管热交换器循环回路里面的介质为二级去离子水，去离子水的温度通过一级热交换器进行加热和冷却，被加热或冷却的去离子水再去加热管中管（二级热交换）的涂料材料，冷冻水来自制冷站的制冷系统，热水来自工厂的锅炉热水系统。在管中管区域，系统配置独立的电加热水箱。管中管单元下均须设置不锈钢接水盘，并装有排水管道，并引至排水点。</w:t>
      </w:r>
    </w:p>
    <w:p w14:paraId="7A2E9392">
      <w:pPr>
        <w:pStyle w:val="17"/>
        <w:pageBreakBefore w:val="0"/>
        <w:numPr>
          <w:ilvl w:val="0"/>
          <w:numId w:val="1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提供的模块应是预装好管路和接线并预先进行过测试。</w:t>
      </w:r>
    </w:p>
    <w:p w14:paraId="3A269841">
      <w:pPr>
        <w:pStyle w:val="17"/>
        <w:pageBreakBefore w:val="0"/>
        <w:numPr>
          <w:ilvl w:val="0"/>
          <w:numId w:val="1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加热冷却模组的保温:用于水管、蒸汽管路和冷凝管路系统的保温材料要符合消防安全规范。所使用的粘结剂无论在湿的或干的状态下都应是不可燃的。</w:t>
      </w:r>
    </w:p>
    <w:p w14:paraId="7157D098">
      <w:pPr>
        <w:pStyle w:val="17"/>
        <w:pageBreakBefore w:val="0"/>
        <w:numPr>
          <w:ilvl w:val="0"/>
          <w:numId w:val="1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双组分精确配比装置：清漆系统配</w:t>
      </w:r>
      <w:r>
        <w:rPr>
          <w:rFonts w:hint="eastAsia" w:ascii="宋体" w:hAnsi="宋体" w:eastAsia="宋体" w:cs="宋体"/>
          <w:lang w:val="en-US" w:eastAsia="zh-CN"/>
        </w:rPr>
        <w:t>1</w:t>
      </w:r>
      <w:r>
        <w:rPr>
          <w:rFonts w:hint="eastAsia" w:ascii="宋体" w:hAnsi="宋体" w:eastAsia="宋体" w:cs="宋体"/>
        </w:rPr>
        <w:t>套双组份配比设备，该设备应具有中文操作界面，简单明了，易于操作，每台设备连接1种清漆与1种固化剂，带2把枪，固化剂的换色操作有单独操作箱可完成固化剂的换色操作，并带有延时报警系统。固化剂软管采用特氟龙材料。</w:t>
      </w:r>
    </w:p>
    <w:p w14:paraId="5DD19651">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氮气保护装置</w:t>
      </w:r>
    </w:p>
    <w:p w14:paraId="7AE86D7C">
      <w:pPr>
        <w:pStyle w:val="17"/>
        <w:pageBreakBefore w:val="0"/>
        <w:numPr>
          <w:ilvl w:val="0"/>
          <w:numId w:val="1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固化剂采用氮气加注式，依靠氮气压力将固化剂从包装桶输送至循环罐，固化剂要有氮气保护装置，气源来自氮气瓶，出口有压力表，氮气需要经过稳压后送往固化剂循环罐和加料中的固化剂包装桶内，两套不锈钢支管盲端要有阀门，其中一套支管和包装桶敞口盖之间采用软管连接（两端带活接，要与包装桶开口配套），另一套与循环罐的连接为不锈钢支管连接。</w:t>
      </w:r>
    </w:p>
    <w:p w14:paraId="6B18BA5E">
      <w:pPr>
        <w:pStyle w:val="17"/>
        <w:pageBreakBefore w:val="0"/>
        <w:numPr>
          <w:ilvl w:val="0"/>
          <w:numId w:val="1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固化剂系统需配备氮气保护设备。氮气保护须能实现不间断供气功能，氮气压力表最小刻度为0.02Bar，当供气压力低于设定压力时具备报警功能，此时通过手动切换为另一组供气设备；供气管路及阀门采用SST304不锈钢材质；氮气保护须能实现供气压力手动调节功能。</w:t>
      </w:r>
    </w:p>
    <w:p w14:paraId="6C37A580">
      <w:pPr>
        <w:pStyle w:val="17"/>
        <w:pageBreakBefore w:val="0"/>
        <w:numPr>
          <w:ilvl w:val="0"/>
          <w:numId w:val="1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负责提供2个氮气瓶支架，每个支架能够放置4个氮气瓶，调试用氮气瓶</w:t>
      </w:r>
      <w:r>
        <w:rPr>
          <w:rFonts w:hint="eastAsia" w:ascii="宋体" w:hAnsi="宋体" w:cs="宋体"/>
          <w:lang w:eastAsia="zh-CN"/>
        </w:rPr>
        <w:t>投标人</w:t>
      </w:r>
      <w:r>
        <w:rPr>
          <w:rFonts w:hint="eastAsia" w:ascii="宋体" w:hAnsi="宋体" w:eastAsia="宋体" w:cs="宋体"/>
        </w:rPr>
        <w:t>提供。</w:t>
      </w:r>
    </w:p>
    <w:p w14:paraId="7F03B816">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压缩空气系统</w:t>
      </w:r>
    </w:p>
    <w:p w14:paraId="637E49A1">
      <w:pPr>
        <w:pStyle w:val="17"/>
        <w:pageBreakBefore w:val="0"/>
        <w:numPr>
          <w:ilvl w:val="0"/>
          <w:numId w:val="1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由设备附近工厂所供压缩空气点自行接取使用（调漆间与各枪站出口），并提供用于提高压缩空气质量所需的相关设备，在各枪站出口配备调压过滤设备以满足喷涂要求（压缩空气洁净度要求达到：含油量≤0.01mg/m3、常压露点≤-20℃、含尘量≤1mg/ m3、颗粒直径≤0.1μm、压力0.6MPa）。</w:t>
      </w:r>
    </w:p>
    <w:p w14:paraId="1A29056C">
      <w:pPr>
        <w:pStyle w:val="17"/>
        <w:pageBreakBefore w:val="0"/>
        <w:numPr>
          <w:ilvl w:val="0"/>
          <w:numId w:val="1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每个手工枪站都安装有压缩空气过滤器以保护设备和保证涂装质量，过滤器要装压力表。</w:t>
      </w:r>
    </w:p>
    <w:p w14:paraId="1D91F579">
      <w:pPr>
        <w:pStyle w:val="17"/>
        <w:pageBreakBefore w:val="0"/>
        <w:numPr>
          <w:ilvl w:val="0"/>
          <w:numId w:val="1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所有过滤器在调试期间，正式生产前由承包商负责清洁/更换。</w:t>
      </w:r>
    </w:p>
    <w:p w14:paraId="1111B170">
      <w:pPr>
        <w:pStyle w:val="17"/>
        <w:pageBreakBefore w:val="0"/>
        <w:numPr>
          <w:ilvl w:val="0"/>
          <w:numId w:val="1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承包商必须保证阀的密封和其他压缩空气元件不受溶剂的影响。</w:t>
      </w:r>
    </w:p>
    <w:p w14:paraId="68C4136B">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废溶剂回收系统</w:t>
      </w:r>
    </w:p>
    <w:p w14:paraId="4961C529">
      <w:pPr>
        <w:pStyle w:val="17"/>
        <w:pageBreakBefore w:val="0"/>
        <w:numPr>
          <w:ilvl w:val="0"/>
          <w:numId w:val="14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废溶剂回收系统（水性油漆和清漆各1套）</w:t>
      </w:r>
    </w:p>
    <w:p w14:paraId="417C5E8B">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废溶剂回收系统是用来收集在生产过程中通过洗枪产生的废旧溶剂，其目的就是最大的降低VOC的排放同时减少废水处理药剂的投放量，做到既环保有节约生产成本；</w:t>
      </w:r>
    </w:p>
    <w:p w14:paraId="5E2E7E8B">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废溶剂回收分为两部分：水基油漆和溶剂基油漆两者单独处理。</w:t>
      </w:r>
    </w:p>
    <w:p w14:paraId="5103B765">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废溶剂是通过手动枪站的洗枪盒（自动枪外部清洗盒）、收集管路、中转桶和最终双桶切换器构成</w:t>
      </w:r>
    </w:p>
    <w:p w14:paraId="6396C554">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废溶剂回收管路是倾斜式设计靠自身重力回收到喷房下的200L中转桶中；水性漆配置两套中转系统，溶剂型油漆配置1套中转系统。</w:t>
      </w:r>
    </w:p>
    <w:p w14:paraId="296D86D1">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中转桶上装有搅拌器防止废溶剂当中漆渣的沉淀；</w:t>
      </w:r>
    </w:p>
    <w:p w14:paraId="282800FB">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溶剂型中转桶上装有一个防爆呼吸阀，防止废气引发火灾；</w:t>
      </w:r>
    </w:p>
    <w:p w14:paraId="388FE72E">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桶上装有一个气控液位计，液位分为三段，低位和高位之间废溶剂在回收管路内循环，高液位将桶中废溶剂通过隔膜泵输送回调漆间，当油漆到超高液位时可以自动切断来料阀；</w:t>
      </w:r>
    </w:p>
    <w:p w14:paraId="3172F9CE">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调漆间内有一个双桶自动切换器，分别插在两个55加仑原漆桶内。当一个桶满时自动的切换到另一个空桶同时发出报警信号。</w:t>
      </w:r>
    </w:p>
    <w:p w14:paraId="2AB90CE3">
      <w:pPr>
        <w:pageBreakBefore w:val="0"/>
        <w:numPr>
          <w:ilvl w:val="0"/>
          <w:numId w:val="142"/>
        </w:numPr>
        <w:kinsoku/>
        <w:wordWrap/>
        <w:topLinePunct w:val="0"/>
        <w:bidi w:val="0"/>
        <w:adjustRightInd w:val="0"/>
        <w:snapToGrid w:val="0"/>
        <w:spacing w:afterAutospacing="0" w:line="360" w:lineRule="auto"/>
        <w:ind w:left="425" w:leftChars="0" w:hanging="425" w:firstLineChars="0"/>
        <w:rPr>
          <w:rFonts w:hint="eastAsia" w:ascii="宋体" w:hAnsi="宋体" w:eastAsia="宋体" w:cs="宋体"/>
          <w:sz w:val="24"/>
        </w:rPr>
      </w:pPr>
      <w:r>
        <w:rPr>
          <w:rFonts w:hint="eastAsia" w:ascii="宋体" w:hAnsi="宋体" w:eastAsia="宋体" w:cs="宋体"/>
          <w:sz w:val="24"/>
        </w:rPr>
        <w:t>清漆为双组份油漆，为了防止管线中油漆的沉降，定期将溶剂打入收集管进行清洗，新鲜溶剂加注采用手动控制；并且反冲洗到支管路。</w:t>
      </w:r>
    </w:p>
    <w:p w14:paraId="2A2C2058">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双组分精确配比装置</w:t>
      </w:r>
    </w:p>
    <w:p w14:paraId="3E19A8E8">
      <w:pPr>
        <w:pageBreakBefore w:val="0"/>
        <w:numPr>
          <w:ilvl w:val="0"/>
          <w:numId w:val="14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清漆系统手工站配</w:t>
      </w:r>
      <w:r>
        <w:rPr>
          <w:rFonts w:hint="eastAsia" w:ascii="宋体" w:hAnsi="宋体" w:eastAsia="宋体" w:cs="宋体"/>
          <w:sz w:val="24"/>
          <w:lang w:val="en-US" w:eastAsia="zh-CN"/>
        </w:rPr>
        <w:t>2</w:t>
      </w:r>
      <w:r>
        <w:rPr>
          <w:rFonts w:hint="eastAsia" w:ascii="宋体" w:hAnsi="宋体" w:eastAsia="宋体" w:cs="宋体"/>
          <w:sz w:val="24"/>
        </w:rPr>
        <w:t>套双组份配比设备，每套可以带两支喷枪，该设备易于操作，每套设备连接1种清漆与1种固化剂，并带有延时报警系统；</w:t>
      </w:r>
    </w:p>
    <w:p w14:paraId="6337182C">
      <w:pPr>
        <w:pageBreakBefore w:val="0"/>
        <w:numPr>
          <w:ilvl w:val="0"/>
          <w:numId w:val="14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此设备为连续式生产或中、大型生产量用户提供了除预混合外的使用方便、先进合理的选择余地。所有的油漆主剂、固化剂、清洗溶剂集中放置在调漆间，固化剂储罐采用国产150升不锈钢密闭桶，氮气作为保护源，可整体开口清洗，带可密封加料口。混合后的油漆到枪之间为盲端。</w:t>
      </w:r>
    </w:p>
    <w:p w14:paraId="22A9693C">
      <w:pPr>
        <w:pageBreakBefore w:val="0"/>
        <w:numPr>
          <w:ilvl w:val="0"/>
          <w:numId w:val="14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000000"/>
        </w:rPr>
      </w:pPr>
      <w:r>
        <w:rPr>
          <w:rFonts w:hint="eastAsia" w:ascii="宋体" w:hAnsi="宋体" w:eastAsia="宋体" w:cs="宋体"/>
          <w:sz w:val="24"/>
        </w:rPr>
        <w:t>固化剂要有氮气保护装置，气源来自氮气瓶（业主负责提供），出口有压力表，氮气需要经过二次调压后送往固化剂循环罐。</w:t>
      </w:r>
    </w:p>
    <w:p w14:paraId="36D58705">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水基溶剂配比</w:t>
      </w:r>
    </w:p>
    <w:p w14:paraId="0C734F59">
      <w:pPr>
        <w:pageBreakBefore w:val="0"/>
        <w:numPr>
          <w:ilvl w:val="0"/>
          <w:numId w:val="1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分别设置纯水流量计和药剂（溶剂）流量计，根据人工设定的流量配比完成操作。</w:t>
      </w:r>
    </w:p>
    <w:p w14:paraId="3716178B">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接地</w:t>
      </w:r>
    </w:p>
    <w:p w14:paraId="051AD698">
      <w:pPr>
        <w:pStyle w:val="17"/>
        <w:pageBreakBefore w:val="0"/>
        <w:numPr>
          <w:ilvl w:val="0"/>
          <w:numId w:val="1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调漆间整体列为1级防火区域，所有安装在调漆间的电柜、电缆等电气设备、器材应防爆，不会引起火灾。</w:t>
      </w:r>
    </w:p>
    <w:p w14:paraId="1B4C1279">
      <w:pPr>
        <w:pStyle w:val="17"/>
        <w:pageBreakBefore w:val="0"/>
        <w:numPr>
          <w:ilvl w:val="0"/>
          <w:numId w:val="1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当油漆车间发出火灾撤离报警时，所有输调漆设备的电源和压缩空气要自动关闭。当失效或火灾时失去信号/电源时，所有电磁阀和电动开关都有机械失效安全保护。</w:t>
      </w:r>
    </w:p>
    <w:p w14:paraId="2C983B6C">
      <w:pPr>
        <w:pStyle w:val="17"/>
        <w:pageBreakBefore w:val="0"/>
        <w:numPr>
          <w:ilvl w:val="0"/>
          <w:numId w:val="1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调漆间所有设备及部件应与车间公用系统布置的接地铜排相连，保证系统接地良好。调漆间内涂料模组、涂料桶、管路、泵等所有设备等都必须采用编织铜电缆接地，防止产生火花，调漆间内移动设施也要考虑采用编织铜电缆接地，防止产生火花。</w:t>
      </w:r>
    </w:p>
    <w:p w14:paraId="201BB9C5">
      <w:pPr>
        <w:pStyle w:val="17"/>
        <w:pageBreakBefore w:val="0"/>
        <w:numPr>
          <w:ilvl w:val="0"/>
          <w:numId w:val="1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提供的调漆间四周的接地铜牌系统，接地电阻≤4Ω，满足国家标准。</w:t>
      </w:r>
    </w:p>
    <w:p w14:paraId="1108CA8D">
      <w:pPr>
        <w:pStyle w:val="17"/>
        <w:pageBreakBefore w:val="0"/>
        <w:numPr>
          <w:ilvl w:val="0"/>
          <w:numId w:val="1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原漆桶必须是用防静电接地夹进行接地。每个罐体配置防静电夹和接地线。</w:t>
      </w:r>
    </w:p>
    <w:p w14:paraId="48685201">
      <w:pPr>
        <w:pStyle w:val="4"/>
        <w:pageBreakBefore w:val="0"/>
        <w:numPr>
          <w:ilvl w:val="0"/>
          <w:numId w:val="124"/>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其它</w:t>
      </w:r>
    </w:p>
    <w:p w14:paraId="69F4F4E7">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配置洗枪台1套（材质为不锈钢）；洗眼器1套（调漆间内供水点自行接取）；移罐机2台；防爆维修工具2套,地秤一台(500kg)。</w:t>
      </w:r>
    </w:p>
    <w:p w14:paraId="1647EE06">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所有设备的油路、气路、水路不允许有阻滞和渗漏现象。</w:t>
      </w:r>
    </w:p>
    <w:p w14:paraId="2A986EF9">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绝对禁止使用如：硅酮等油漆不兼容，或会形成缩孔的材料；同时不允许使用石棉或含石棉的密封垫或组件。</w:t>
      </w:r>
    </w:p>
    <w:p w14:paraId="7057076C">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输调漆系统本身应符合相关防火、防爆、防静电、接地等安全规定。</w:t>
      </w:r>
    </w:p>
    <w:p w14:paraId="0D203213">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喷房装防静电滑轮、滑轨，方便工人吊挂喷漆软管。</w:t>
      </w:r>
    </w:p>
    <w:p w14:paraId="1E3F9B6F">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输调漆系统本身应符合相关防火、防爆、防静电、接地等安全规定。</w:t>
      </w:r>
    </w:p>
    <w:p w14:paraId="006C2E85">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系统投料时每个过滤器配5套过滤袋，不含在备件中。</w:t>
      </w:r>
    </w:p>
    <w:p w14:paraId="7B646154">
      <w:pPr>
        <w:pStyle w:val="17"/>
        <w:pageBreakBefore w:val="0"/>
        <w:numPr>
          <w:ilvl w:val="0"/>
          <w:numId w:val="1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在安装前提供计量器具的检定报告和密封胶不含硅酮的检测报告。</w:t>
      </w:r>
    </w:p>
    <w:p w14:paraId="22D7B6F7">
      <w:pPr>
        <w:pStyle w:val="3"/>
        <w:pageBreakBefore w:val="0"/>
        <w:numPr>
          <w:ilvl w:val="0"/>
          <w:numId w:val="121"/>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高粘度涂料系统技术要求</w:t>
      </w:r>
    </w:p>
    <w:p w14:paraId="45FD0FD1">
      <w:pPr>
        <w:pStyle w:val="4"/>
        <w:pageBreakBefore w:val="0"/>
        <w:numPr>
          <w:ilvl w:val="0"/>
          <w:numId w:val="14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基本参数</w:t>
      </w:r>
    </w:p>
    <w:p w14:paraId="169F88F3">
      <w:pPr>
        <w:pStyle w:val="5"/>
        <w:pageBreakBefore w:val="0"/>
        <w:numPr>
          <w:ilvl w:val="0"/>
          <w:numId w:val="0"/>
        </w:numPr>
        <w:kinsoku/>
        <w:wordWrap/>
        <w:topLinePunct w:val="0"/>
        <w:bidi w:val="0"/>
        <w:adjustRightInd w:val="0"/>
        <w:snapToGrid w:val="0"/>
        <w:spacing w:before="0" w:afterAutospacing="0" w:line="360" w:lineRule="auto"/>
        <w:ind w:leftChars="0"/>
        <w:rPr>
          <w:rFonts w:hint="eastAsia" w:ascii="宋体" w:hAnsi="宋体" w:eastAsia="宋体" w:cs="宋体"/>
          <w:sz w:val="24"/>
          <w:szCs w:val="24"/>
        </w:rPr>
      </w:pPr>
      <w:r>
        <w:rPr>
          <w:rFonts w:hint="eastAsia" w:ascii="宋体" w:hAnsi="宋体" w:eastAsia="宋体" w:cs="宋体"/>
          <w:sz w:val="24"/>
          <w:szCs w:val="24"/>
        </w:rPr>
        <w:t>涂料参数</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426"/>
        <w:gridCol w:w="2139"/>
        <w:gridCol w:w="2139"/>
        <w:gridCol w:w="2950"/>
      </w:tblGrid>
      <w:tr w14:paraId="27B4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4" w:hRule="atLeast"/>
          <w:jc w:val="center"/>
        </w:trPr>
        <w:tc>
          <w:tcPr>
            <w:tcW w:w="1256" w:type="pct"/>
            <w:shd w:val="clear" w:color="auto" w:fill="auto"/>
            <w:vAlign w:val="center"/>
          </w:tcPr>
          <w:p w14:paraId="0D76C3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胶体参数</w:t>
            </w:r>
          </w:p>
        </w:tc>
        <w:tc>
          <w:tcPr>
            <w:tcW w:w="1107" w:type="pct"/>
            <w:shd w:val="clear" w:color="auto" w:fill="auto"/>
            <w:vAlign w:val="center"/>
          </w:tcPr>
          <w:p w14:paraId="5B9321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焊缝密封</w:t>
            </w:r>
          </w:p>
        </w:tc>
        <w:tc>
          <w:tcPr>
            <w:tcW w:w="1107" w:type="pct"/>
            <w:shd w:val="clear" w:color="auto" w:fill="auto"/>
            <w:vAlign w:val="center"/>
          </w:tcPr>
          <w:p w14:paraId="5635529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PVC胶</w:t>
            </w:r>
          </w:p>
        </w:tc>
        <w:tc>
          <w:tcPr>
            <w:tcW w:w="1527" w:type="pct"/>
            <w:shd w:val="clear" w:color="auto" w:fill="auto"/>
            <w:vAlign w:val="center"/>
          </w:tcPr>
          <w:p w14:paraId="34AC78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防锈蜡</w:t>
            </w:r>
          </w:p>
        </w:tc>
      </w:tr>
      <w:tr w14:paraId="32985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6" w:hRule="atLeast"/>
          <w:jc w:val="center"/>
        </w:trPr>
        <w:tc>
          <w:tcPr>
            <w:tcW w:w="1256" w:type="pct"/>
            <w:shd w:val="clear" w:color="auto" w:fill="auto"/>
            <w:vAlign w:val="center"/>
          </w:tcPr>
          <w:p w14:paraId="175442F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iCs/>
                <w:sz w:val="24"/>
                <w:szCs w:val="24"/>
              </w:rPr>
            </w:pPr>
            <w:r>
              <w:rPr>
                <w:rFonts w:hint="eastAsia" w:ascii="宋体" w:hAnsi="宋体" w:eastAsia="宋体" w:cs="宋体"/>
                <w:bCs/>
                <w:iCs/>
                <w:sz w:val="24"/>
                <w:szCs w:val="24"/>
              </w:rPr>
              <w:t>施工温度</w:t>
            </w:r>
            <w:r>
              <w:rPr>
                <w:rFonts w:hint="eastAsia" w:ascii="宋体" w:hAnsi="宋体" w:eastAsia="宋体" w:cs="宋体"/>
                <w:bCs/>
                <w:sz w:val="24"/>
                <w:szCs w:val="24"/>
              </w:rPr>
              <w:t>℃</w:t>
            </w:r>
          </w:p>
        </w:tc>
        <w:tc>
          <w:tcPr>
            <w:tcW w:w="1107" w:type="pct"/>
            <w:shd w:val="clear" w:color="auto" w:fill="auto"/>
            <w:vAlign w:val="center"/>
          </w:tcPr>
          <w:p w14:paraId="21418A8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15～35</w:t>
            </w:r>
          </w:p>
        </w:tc>
        <w:tc>
          <w:tcPr>
            <w:tcW w:w="1107" w:type="pct"/>
            <w:shd w:val="clear" w:color="auto" w:fill="auto"/>
            <w:vAlign w:val="center"/>
          </w:tcPr>
          <w:p w14:paraId="676D671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15～35</w:t>
            </w:r>
          </w:p>
        </w:tc>
        <w:tc>
          <w:tcPr>
            <w:tcW w:w="1527" w:type="pct"/>
            <w:shd w:val="clear" w:color="auto" w:fill="auto"/>
            <w:vAlign w:val="center"/>
          </w:tcPr>
          <w:p w14:paraId="229725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20～40</w:t>
            </w:r>
          </w:p>
        </w:tc>
      </w:tr>
      <w:tr w14:paraId="69B85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256" w:type="pct"/>
            <w:shd w:val="clear" w:color="auto" w:fill="auto"/>
            <w:vAlign w:val="center"/>
          </w:tcPr>
          <w:p w14:paraId="7BDDBEC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iCs/>
                <w:sz w:val="24"/>
                <w:szCs w:val="24"/>
              </w:rPr>
            </w:pPr>
            <w:r>
              <w:rPr>
                <w:rFonts w:hint="eastAsia" w:ascii="宋体" w:hAnsi="宋体" w:eastAsia="宋体" w:cs="宋体"/>
                <w:bCs/>
                <w:iCs/>
                <w:sz w:val="24"/>
                <w:szCs w:val="24"/>
              </w:rPr>
              <w:t>施工粘度（Pa·S）</w:t>
            </w:r>
          </w:p>
        </w:tc>
        <w:tc>
          <w:tcPr>
            <w:tcW w:w="1107" w:type="pct"/>
            <w:shd w:val="clear" w:color="auto" w:fill="auto"/>
            <w:vAlign w:val="center"/>
          </w:tcPr>
          <w:p w14:paraId="062C3A8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70～130</w:t>
            </w:r>
          </w:p>
        </w:tc>
        <w:tc>
          <w:tcPr>
            <w:tcW w:w="1107" w:type="pct"/>
            <w:shd w:val="clear" w:color="auto" w:fill="auto"/>
            <w:vAlign w:val="center"/>
          </w:tcPr>
          <w:p w14:paraId="7F94E8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40～75</w:t>
            </w:r>
          </w:p>
        </w:tc>
        <w:tc>
          <w:tcPr>
            <w:tcW w:w="1527" w:type="pct"/>
            <w:shd w:val="clear" w:color="auto" w:fill="auto"/>
            <w:vAlign w:val="center"/>
          </w:tcPr>
          <w:p w14:paraId="7EDCF0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19794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6" w:hRule="atLeast"/>
          <w:jc w:val="center"/>
        </w:trPr>
        <w:tc>
          <w:tcPr>
            <w:tcW w:w="1256" w:type="pct"/>
            <w:shd w:val="clear" w:color="auto" w:fill="auto"/>
            <w:vAlign w:val="center"/>
          </w:tcPr>
          <w:p w14:paraId="11DE0D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iCs/>
                <w:sz w:val="24"/>
                <w:szCs w:val="24"/>
              </w:rPr>
            </w:pPr>
            <w:r>
              <w:rPr>
                <w:rFonts w:hint="eastAsia" w:ascii="宋体" w:hAnsi="宋体" w:eastAsia="宋体" w:cs="宋体"/>
                <w:bCs/>
                <w:iCs/>
                <w:sz w:val="24"/>
                <w:szCs w:val="24"/>
              </w:rPr>
              <w:t>比热容【</w:t>
            </w:r>
            <w:r>
              <w:rPr>
                <w:rFonts w:hint="eastAsia" w:ascii="宋体" w:hAnsi="宋体" w:eastAsia="宋体" w:cs="宋体"/>
                <w:bCs/>
                <w:sz w:val="24"/>
                <w:szCs w:val="24"/>
              </w:rPr>
              <w:t>J/（kg·℃）】</w:t>
            </w:r>
          </w:p>
        </w:tc>
        <w:tc>
          <w:tcPr>
            <w:tcW w:w="1107" w:type="pct"/>
            <w:shd w:val="clear" w:color="auto" w:fill="auto"/>
            <w:vAlign w:val="center"/>
          </w:tcPr>
          <w:p w14:paraId="0CC23AE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900～1300</w:t>
            </w:r>
          </w:p>
        </w:tc>
        <w:tc>
          <w:tcPr>
            <w:tcW w:w="1107" w:type="pct"/>
            <w:shd w:val="clear" w:color="auto" w:fill="auto"/>
            <w:vAlign w:val="center"/>
          </w:tcPr>
          <w:p w14:paraId="41E7996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800～1200</w:t>
            </w:r>
          </w:p>
        </w:tc>
        <w:tc>
          <w:tcPr>
            <w:tcW w:w="1527" w:type="pct"/>
            <w:shd w:val="clear" w:color="auto" w:fill="auto"/>
            <w:vAlign w:val="center"/>
          </w:tcPr>
          <w:p w14:paraId="0AB383F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02F46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1" w:hRule="atLeast"/>
          <w:jc w:val="center"/>
        </w:trPr>
        <w:tc>
          <w:tcPr>
            <w:tcW w:w="1256" w:type="pct"/>
            <w:shd w:val="clear" w:color="auto" w:fill="auto"/>
            <w:vAlign w:val="center"/>
          </w:tcPr>
          <w:p w14:paraId="7F5EAE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iCs/>
                <w:sz w:val="24"/>
                <w:szCs w:val="24"/>
              </w:rPr>
              <w:t>施工固体份</w:t>
            </w:r>
            <w:r>
              <w:rPr>
                <w:rFonts w:hint="eastAsia" w:ascii="宋体" w:hAnsi="宋体" w:eastAsia="宋体" w:cs="宋体"/>
                <w:bCs/>
                <w:sz w:val="24"/>
                <w:szCs w:val="24"/>
              </w:rPr>
              <w:t>（%）</w:t>
            </w:r>
          </w:p>
        </w:tc>
        <w:tc>
          <w:tcPr>
            <w:tcW w:w="1107" w:type="pct"/>
            <w:shd w:val="clear" w:color="auto" w:fill="auto"/>
            <w:vAlign w:val="center"/>
          </w:tcPr>
          <w:p w14:paraId="209C30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≥98％</w:t>
            </w:r>
          </w:p>
        </w:tc>
        <w:tc>
          <w:tcPr>
            <w:tcW w:w="1107" w:type="pct"/>
            <w:shd w:val="clear" w:color="auto" w:fill="auto"/>
            <w:vAlign w:val="center"/>
          </w:tcPr>
          <w:p w14:paraId="2E15C39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≥96％</w:t>
            </w:r>
          </w:p>
        </w:tc>
        <w:tc>
          <w:tcPr>
            <w:tcW w:w="1527" w:type="pct"/>
            <w:shd w:val="clear" w:color="auto" w:fill="auto"/>
            <w:vAlign w:val="center"/>
          </w:tcPr>
          <w:p w14:paraId="33F434D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43±5％</w:t>
            </w:r>
          </w:p>
        </w:tc>
      </w:tr>
    </w:tbl>
    <w:p w14:paraId="24486D61">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注：</w:t>
      </w:r>
      <w:r>
        <w:rPr>
          <w:rFonts w:hint="eastAsia" w:ascii="宋体" w:hAnsi="宋体" w:cs="宋体"/>
          <w:lang w:eastAsia="zh-CN"/>
        </w:rPr>
        <w:t>投标人</w:t>
      </w:r>
      <w:r>
        <w:rPr>
          <w:rFonts w:hint="eastAsia" w:ascii="宋体" w:hAnsi="宋体" w:eastAsia="宋体" w:cs="宋体"/>
        </w:rPr>
        <w:t>系统应能满足以上涂料参数范围内的工艺要求。</w:t>
      </w:r>
    </w:p>
    <w:p w14:paraId="1C144C3C">
      <w:pPr>
        <w:pStyle w:val="5"/>
        <w:pageBreakBefore w:val="0"/>
        <w:numPr>
          <w:ilvl w:val="0"/>
          <w:numId w:val="0"/>
        </w:numPr>
        <w:kinsoku/>
        <w:wordWrap/>
        <w:topLinePunct w:val="0"/>
        <w:bidi w:val="0"/>
        <w:adjustRightInd w:val="0"/>
        <w:snapToGrid w:val="0"/>
        <w:spacing w:before="0" w:afterAutospacing="0" w:line="360" w:lineRule="auto"/>
        <w:ind w:leftChars="0"/>
        <w:rPr>
          <w:rFonts w:hint="eastAsia" w:ascii="宋体" w:hAnsi="宋体" w:eastAsia="宋体" w:cs="宋体"/>
          <w:sz w:val="24"/>
          <w:szCs w:val="24"/>
        </w:rPr>
      </w:pPr>
      <w:r>
        <w:rPr>
          <w:rFonts w:hint="eastAsia" w:ascii="宋体" w:hAnsi="宋体" w:eastAsia="宋体" w:cs="宋体"/>
          <w:sz w:val="24"/>
          <w:szCs w:val="24"/>
        </w:rPr>
        <w:t>出口参数</w:t>
      </w:r>
    </w:p>
    <w:tbl>
      <w:tblPr>
        <w:tblStyle w:val="4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300"/>
        <w:gridCol w:w="1374"/>
        <w:gridCol w:w="1251"/>
        <w:gridCol w:w="2011"/>
        <w:gridCol w:w="1612"/>
        <w:gridCol w:w="2096"/>
      </w:tblGrid>
      <w:tr w14:paraId="77B1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74" w:type="pct"/>
            <w:shd w:val="clear" w:color="auto" w:fill="auto"/>
            <w:vAlign w:val="center"/>
          </w:tcPr>
          <w:p w14:paraId="5F3DD13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涂料种类</w:t>
            </w:r>
          </w:p>
        </w:tc>
        <w:tc>
          <w:tcPr>
            <w:tcW w:w="712" w:type="pct"/>
            <w:shd w:val="clear" w:color="auto" w:fill="auto"/>
            <w:vAlign w:val="center"/>
          </w:tcPr>
          <w:p w14:paraId="212C84D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套数</w:t>
            </w:r>
          </w:p>
        </w:tc>
        <w:tc>
          <w:tcPr>
            <w:tcW w:w="648" w:type="pct"/>
            <w:shd w:val="clear" w:color="auto" w:fill="auto"/>
            <w:vAlign w:val="center"/>
          </w:tcPr>
          <w:p w14:paraId="504A78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枪站数</w:t>
            </w:r>
          </w:p>
        </w:tc>
        <w:tc>
          <w:tcPr>
            <w:tcW w:w="1042" w:type="pct"/>
            <w:shd w:val="clear" w:color="auto" w:fill="auto"/>
            <w:vAlign w:val="center"/>
          </w:tcPr>
          <w:p w14:paraId="1E963DE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流量</w:t>
            </w:r>
          </w:p>
        </w:tc>
        <w:tc>
          <w:tcPr>
            <w:tcW w:w="835" w:type="pct"/>
            <w:shd w:val="clear" w:color="auto" w:fill="auto"/>
            <w:vAlign w:val="center"/>
          </w:tcPr>
          <w:p w14:paraId="426A63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压力</w:t>
            </w:r>
          </w:p>
        </w:tc>
        <w:tc>
          <w:tcPr>
            <w:tcW w:w="1086" w:type="pct"/>
            <w:shd w:val="clear" w:color="auto" w:fill="auto"/>
            <w:vAlign w:val="center"/>
          </w:tcPr>
          <w:p w14:paraId="3CD73E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同时开枪率</w:t>
            </w:r>
          </w:p>
        </w:tc>
      </w:tr>
      <w:tr w14:paraId="33AB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74" w:type="pct"/>
            <w:tcBorders>
              <w:bottom w:val="single" w:color="000000" w:sz="4" w:space="0"/>
            </w:tcBorders>
            <w:shd w:val="clear" w:color="auto" w:fill="auto"/>
            <w:vAlign w:val="center"/>
          </w:tcPr>
          <w:p w14:paraId="6E1F03A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粗密封</w:t>
            </w:r>
          </w:p>
        </w:tc>
        <w:tc>
          <w:tcPr>
            <w:tcW w:w="712" w:type="pct"/>
            <w:vMerge w:val="restart"/>
            <w:shd w:val="clear" w:color="auto" w:fill="auto"/>
            <w:vAlign w:val="center"/>
          </w:tcPr>
          <w:p w14:paraId="0B1B7D63">
            <w:pPr>
              <w:pStyle w:val="15"/>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粗细密封、车底密封共</w:t>
            </w:r>
            <w:r>
              <w:rPr>
                <w:rFonts w:hint="eastAsia" w:ascii="宋体" w:hAnsi="宋体" w:eastAsia="宋体" w:cs="宋体"/>
                <w:sz w:val="24"/>
                <w:szCs w:val="24"/>
              </w:rPr>
              <w:t>1套，</w:t>
            </w:r>
            <w:r>
              <w:rPr>
                <w:rFonts w:hint="eastAsia" w:ascii="宋体" w:hAnsi="宋体" w:eastAsia="宋体" w:cs="宋体"/>
                <w:sz w:val="24"/>
                <w:szCs w:val="24"/>
                <w:lang w:val="en-US" w:eastAsia="zh-CN"/>
              </w:rPr>
              <w:t>PVC1套</w:t>
            </w:r>
            <w:r>
              <w:rPr>
                <w:rFonts w:hint="eastAsia" w:ascii="宋体" w:hAnsi="宋体" w:eastAsia="宋体" w:cs="宋体"/>
                <w:sz w:val="24"/>
                <w:szCs w:val="24"/>
              </w:rPr>
              <w:t>共计</w:t>
            </w:r>
            <w:r>
              <w:rPr>
                <w:rFonts w:hint="eastAsia" w:ascii="宋体" w:hAnsi="宋体" w:eastAsia="宋体" w:cs="宋体"/>
                <w:sz w:val="24"/>
                <w:szCs w:val="24"/>
                <w:lang w:val="en-US" w:eastAsia="zh-CN"/>
              </w:rPr>
              <w:t>2</w:t>
            </w:r>
            <w:r>
              <w:rPr>
                <w:rFonts w:hint="eastAsia" w:ascii="宋体" w:hAnsi="宋体" w:eastAsia="宋体" w:cs="宋体"/>
                <w:sz w:val="24"/>
                <w:szCs w:val="24"/>
              </w:rPr>
              <w:t>套</w:t>
            </w:r>
          </w:p>
        </w:tc>
        <w:tc>
          <w:tcPr>
            <w:tcW w:w="648" w:type="pct"/>
            <w:vMerge w:val="restart"/>
            <w:shd w:val="clear" w:color="auto" w:fill="auto"/>
            <w:vAlign w:val="center"/>
          </w:tcPr>
          <w:p w14:paraId="39715D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以实际设计为准</w:t>
            </w:r>
          </w:p>
        </w:tc>
        <w:tc>
          <w:tcPr>
            <w:tcW w:w="1042" w:type="pct"/>
            <w:shd w:val="clear" w:color="auto" w:fill="auto"/>
            <w:vAlign w:val="center"/>
          </w:tcPr>
          <w:p w14:paraId="18115A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500cc/min</w:t>
            </w:r>
          </w:p>
        </w:tc>
        <w:tc>
          <w:tcPr>
            <w:tcW w:w="835" w:type="pct"/>
            <w:vMerge w:val="restart"/>
            <w:shd w:val="clear" w:color="auto" w:fill="auto"/>
            <w:vAlign w:val="center"/>
          </w:tcPr>
          <w:p w14:paraId="3BB34C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大于200Bar</w:t>
            </w:r>
          </w:p>
        </w:tc>
        <w:tc>
          <w:tcPr>
            <w:tcW w:w="1086" w:type="pct"/>
            <w:shd w:val="clear" w:color="auto" w:fill="auto"/>
            <w:vAlign w:val="center"/>
          </w:tcPr>
          <w:p w14:paraId="464F48E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≥80%</w:t>
            </w:r>
          </w:p>
        </w:tc>
      </w:tr>
      <w:tr w14:paraId="715D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74" w:type="pct"/>
            <w:vMerge w:val="restart"/>
            <w:tcBorders>
              <w:top w:val="single" w:color="000000" w:sz="4" w:space="0"/>
            </w:tcBorders>
            <w:shd w:val="clear" w:color="auto" w:fill="auto"/>
            <w:vAlign w:val="center"/>
          </w:tcPr>
          <w:p w14:paraId="0340E0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车底密封</w:t>
            </w:r>
          </w:p>
        </w:tc>
        <w:tc>
          <w:tcPr>
            <w:tcW w:w="712" w:type="pct"/>
            <w:vMerge w:val="continue"/>
            <w:shd w:val="clear" w:color="auto" w:fill="auto"/>
            <w:vAlign w:val="center"/>
          </w:tcPr>
          <w:p w14:paraId="6FC926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648" w:type="pct"/>
            <w:vMerge w:val="continue"/>
            <w:shd w:val="clear" w:color="auto" w:fill="auto"/>
            <w:vAlign w:val="center"/>
          </w:tcPr>
          <w:p w14:paraId="2D3B19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42" w:type="pct"/>
            <w:shd w:val="clear" w:color="auto" w:fill="auto"/>
            <w:vAlign w:val="center"/>
          </w:tcPr>
          <w:p w14:paraId="5A738E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2000cc/min</w:t>
            </w:r>
          </w:p>
        </w:tc>
        <w:tc>
          <w:tcPr>
            <w:tcW w:w="835" w:type="pct"/>
            <w:vMerge w:val="continue"/>
            <w:shd w:val="clear" w:color="auto" w:fill="auto"/>
            <w:vAlign w:val="center"/>
          </w:tcPr>
          <w:p w14:paraId="3A48463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86" w:type="pct"/>
            <w:vMerge w:val="restart"/>
            <w:shd w:val="clear" w:color="auto" w:fill="auto"/>
            <w:vAlign w:val="center"/>
          </w:tcPr>
          <w:p w14:paraId="659900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100%</w:t>
            </w:r>
          </w:p>
        </w:tc>
      </w:tr>
      <w:tr w14:paraId="7A0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674" w:type="pct"/>
            <w:vMerge w:val="continue"/>
            <w:tcBorders>
              <w:bottom w:val="single" w:color="000000" w:sz="4" w:space="0"/>
            </w:tcBorders>
            <w:shd w:val="clear" w:color="auto" w:fill="auto"/>
            <w:vAlign w:val="center"/>
          </w:tcPr>
          <w:p w14:paraId="22A191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712" w:type="pct"/>
            <w:vMerge w:val="continue"/>
            <w:tcBorders>
              <w:bottom w:val="single" w:color="000000" w:sz="4" w:space="0"/>
            </w:tcBorders>
            <w:shd w:val="clear" w:color="auto" w:fill="auto"/>
            <w:vAlign w:val="center"/>
          </w:tcPr>
          <w:p w14:paraId="19B6C34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648" w:type="pct"/>
            <w:vMerge w:val="continue"/>
            <w:shd w:val="clear" w:color="auto" w:fill="auto"/>
            <w:vAlign w:val="center"/>
          </w:tcPr>
          <w:p w14:paraId="111861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42" w:type="pct"/>
            <w:shd w:val="clear" w:color="auto" w:fill="auto"/>
            <w:vAlign w:val="center"/>
          </w:tcPr>
          <w:p w14:paraId="1685FB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500cc/min</w:t>
            </w:r>
          </w:p>
        </w:tc>
        <w:tc>
          <w:tcPr>
            <w:tcW w:w="835" w:type="pct"/>
            <w:vMerge w:val="continue"/>
            <w:shd w:val="clear" w:color="auto" w:fill="auto"/>
            <w:vAlign w:val="center"/>
          </w:tcPr>
          <w:p w14:paraId="2290C59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86" w:type="pct"/>
            <w:vMerge w:val="continue"/>
            <w:shd w:val="clear" w:color="auto" w:fill="auto"/>
            <w:vAlign w:val="center"/>
          </w:tcPr>
          <w:p w14:paraId="198933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188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74" w:type="pct"/>
            <w:shd w:val="clear" w:color="auto" w:fill="auto"/>
            <w:vAlign w:val="center"/>
          </w:tcPr>
          <w:p w14:paraId="5B8B25D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细密封</w:t>
            </w:r>
          </w:p>
        </w:tc>
        <w:tc>
          <w:tcPr>
            <w:tcW w:w="712" w:type="pct"/>
            <w:vMerge w:val="continue"/>
            <w:shd w:val="clear" w:color="auto" w:fill="auto"/>
            <w:vAlign w:val="center"/>
          </w:tcPr>
          <w:p w14:paraId="00B9FC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648" w:type="pct"/>
            <w:vMerge w:val="continue"/>
            <w:shd w:val="clear" w:color="auto" w:fill="auto"/>
            <w:vAlign w:val="center"/>
          </w:tcPr>
          <w:p w14:paraId="3F3270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42" w:type="pct"/>
            <w:shd w:val="clear" w:color="auto" w:fill="auto"/>
            <w:vAlign w:val="center"/>
          </w:tcPr>
          <w:p w14:paraId="13B7F7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300cc/min</w:t>
            </w:r>
          </w:p>
        </w:tc>
        <w:tc>
          <w:tcPr>
            <w:tcW w:w="835" w:type="pct"/>
            <w:vMerge w:val="continue"/>
            <w:shd w:val="clear" w:color="auto" w:fill="auto"/>
            <w:vAlign w:val="center"/>
          </w:tcPr>
          <w:p w14:paraId="1762F4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86" w:type="pct"/>
            <w:shd w:val="clear" w:color="auto" w:fill="auto"/>
            <w:vAlign w:val="center"/>
          </w:tcPr>
          <w:p w14:paraId="318BDD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≥80%</w:t>
            </w:r>
          </w:p>
        </w:tc>
      </w:tr>
      <w:tr w14:paraId="559B8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74" w:type="pct"/>
            <w:vMerge w:val="restart"/>
            <w:shd w:val="clear" w:color="auto" w:fill="auto"/>
            <w:vAlign w:val="center"/>
          </w:tcPr>
          <w:p w14:paraId="60E3A87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车底喷涂</w:t>
            </w:r>
          </w:p>
        </w:tc>
        <w:tc>
          <w:tcPr>
            <w:tcW w:w="712" w:type="pct"/>
            <w:vMerge w:val="continue"/>
            <w:shd w:val="clear" w:color="auto" w:fill="auto"/>
            <w:vAlign w:val="center"/>
          </w:tcPr>
          <w:p w14:paraId="1CCF98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648" w:type="pct"/>
            <w:vMerge w:val="continue"/>
            <w:shd w:val="clear" w:color="auto" w:fill="auto"/>
            <w:vAlign w:val="center"/>
          </w:tcPr>
          <w:p w14:paraId="5CA390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42" w:type="pct"/>
            <w:shd w:val="clear" w:color="auto" w:fill="auto"/>
            <w:vAlign w:val="center"/>
          </w:tcPr>
          <w:p w14:paraId="2DC66F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1500cc/min</w:t>
            </w:r>
          </w:p>
        </w:tc>
        <w:tc>
          <w:tcPr>
            <w:tcW w:w="835" w:type="pct"/>
            <w:vMerge w:val="continue"/>
            <w:shd w:val="clear" w:color="auto" w:fill="auto"/>
            <w:vAlign w:val="center"/>
          </w:tcPr>
          <w:p w14:paraId="2317FA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86" w:type="pct"/>
            <w:vMerge w:val="restart"/>
            <w:shd w:val="clear" w:color="auto" w:fill="auto"/>
            <w:vAlign w:val="center"/>
          </w:tcPr>
          <w:p w14:paraId="1FA129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16C73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jc w:val="center"/>
        </w:trPr>
        <w:tc>
          <w:tcPr>
            <w:tcW w:w="674" w:type="pct"/>
            <w:vMerge w:val="continue"/>
            <w:shd w:val="clear" w:color="auto" w:fill="auto"/>
            <w:vAlign w:val="center"/>
          </w:tcPr>
          <w:p w14:paraId="4EDCFA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712" w:type="pct"/>
            <w:vMerge w:val="continue"/>
            <w:shd w:val="clear" w:color="auto" w:fill="auto"/>
            <w:vAlign w:val="center"/>
          </w:tcPr>
          <w:p w14:paraId="174C9C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648" w:type="pct"/>
            <w:vMerge w:val="continue"/>
            <w:shd w:val="clear" w:color="auto" w:fill="auto"/>
            <w:vAlign w:val="center"/>
          </w:tcPr>
          <w:p w14:paraId="7AD994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42" w:type="pct"/>
            <w:shd w:val="clear" w:color="auto" w:fill="auto"/>
            <w:vAlign w:val="center"/>
          </w:tcPr>
          <w:p w14:paraId="227F36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1500cc/min</w:t>
            </w:r>
          </w:p>
        </w:tc>
        <w:tc>
          <w:tcPr>
            <w:tcW w:w="835" w:type="pct"/>
            <w:vMerge w:val="continue"/>
            <w:shd w:val="clear" w:color="auto" w:fill="auto"/>
            <w:vAlign w:val="center"/>
          </w:tcPr>
          <w:p w14:paraId="70358C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86" w:type="pct"/>
            <w:vMerge w:val="continue"/>
            <w:shd w:val="clear" w:color="auto" w:fill="auto"/>
            <w:vAlign w:val="center"/>
          </w:tcPr>
          <w:p w14:paraId="6A7BC8D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E2CF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674" w:type="pct"/>
            <w:shd w:val="clear" w:color="auto" w:fill="auto"/>
            <w:vAlign w:val="center"/>
          </w:tcPr>
          <w:p w14:paraId="7764591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防锈蜡</w:t>
            </w:r>
          </w:p>
        </w:tc>
        <w:tc>
          <w:tcPr>
            <w:tcW w:w="712" w:type="pct"/>
            <w:shd w:val="clear" w:color="auto" w:fill="auto"/>
            <w:vAlign w:val="center"/>
          </w:tcPr>
          <w:p w14:paraId="4C4740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w:t>
            </w:r>
          </w:p>
        </w:tc>
        <w:tc>
          <w:tcPr>
            <w:tcW w:w="648" w:type="pct"/>
            <w:vMerge w:val="continue"/>
            <w:shd w:val="clear" w:color="auto" w:fill="auto"/>
            <w:vAlign w:val="center"/>
          </w:tcPr>
          <w:p w14:paraId="31B103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c>
          <w:tcPr>
            <w:tcW w:w="1042" w:type="pct"/>
            <w:shd w:val="clear" w:color="auto" w:fill="auto"/>
            <w:vAlign w:val="center"/>
          </w:tcPr>
          <w:p w14:paraId="67FCE30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1000cc/min</w:t>
            </w:r>
          </w:p>
        </w:tc>
        <w:tc>
          <w:tcPr>
            <w:tcW w:w="835" w:type="pct"/>
            <w:shd w:val="clear" w:color="auto" w:fill="auto"/>
            <w:vAlign w:val="center"/>
          </w:tcPr>
          <w:p w14:paraId="5ED25C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i/>
                <w:sz w:val="24"/>
                <w:szCs w:val="24"/>
              </w:rPr>
            </w:pPr>
            <w:r>
              <w:rPr>
                <w:rFonts w:hint="eastAsia" w:ascii="宋体" w:hAnsi="宋体" w:eastAsia="宋体" w:cs="宋体"/>
                <w:bCs/>
                <w:sz w:val="24"/>
                <w:szCs w:val="24"/>
              </w:rPr>
              <w:t>大于120Bar</w:t>
            </w:r>
          </w:p>
        </w:tc>
        <w:tc>
          <w:tcPr>
            <w:tcW w:w="1086" w:type="pct"/>
            <w:shd w:val="clear" w:color="auto" w:fill="auto"/>
            <w:vAlign w:val="center"/>
          </w:tcPr>
          <w:p w14:paraId="1C1290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100%</w:t>
            </w:r>
          </w:p>
        </w:tc>
      </w:tr>
    </w:tbl>
    <w:p w14:paraId="2B3DA5C4">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b/>
        </w:rPr>
        <w:t>注：</w:t>
      </w:r>
      <w:r>
        <w:rPr>
          <w:rFonts w:hint="eastAsia" w:ascii="宋体" w:hAnsi="宋体" w:cs="宋体"/>
          <w:b/>
          <w:lang w:eastAsia="zh-CN"/>
        </w:rPr>
        <w:t>投标人</w:t>
      </w:r>
      <w:r>
        <w:rPr>
          <w:rFonts w:hint="eastAsia" w:ascii="宋体" w:hAnsi="宋体" w:eastAsia="宋体" w:cs="宋体"/>
          <w:b/>
        </w:rPr>
        <w:t>设计系统应能满足工艺要求（以上枪站数量、涂料出口数依据现场为准）。</w:t>
      </w:r>
    </w:p>
    <w:p w14:paraId="5AA52B9E">
      <w:pPr>
        <w:pStyle w:val="4"/>
        <w:pageBreakBefore w:val="0"/>
        <w:numPr>
          <w:ilvl w:val="0"/>
          <w:numId w:val="14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系统配置及功能参数</w:t>
      </w:r>
    </w:p>
    <w:tbl>
      <w:tblPr>
        <w:tblStyle w:val="4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2415"/>
        <w:gridCol w:w="2984"/>
        <w:gridCol w:w="3185"/>
      </w:tblGrid>
      <w:tr w14:paraId="4B036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400F3B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序号</w:t>
            </w:r>
          </w:p>
        </w:tc>
        <w:tc>
          <w:tcPr>
            <w:tcW w:w="1251" w:type="pct"/>
            <w:shd w:val="clear" w:color="auto" w:fill="auto"/>
            <w:vAlign w:val="center"/>
          </w:tcPr>
          <w:p w14:paraId="23EDBBF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名称</w:t>
            </w:r>
          </w:p>
        </w:tc>
        <w:tc>
          <w:tcPr>
            <w:tcW w:w="3196" w:type="pct"/>
            <w:gridSpan w:val="2"/>
            <w:shd w:val="clear" w:color="auto" w:fill="auto"/>
            <w:noWrap/>
            <w:vAlign w:val="center"/>
          </w:tcPr>
          <w:p w14:paraId="5CD3497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配置</w:t>
            </w:r>
          </w:p>
        </w:tc>
      </w:tr>
      <w:tr w14:paraId="5811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52" w:type="pct"/>
            <w:shd w:val="clear" w:color="auto" w:fill="auto"/>
            <w:noWrap/>
            <w:vAlign w:val="center"/>
          </w:tcPr>
          <w:p w14:paraId="619D37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251" w:type="pct"/>
            <w:shd w:val="clear" w:color="auto" w:fill="auto"/>
            <w:vAlign w:val="center"/>
          </w:tcPr>
          <w:p w14:paraId="3034228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材料</w:t>
            </w:r>
          </w:p>
        </w:tc>
        <w:tc>
          <w:tcPr>
            <w:tcW w:w="1546" w:type="pct"/>
            <w:shd w:val="clear" w:color="auto" w:fill="auto"/>
            <w:noWrap/>
            <w:vAlign w:val="center"/>
          </w:tcPr>
          <w:p w14:paraId="6D9ADC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UBC</w:t>
            </w:r>
          </w:p>
        </w:tc>
        <w:tc>
          <w:tcPr>
            <w:tcW w:w="1649" w:type="pct"/>
            <w:shd w:val="clear" w:color="auto" w:fill="auto"/>
            <w:noWrap/>
            <w:vAlign w:val="center"/>
          </w:tcPr>
          <w:p w14:paraId="43CBB3F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rPr>
              <w:t>焊缝密封胶</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lang w:val="en-US" w:eastAsia="zh-CN"/>
              </w:rPr>
              <w:t>粗细、UBS</w:t>
            </w:r>
            <w:r>
              <w:rPr>
                <w:rFonts w:hint="eastAsia" w:ascii="宋体" w:hAnsi="宋体" w:eastAsia="宋体" w:cs="宋体"/>
                <w:color w:val="000000"/>
                <w:kern w:val="0"/>
                <w:sz w:val="24"/>
                <w:szCs w:val="24"/>
                <w:lang w:eastAsia="zh-CN"/>
              </w:rPr>
              <w:t>）</w:t>
            </w:r>
          </w:p>
        </w:tc>
      </w:tr>
      <w:tr w14:paraId="353D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1ED88F7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251" w:type="pct"/>
            <w:shd w:val="clear" w:color="auto" w:fill="auto"/>
            <w:noWrap/>
            <w:vAlign w:val="center"/>
          </w:tcPr>
          <w:p w14:paraId="5FC14D5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系统数量</w:t>
            </w:r>
          </w:p>
        </w:tc>
        <w:tc>
          <w:tcPr>
            <w:tcW w:w="1546" w:type="pct"/>
            <w:shd w:val="clear" w:color="auto" w:fill="auto"/>
            <w:noWrap/>
            <w:vAlign w:val="center"/>
          </w:tcPr>
          <w:p w14:paraId="2DF3C1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1套</w:t>
            </w:r>
          </w:p>
        </w:tc>
        <w:tc>
          <w:tcPr>
            <w:tcW w:w="1649" w:type="pct"/>
            <w:shd w:val="clear" w:color="auto" w:fill="auto"/>
            <w:noWrap/>
            <w:vAlign w:val="center"/>
          </w:tcPr>
          <w:p w14:paraId="44FDB56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auto"/>
                <w:kern w:val="0"/>
                <w:sz w:val="24"/>
                <w:szCs w:val="24"/>
              </w:rPr>
              <w:t>1套</w:t>
            </w:r>
          </w:p>
        </w:tc>
      </w:tr>
      <w:tr w14:paraId="4C8E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47B52A9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251" w:type="pct"/>
            <w:shd w:val="clear" w:color="auto" w:fill="auto"/>
            <w:noWrap/>
            <w:vAlign w:val="center"/>
          </w:tcPr>
          <w:p w14:paraId="1019684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供给方式</w:t>
            </w:r>
          </w:p>
        </w:tc>
        <w:tc>
          <w:tcPr>
            <w:tcW w:w="1546" w:type="pct"/>
            <w:shd w:val="clear" w:color="auto" w:fill="auto"/>
            <w:noWrap/>
            <w:vAlign w:val="center"/>
          </w:tcPr>
          <w:p w14:paraId="1C52186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一级</w:t>
            </w:r>
          </w:p>
        </w:tc>
        <w:tc>
          <w:tcPr>
            <w:tcW w:w="1649" w:type="pct"/>
            <w:shd w:val="clear" w:color="auto" w:fill="auto"/>
            <w:noWrap/>
            <w:vAlign w:val="center"/>
          </w:tcPr>
          <w:p w14:paraId="6AF08C3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一级</w:t>
            </w:r>
          </w:p>
        </w:tc>
      </w:tr>
      <w:tr w14:paraId="0E12D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789FAC9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251" w:type="pct"/>
            <w:shd w:val="clear" w:color="auto" w:fill="auto"/>
            <w:noWrap/>
            <w:vAlign w:val="center"/>
          </w:tcPr>
          <w:p w14:paraId="1817D8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循环方式</w:t>
            </w:r>
          </w:p>
        </w:tc>
        <w:tc>
          <w:tcPr>
            <w:tcW w:w="1546" w:type="pct"/>
            <w:shd w:val="clear" w:color="auto" w:fill="auto"/>
            <w:noWrap/>
            <w:vAlign w:val="center"/>
          </w:tcPr>
          <w:p w14:paraId="26891A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盲端</w:t>
            </w:r>
          </w:p>
        </w:tc>
        <w:tc>
          <w:tcPr>
            <w:tcW w:w="1649" w:type="pct"/>
            <w:shd w:val="clear" w:color="auto" w:fill="auto"/>
            <w:noWrap/>
            <w:vAlign w:val="center"/>
          </w:tcPr>
          <w:p w14:paraId="008B4DF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盲端</w:t>
            </w:r>
          </w:p>
        </w:tc>
      </w:tr>
      <w:tr w14:paraId="4074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79A3AF7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251" w:type="pct"/>
            <w:shd w:val="clear" w:color="auto" w:fill="auto"/>
            <w:noWrap/>
            <w:vAlign w:val="center"/>
          </w:tcPr>
          <w:p w14:paraId="6B66B19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一级泵</w:t>
            </w:r>
          </w:p>
        </w:tc>
        <w:tc>
          <w:tcPr>
            <w:tcW w:w="1546" w:type="pct"/>
            <w:shd w:val="clear" w:color="auto" w:fill="auto"/>
            <w:noWrap/>
            <w:vAlign w:val="center"/>
          </w:tcPr>
          <w:p w14:paraId="28D647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55加仑</w:t>
            </w:r>
          </w:p>
        </w:tc>
        <w:tc>
          <w:tcPr>
            <w:tcW w:w="1649" w:type="pct"/>
            <w:shd w:val="clear" w:color="auto" w:fill="auto"/>
            <w:noWrap/>
            <w:vAlign w:val="center"/>
          </w:tcPr>
          <w:p w14:paraId="5D57180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55加仑</w:t>
            </w:r>
          </w:p>
        </w:tc>
      </w:tr>
      <w:tr w14:paraId="78B1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27D0DCE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251" w:type="pct"/>
            <w:shd w:val="clear" w:color="auto" w:fill="auto"/>
            <w:noWrap/>
            <w:vAlign w:val="center"/>
          </w:tcPr>
          <w:p w14:paraId="580108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一级泵数量</w:t>
            </w:r>
          </w:p>
        </w:tc>
        <w:tc>
          <w:tcPr>
            <w:tcW w:w="1546" w:type="pct"/>
            <w:shd w:val="clear" w:color="auto" w:fill="auto"/>
            <w:noWrap/>
            <w:vAlign w:val="center"/>
          </w:tcPr>
          <w:p w14:paraId="3673E38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2</w:t>
            </w:r>
          </w:p>
        </w:tc>
        <w:tc>
          <w:tcPr>
            <w:tcW w:w="1649" w:type="pct"/>
            <w:shd w:val="clear" w:color="auto" w:fill="auto"/>
            <w:noWrap/>
            <w:vAlign w:val="center"/>
          </w:tcPr>
          <w:p w14:paraId="168CE94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2</w:t>
            </w:r>
          </w:p>
        </w:tc>
      </w:tr>
      <w:tr w14:paraId="4E786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470071F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251" w:type="pct"/>
            <w:shd w:val="clear" w:color="auto" w:fill="auto"/>
            <w:noWrap/>
            <w:vAlign w:val="center"/>
          </w:tcPr>
          <w:p w14:paraId="6B8C937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泵出口过滤器</w:t>
            </w:r>
          </w:p>
        </w:tc>
        <w:tc>
          <w:tcPr>
            <w:tcW w:w="1546" w:type="pct"/>
            <w:shd w:val="clear" w:color="auto" w:fill="auto"/>
            <w:noWrap/>
            <w:vAlign w:val="center"/>
          </w:tcPr>
          <w:p w14:paraId="6E6078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双过滤</w:t>
            </w:r>
          </w:p>
        </w:tc>
        <w:tc>
          <w:tcPr>
            <w:tcW w:w="1649" w:type="pct"/>
            <w:shd w:val="clear" w:color="auto" w:fill="auto"/>
            <w:noWrap/>
            <w:vAlign w:val="center"/>
          </w:tcPr>
          <w:p w14:paraId="4B2ED1D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双过滤</w:t>
            </w:r>
          </w:p>
        </w:tc>
      </w:tr>
      <w:tr w14:paraId="4753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15ECCA1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251" w:type="pct"/>
            <w:shd w:val="clear" w:color="auto" w:fill="auto"/>
            <w:noWrap/>
            <w:vAlign w:val="center"/>
          </w:tcPr>
          <w:p w14:paraId="5708AAB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二级泵</w:t>
            </w:r>
          </w:p>
        </w:tc>
        <w:tc>
          <w:tcPr>
            <w:tcW w:w="1546" w:type="pct"/>
            <w:shd w:val="clear" w:color="auto" w:fill="auto"/>
            <w:noWrap/>
            <w:vAlign w:val="center"/>
          </w:tcPr>
          <w:p w14:paraId="1C3EB4B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w:t>
            </w:r>
          </w:p>
        </w:tc>
        <w:tc>
          <w:tcPr>
            <w:tcW w:w="1649" w:type="pct"/>
            <w:shd w:val="clear" w:color="auto" w:fill="auto"/>
            <w:noWrap/>
            <w:vAlign w:val="center"/>
          </w:tcPr>
          <w:p w14:paraId="1EBF936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w:t>
            </w:r>
          </w:p>
        </w:tc>
      </w:tr>
      <w:tr w14:paraId="0F16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210FA26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251" w:type="pct"/>
            <w:shd w:val="clear" w:color="auto" w:fill="auto"/>
            <w:noWrap/>
            <w:vAlign w:val="center"/>
          </w:tcPr>
          <w:p w14:paraId="1917D8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加热方式</w:t>
            </w:r>
          </w:p>
        </w:tc>
        <w:tc>
          <w:tcPr>
            <w:tcW w:w="1546" w:type="pct"/>
            <w:shd w:val="clear" w:color="auto" w:fill="auto"/>
            <w:noWrap/>
            <w:vAlign w:val="center"/>
          </w:tcPr>
          <w:p w14:paraId="00F5C65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管路伴热</w:t>
            </w:r>
          </w:p>
        </w:tc>
        <w:tc>
          <w:tcPr>
            <w:tcW w:w="1649" w:type="pct"/>
            <w:shd w:val="clear" w:color="auto" w:fill="auto"/>
            <w:noWrap/>
            <w:vAlign w:val="center"/>
          </w:tcPr>
          <w:p w14:paraId="269C47B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管路伴热</w:t>
            </w:r>
          </w:p>
        </w:tc>
      </w:tr>
      <w:tr w14:paraId="0DBE9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64845C3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251" w:type="pct"/>
            <w:shd w:val="clear" w:color="auto" w:fill="auto"/>
            <w:noWrap/>
            <w:vAlign w:val="center"/>
          </w:tcPr>
          <w:p w14:paraId="4AC5B2D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连接方式</w:t>
            </w:r>
          </w:p>
        </w:tc>
        <w:tc>
          <w:tcPr>
            <w:tcW w:w="1546" w:type="pct"/>
            <w:shd w:val="clear" w:color="auto" w:fill="auto"/>
            <w:noWrap/>
            <w:vAlign w:val="center"/>
          </w:tcPr>
          <w:p w14:paraId="2AF45B9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焊接和法兰</w:t>
            </w:r>
          </w:p>
        </w:tc>
        <w:tc>
          <w:tcPr>
            <w:tcW w:w="1649" w:type="pct"/>
            <w:shd w:val="clear" w:color="auto" w:fill="auto"/>
            <w:noWrap/>
            <w:vAlign w:val="center"/>
          </w:tcPr>
          <w:p w14:paraId="5B6569E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焊接和法兰</w:t>
            </w:r>
          </w:p>
        </w:tc>
      </w:tr>
      <w:tr w14:paraId="6D18C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26222A3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251" w:type="pct"/>
            <w:shd w:val="clear" w:color="auto" w:fill="auto"/>
            <w:noWrap/>
            <w:vAlign w:val="center"/>
          </w:tcPr>
          <w:p w14:paraId="06F24CE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枪站数</w:t>
            </w:r>
          </w:p>
        </w:tc>
        <w:tc>
          <w:tcPr>
            <w:tcW w:w="1546" w:type="pct"/>
            <w:shd w:val="clear" w:color="auto" w:fill="auto"/>
            <w:noWrap/>
            <w:vAlign w:val="center"/>
          </w:tcPr>
          <w:p w14:paraId="2C9909E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4手动</w:t>
            </w:r>
          </w:p>
        </w:tc>
        <w:tc>
          <w:tcPr>
            <w:tcW w:w="1649" w:type="pct"/>
            <w:shd w:val="clear" w:color="auto" w:fill="auto"/>
            <w:noWrap/>
            <w:vAlign w:val="center"/>
          </w:tcPr>
          <w:p w14:paraId="2B283CB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16手动</w:t>
            </w:r>
          </w:p>
        </w:tc>
      </w:tr>
      <w:tr w14:paraId="0465B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14D0DA0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1251" w:type="pct"/>
            <w:shd w:val="clear" w:color="auto" w:fill="auto"/>
            <w:noWrap/>
            <w:vAlign w:val="center"/>
          </w:tcPr>
          <w:p w14:paraId="75BE2FE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枪站过滤器</w:t>
            </w:r>
          </w:p>
        </w:tc>
        <w:tc>
          <w:tcPr>
            <w:tcW w:w="1546" w:type="pct"/>
            <w:shd w:val="clear" w:color="auto" w:fill="auto"/>
            <w:noWrap/>
            <w:vAlign w:val="center"/>
          </w:tcPr>
          <w:p w14:paraId="742337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有</w:t>
            </w:r>
          </w:p>
        </w:tc>
        <w:tc>
          <w:tcPr>
            <w:tcW w:w="1649" w:type="pct"/>
            <w:shd w:val="clear" w:color="auto" w:fill="auto"/>
            <w:noWrap/>
            <w:vAlign w:val="center"/>
          </w:tcPr>
          <w:p w14:paraId="4A61EE0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有</w:t>
            </w:r>
          </w:p>
        </w:tc>
      </w:tr>
      <w:tr w14:paraId="446F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552" w:type="pct"/>
            <w:shd w:val="clear" w:color="auto" w:fill="auto"/>
            <w:noWrap/>
            <w:vAlign w:val="center"/>
          </w:tcPr>
          <w:p w14:paraId="3186F02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251" w:type="pct"/>
            <w:shd w:val="clear" w:color="auto" w:fill="auto"/>
            <w:noWrap/>
            <w:vAlign w:val="center"/>
          </w:tcPr>
          <w:p w14:paraId="03EB4EA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枪站调压器</w:t>
            </w:r>
          </w:p>
        </w:tc>
        <w:tc>
          <w:tcPr>
            <w:tcW w:w="1546" w:type="pct"/>
            <w:shd w:val="clear" w:color="auto" w:fill="auto"/>
            <w:noWrap/>
            <w:vAlign w:val="center"/>
          </w:tcPr>
          <w:p w14:paraId="07351B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有</w:t>
            </w:r>
          </w:p>
        </w:tc>
        <w:tc>
          <w:tcPr>
            <w:tcW w:w="1649" w:type="pct"/>
            <w:shd w:val="clear" w:color="auto" w:fill="auto"/>
            <w:noWrap/>
            <w:vAlign w:val="center"/>
          </w:tcPr>
          <w:p w14:paraId="7B648C8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有</w:t>
            </w:r>
          </w:p>
        </w:tc>
      </w:tr>
      <w:tr w14:paraId="1260C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552" w:type="pct"/>
            <w:shd w:val="clear" w:color="auto" w:fill="auto"/>
            <w:noWrap/>
            <w:vAlign w:val="center"/>
          </w:tcPr>
          <w:p w14:paraId="73EBE17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1251" w:type="pct"/>
            <w:shd w:val="clear" w:color="auto" w:fill="auto"/>
            <w:noWrap/>
            <w:vAlign w:val="center"/>
          </w:tcPr>
          <w:p w14:paraId="6583489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高压胶管和活接</w:t>
            </w:r>
          </w:p>
        </w:tc>
        <w:tc>
          <w:tcPr>
            <w:tcW w:w="1546" w:type="pct"/>
            <w:shd w:val="clear" w:color="auto" w:fill="auto"/>
            <w:noWrap/>
            <w:vAlign w:val="center"/>
          </w:tcPr>
          <w:p w14:paraId="73CE4F0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4套</w:t>
            </w:r>
          </w:p>
        </w:tc>
        <w:tc>
          <w:tcPr>
            <w:tcW w:w="1649" w:type="pct"/>
            <w:shd w:val="clear" w:color="auto" w:fill="auto"/>
            <w:noWrap/>
            <w:vAlign w:val="center"/>
          </w:tcPr>
          <w:p w14:paraId="291621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4套</w:t>
            </w:r>
          </w:p>
        </w:tc>
      </w:tr>
      <w:tr w14:paraId="1213A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552" w:type="pct"/>
            <w:shd w:val="clear" w:color="auto" w:fill="auto"/>
            <w:noWrap/>
            <w:vAlign w:val="center"/>
          </w:tcPr>
          <w:p w14:paraId="0CB55F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1251" w:type="pct"/>
            <w:shd w:val="clear" w:color="auto" w:fill="auto"/>
            <w:noWrap/>
            <w:vAlign w:val="center"/>
          </w:tcPr>
          <w:p w14:paraId="5D75360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手动枪</w:t>
            </w:r>
          </w:p>
        </w:tc>
        <w:tc>
          <w:tcPr>
            <w:tcW w:w="1546" w:type="pct"/>
            <w:shd w:val="clear" w:color="auto" w:fill="auto"/>
            <w:vAlign w:val="center"/>
          </w:tcPr>
          <w:p w14:paraId="02193D1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无气喷枪243283</w:t>
            </w:r>
          </w:p>
        </w:tc>
        <w:tc>
          <w:tcPr>
            <w:tcW w:w="1649" w:type="pct"/>
            <w:shd w:val="clear" w:color="auto" w:fill="auto"/>
            <w:vAlign w:val="center"/>
          </w:tcPr>
          <w:p w14:paraId="02905AE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无气喷枪243283</w:t>
            </w:r>
          </w:p>
        </w:tc>
      </w:tr>
    </w:tbl>
    <w:p w14:paraId="78A0D7B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b/>
        </w:rPr>
        <w:t>注: 各工位二级泵</w:t>
      </w:r>
      <w:r>
        <w:rPr>
          <w:rFonts w:hint="eastAsia" w:ascii="宋体" w:hAnsi="宋体" w:cs="宋体"/>
          <w:b/>
          <w:lang w:eastAsia="zh-CN"/>
        </w:rPr>
        <w:t>投标人</w:t>
      </w:r>
      <w:r>
        <w:rPr>
          <w:rFonts w:hint="eastAsia" w:ascii="宋体" w:hAnsi="宋体" w:eastAsia="宋体" w:cs="宋体"/>
          <w:b/>
        </w:rPr>
        <w:t>要根据管路压力计算是否需要,并告知</w:t>
      </w:r>
      <w:r>
        <w:rPr>
          <w:rFonts w:hint="eastAsia" w:ascii="宋体" w:hAnsi="宋体" w:cs="宋体"/>
          <w:b/>
          <w:lang w:eastAsia="zh-CN"/>
        </w:rPr>
        <w:t>招标人</w:t>
      </w:r>
      <w:r>
        <w:rPr>
          <w:rFonts w:hint="eastAsia" w:ascii="宋体" w:hAnsi="宋体" w:eastAsia="宋体" w:cs="宋体"/>
          <w:b/>
        </w:rPr>
        <w:t>。</w:t>
      </w:r>
    </w:p>
    <w:p w14:paraId="1A244888">
      <w:pPr>
        <w:pStyle w:val="4"/>
        <w:pageBreakBefore w:val="0"/>
        <w:numPr>
          <w:ilvl w:val="0"/>
          <w:numId w:val="14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供胶系统</w:t>
      </w:r>
    </w:p>
    <w:p w14:paraId="44D90B3A">
      <w:pPr>
        <w:pStyle w:val="17"/>
        <w:pageBreakBefore w:val="0"/>
        <w:numPr>
          <w:ilvl w:val="0"/>
          <w:numId w:val="14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基本要求</w:t>
      </w:r>
    </w:p>
    <w:p w14:paraId="5183394F">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系统能实现各罐自动切换、空打保护、温度控制、高压保护及集中供胶等功能。</w:t>
      </w:r>
    </w:p>
    <w:p w14:paraId="0791F415">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系统的设计充分考虑系统内出胶点位置、输送管路管径及长度、胶体粘度、施工压力及流量等各方面因素，保证整个系统满足</w:t>
      </w:r>
      <w:r>
        <w:rPr>
          <w:rFonts w:hint="eastAsia" w:ascii="宋体" w:hAnsi="宋体" w:cs="宋体"/>
          <w:lang w:eastAsia="zh-CN"/>
        </w:rPr>
        <w:t>招标人</w:t>
      </w:r>
      <w:r>
        <w:rPr>
          <w:rFonts w:hint="eastAsia" w:ascii="宋体" w:hAnsi="宋体" w:eastAsia="宋体" w:cs="宋体"/>
        </w:rPr>
        <w:t>现场工况环境及涂胶施工工艺要求。可根据现场情况及工艺要求快速调整系统参数，保证整个系统的压力及流量。</w:t>
      </w:r>
    </w:p>
    <w:p w14:paraId="22B2C21D">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确保胶体温度、粘度的均一性，保证现场涂胶施工及胶型的工艺要求。</w:t>
      </w:r>
    </w:p>
    <w:p w14:paraId="57685EE0">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满足所有胶体出口同时满负荷工作的涂料压力及流量要求。</w:t>
      </w:r>
    </w:p>
    <w:p w14:paraId="32B9BF61">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机器人供胶系统需配备增压泵或其它方式来考虑压力损失风险。</w:t>
      </w:r>
    </w:p>
    <w:p w14:paraId="743BCA3F">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系统采用伴热带控制管路温度。</w:t>
      </w:r>
    </w:p>
    <w:p w14:paraId="28C2C3E5">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供胶系统本身应符合相关防火、防爆、防静电规定。</w:t>
      </w:r>
    </w:p>
    <w:p w14:paraId="24470A71">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所有设备、枪站出口、按钮等需要识别的位置，均需配置耐腐蚀的铭牌。</w:t>
      </w:r>
    </w:p>
    <w:p w14:paraId="6C6B29AF">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所有设备和资料计量单位应采用国际标准。</w:t>
      </w:r>
    </w:p>
    <w:p w14:paraId="0A07361A">
      <w:pPr>
        <w:pStyle w:val="17"/>
        <w:pageBreakBefore w:val="0"/>
        <w:numPr>
          <w:ilvl w:val="0"/>
          <w:numId w:val="1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供胶系统每套模组都配备滚排和夹桶器。</w:t>
      </w:r>
    </w:p>
    <w:p w14:paraId="39CD5BD2">
      <w:pPr>
        <w:pStyle w:val="17"/>
        <w:keepNext w:val="0"/>
        <w:keepLines w:val="0"/>
        <w:pageBreakBefore w:val="0"/>
        <w:widowControl w:val="0"/>
        <w:numPr>
          <w:ilvl w:val="0"/>
          <w:numId w:val="148"/>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一级泵切换：系统须具有自动各桶切换功能，以保证连续生产。当胶桶出现低液位时，系统自动将泵切断，并同时启动备用泵完成泵间切换，并同时发出声光报警，提醒操作人员换空桶料。若所有桶同时出现空打的情况，系统会自动关闭，并发出报警，提醒操作人员立即更换材料桶。为方便更换胶桶，系统供应商应随机配备材料桶底滚板，滚板的具体样式和材质由系统供应商设计，经</w:t>
      </w:r>
      <w:r>
        <w:rPr>
          <w:rFonts w:hint="eastAsia" w:ascii="宋体" w:hAnsi="宋体" w:cs="宋体"/>
          <w:lang w:eastAsia="zh-CN"/>
        </w:rPr>
        <w:t>招标人</w:t>
      </w:r>
      <w:r>
        <w:rPr>
          <w:rFonts w:hint="eastAsia" w:ascii="宋体" w:hAnsi="宋体" w:eastAsia="宋体" w:cs="宋体"/>
        </w:rPr>
        <w:t>确认后方可使用。</w:t>
      </w:r>
    </w:p>
    <w:p w14:paraId="602E17CD">
      <w:pPr>
        <w:pStyle w:val="17"/>
        <w:keepNext w:val="0"/>
        <w:keepLines w:val="0"/>
        <w:pageBreakBefore w:val="0"/>
        <w:widowControl w:val="0"/>
        <w:numPr>
          <w:ilvl w:val="0"/>
          <w:numId w:val="148"/>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双过滤器：焊缝密封、PVC的一级系统均配置高压双过滤器，保证系统在不停机的状态下更换高压滤芯。</w:t>
      </w:r>
    </w:p>
    <w:p w14:paraId="6D11C195">
      <w:pPr>
        <w:pStyle w:val="17"/>
        <w:keepNext w:val="0"/>
        <w:keepLines w:val="0"/>
        <w:pageBreakBefore w:val="0"/>
        <w:widowControl w:val="0"/>
        <w:numPr>
          <w:ilvl w:val="0"/>
          <w:numId w:val="148"/>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输胶管道 ：系统管件采用高压无缝碳钢材料，管道连接采用法兰结构或焊接连接，每个枪站支管应设置可拆卸连接点。系统制作经过除油及降低流阻处理，使管内流畅、清洁。另外，所有管路的制作、固定、支撑等须遵循《工业金属管道工程施工及验收规范》GB 50235—97。</w:t>
      </w:r>
    </w:p>
    <w:p w14:paraId="4E289EB7">
      <w:pPr>
        <w:pStyle w:val="17"/>
        <w:pageBreakBefore w:val="0"/>
        <w:numPr>
          <w:ilvl w:val="0"/>
          <w:numId w:val="14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枪站要求</w:t>
      </w:r>
    </w:p>
    <w:p w14:paraId="736CD563">
      <w:pPr>
        <w:pStyle w:val="17"/>
        <w:pageBreakBefore w:val="0"/>
        <w:numPr>
          <w:ilvl w:val="0"/>
          <w:numId w:val="15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每个涂料出口均可得到连续稳定的涂料压力（压力可调）和流量，其中手动枪站采用盲端形式。</w:t>
      </w:r>
    </w:p>
    <w:p w14:paraId="62730480">
      <w:pPr>
        <w:pStyle w:val="17"/>
        <w:pageBreakBefore w:val="0"/>
        <w:numPr>
          <w:ilvl w:val="0"/>
          <w:numId w:val="15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每个自动枪站采用循环形式，供胶系统提供到隔壁球阀；从隔壁球阀到机器人喷胶枪的管路及管路附件由机器人方提供，附件中必须配置过滤器和压力表。</w:t>
      </w:r>
    </w:p>
    <w:p w14:paraId="26670133">
      <w:pPr>
        <w:pStyle w:val="17"/>
        <w:pageBreakBefore w:val="0"/>
        <w:numPr>
          <w:ilvl w:val="0"/>
          <w:numId w:val="15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每个密封胶手动出口包括：一个高压球阀、一个高压过滤器、一个高压流体调压器、一块高压压力表、一根7.5m高压软管，一个万向接头、一只手动涂胶枪和一套吊挂滑轨、挂枪枪架。</w:t>
      </w:r>
    </w:p>
    <w:p w14:paraId="518BC540">
      <w:pPr>
        <w:pStyle w:val="17"/>
        <w:pageBreakBefore w:val="0"/>
        <w:numPr>
          <w:ilvl w:val="0"/>
          <w:numId w:val="15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PVC和裙边胶手动枪站采用盲端形式，每个胶出口主要包括：一个高压球阀、一个高压过滤器、一个高压流体调压器、一块高压压力表、一根7.5m高压软管，一个万向接头、一只手动喷胶枪和一套吊挂滑轨、挂枪枪架。PVC喷胶系统自动枪站调压器采用气动式，喷胶室（包括车底密封与车底防石击）枪站调压器采用气动式。</w:t>
      </w:r>
    </w:p>
    <w:p w14:paraId="67CD6610">
      <w:pPr>
        <w:pStyle w:val="17"/>
        <w:pageBreakBefore w:val="0"/>
        <w:numPr>
          <w:ilvl w:val="0"/>
          <w:numId w:val="14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手工胶枪</w:t>
      </w:r>
    </w:p>
    <w:p w14:paraId="1A2D7F13">
      <w:pPr>
        <w:pStyle w:val="17"/>
        <w:pageBreakBefore w:val="0"/>
        <w:numPr>
          <w:ilvl w:val="0"/>
          <w:numId w:val="15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PVC喷胶枪须能实现反向去污功能，即无须拆卸喷枪，可直接排出污物，喷嘴（PVC）由</w:t>
      </w:r>
      <w:r>
        <w:rPr>
          <w:rFonts w:hint="eastAsia" w:ascii="宋体" w:hAnsi="宋体" w:cs="宋体"/>
          <w:lang w:eastAsia="zh-CN"/>
        </w:rPr>
        <w:t>投标人</w:t>
      </w:r>
      <w:r>
        <w:rPr>
          <w:rFonts w:hint="eastAsia" w:ascii="宋体" w:hAnsi="宋体" w:eastAsia="宋体" w:cs="宋体"/>
        </w:rPr>
        <w:t>设计选型，如现场调试效果不能达到工艺要求，</w:t>
      </w:r>
      <w:r>
        <w:rPr>
          <w:rFonts w:hint="eastAsia" w:ascii="宋体" w:hAnsi="宋体" w:cs="宋体"/>
          <w:lang w:eastAsia="zh-CN"/>
        </w:rPr>
        <w:t>投标人</w:t>
      </w:r>
      <w:r>
        <w:rPr>
          <w:rFonts w:hint="eastAsia" w:ascii="宋体" w:hAnsi="宋体" w:eastAsia="宋体" w:cs="宋体"/>
        </w:rPr>
        <w:t>须负责无偿更换，直至达到</w:t>
      </w:r>
      <w:r>
        <w:rPr>
          <w:rFonts w:hint="eastAsia" w:ascii="宋体" w:hAnsi="宋体" w:cs="宋体"/>
          <w:lang w:eastAsia="zh-CN"/>
        </w:rPr>
        <w:t>招标人</w:t>
      </w:r>
      <w:r>
        <w:rPr>
          <w:rFonts w:hint="eastAsia" w:ascii="宋体" w:hAnsi="宋体" w:eastAsia="宋体" w:cs="宋体"/>
        </w:rPr>
        <w:t>要求。</w:t>
      </w:r>
    </w:p>
    <w:p w14:paraId="5E44C94E">
      <w:pPr>
        <w:pStyle w:val="17"/>
        <w:pageBreakBefore w:val="0"/>
        <w:numPr>
          <w:ilvl w:val="0"/>
          <w:numId w:val="15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焊缝密封胶枪每把枪各配挤胶嘴2个，具体结构由</w:t>
      </w:r>
      <w:r>
        <w:rPr>
          <w:rFonts w:hint="eastAsia" w:ascii="宋体" w:hAnsi="宋体" w:cs="宋体"/>
          <w:lang w:eastAsia="zh-CN"/>
        </w:rPr>
        <w:t>投标人</w:t>
      </w:r>
      <w:r>
        <w:rPr>
          <w:rFonts w:hint="eastAsia" w:ascii="宋体" w:hAnsi="宋体" w:eastAsia="宋体" w:cs="宋体"/>
        </w:rPr>
        <w:t>根据现场车型进行设计，</w:t>
      </w:r>
      <w:r>
        <w:rPr>
          <w:rFonts w:hint="eastAsia" w:ascii="宋体" w:hAnsi="宋体" w:cs="宋体"/>
          <w:lang w:eastAsia="zh-CN"/>
        </w:rPr>
        <w:t>招标人</w:t>
      </w:r>
      <w:r>
        <w:rPr>
          <w:rFonts w:hint="eastAsia" w:ascii="宋体" w:hAnsi="宋体" w:eastAsia="宋体" w:cs="宋体"/>
        </w:rPr>
        <w:t>确认后进行制造。</w:t>
      </w:r>
    </w:p>
    <w:p w14:paraId="435D3A91">
      <w:pPr>
        <w:pStyle w:val="17"/>
        <w:pageBreakBefore w:val="0"/>
        <w:numPr>
          <w:ilvl w:val="0"/>
          <w:numId w:val="15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PVC喷胶枪每把枪各配喷胶嘴2个，具体结构由</w:t>
      </w:r>
      <w:r>
        <w:rPr>
          <w:rFonts w:hint="eastAsia" w:ascii="宋体" w:hAnsi="宋体" w:cs="宋体"/>
          <w:lang w:eastAsia="zh-CN"/>
        </w:rPr>
        <w:t>投标人</w:t>
      </w:r>
      <w:r>
        <w:rPr>
          <w:rFonts w:hint="eastAsia" w:ascii="宋体" w:hAnsi="宋体" w:eastAsia="宋体" w:cs="宋体"/>
        </w:rPr>
        <w:t>根据现场车型进行选型采购。</w:t>
      </w:r>
    </w:p>
    <w:p w14:paraId="0E300306">
      <w:pPr>
        <w:pStyle w:val="4"/>
        <w:pageBreakBefore w:val="0"/>
        <w:numPr>
          <w:ilvl w:val="0"/>
          <w:numId w:val="14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防锈蜡供给系统</w:t>
      </w:r>
    </w:p>
    <w:p w14:paraId="46545019">
      <w:pPr>
        <w:pStyle w:val="17"/>
        <w:pageBreakBefore w:val="0"/>
        <w:numPr>
          <w:ilvl w:val="0"/>
          <w:numId w:val="15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循环泵：</w:t>
      </w:r>
    </w:p>
    <w:p w14:paraId="0D2365A3">
      <w:pPr>
        <w:pStyle w:val="17"/>
        <w:pageBreakBefore w:val="0"/>
        <w:numPr>
          <w:ilvl w:val="0"/>
          <w:numId w:val="15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主泵选用气动柱塞泵，最大涂料压力和最大涂料流量应满足各枪站出口的需要。</w:t>
      </w:r>
    </w:p>
    <w:p w14:paraId="47E8283B">
      <w:pPr>
        <w:pStyle w:val="17"/>
        <w:pageBreakBefore w:val="0"/>
        <w:numPr>
          <w:ilvl w:val="0"/>
          <w:numId w:val="15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泵配有空气调压器调节泵蜡压力，配有空打保护无料可以自动停泵保护泵下缸体。</w:t>
      </w:r>
    </w:p>
    <w:p w14:paraId="5DA246C6">
      <w:pPr>
        <w:pStyle w:val="17"/>
        <w:pageBreakBefore w:val="0"/>
        <w:numPr>
          <w:ilvl w:val="0"/>
          <w:numId w:val="15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转移泵：转移泵为气动隔膜泵。</w:t>
      </w:r>
    </w:p>
    <w:p w14:paraId="02CC3BEF">
      <w:pPr>
        <w:pStyle w:val="17"/>
        <w:pageBreakBefore w:val="0"/>
        <w:numPr>
          <w:ilvl w:val="0"/>
          <w:numId w:val="15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桶盖升降器：一级供蜡桶配有一套可以气动升降并带有一个搅拌器的桶盖。</w:t>
      </w:r>
    </w:p>
    <w:p w14:paraId="28980B3F">
      <w:pPr>
        <w:pStyle w:val="17"/>
        <w:pageBreakBefore w:val="0"/>
        <w:numPr>
          <w:ilvl w:val="0"/>
          <w:numId w:val="15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搅拌器：</w:t>
      </w:r>
    </w:p>
    <w:p w14:paraId="48E0E221">
      <w:pPr>
        <w:pStyle w:val="17"/>
        <w:pageBreakBefore w:val="0"/>
        <w:numPr>
          <w:ilvl w:val="0"/>
          <w:numId w:val="15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为了方便蜡的流动，配有一个55 gal搅拌器；</w:t>
      </w:r>
    </w:p>
    <w:p w14:paraId="494510E4">
      <w:pPr>
        <w:pStyle w:val="17"/>
        <w:pageBreakBefore w:val="0"/>
        <w:numPr>
          <w:ilvl w:val="0"/>
          <w:numId w:val="15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可以气动调节转速。</w:t>
      </w:r>
    </w:p>
    <w:p w14:paraId="6B723090">
      <w:pPr>
        <w:pStyle w:val="17"/>
        <w:pageBreakBefore w:val="0"/>
        <w:numPr>
          <w:ilvl w:val="0"/>
          <w:numId w:val="15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管线</w:t>
      </w:r>
    </w:p>
    <w:p w14:paraId="0B22AC8B">
      <w:pPr>
        <w:pStyle w:val="17"/>
        <w:pageBreakBefore w:val="0"/>
        <w:numPr>
          <w:ilvl w:val="0"/>
          <w:numId w:val="15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管线采用主管循环，卡套或焊接或螺纹连接方式，管路中间配有活结或法兰，方便拆卸维修，回流配有背压针阀；</w:t>
      </w:r>
    </w:p>
    <w:p w14:paraId="1B1A3F6E">
      <w:pPr>
        <w:pStyle w:val="17"/>
        <w:pageBreakBefore w:val="0"/>
        <w:numPr>
          <w:ilvl w:val="0"/>
          <w:numId w:val="15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主管线采用电伴热方式，防止冬季蜡的流动性不良。</w:t>
      </w:r>
    </w:p>
    <w:p w14:paraId="22CA312D">
      <w:pPr>
        <w:pStyle w:val="17"/>
        <w:pageBreakBefore w:val="0"/>
        <w:numPr>
          <w:ilvl w:val="0"/>
          <w:numId w:val="152"/>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枪站</w:t>
      </w:r>
    </w:p>
    <w:p w14:paraId="2F4AC9BD">
      <w:pPr>
        <w:pStyle w:val="17"/>
        <w:pageBreakBefore w:val="0"/>
        <w:numPr>
          <w:ilvl w:val="0"/>
          <w:numId w:val="15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每个枪站配有过滤器、高压调压器、软管、喷枪、加长喷管和喷嘴等。</w:t>
      </w:r>
    </w:p>
    <w:p w14:paraId="168AE2F7">
      <w:pPr>
        <w:pStyle w:val="17"/>
        <w:pageBreakBefore w:val="0"/>
        <w:numPr>
          <w:ilvl w:val="0"/>
          <w:numId w:val="15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手工喷蜡的软管要求吊挂在软管吊装装置上，软管吊装装置由导轨，滑轮及软管卡子配套构成。软管每隔一段距离固定在软管卡子上，软管可以随蜡枪的拖动在导轨上来回滑动。</w:t>
      </w:r>
    </w:p>
    <w:p w14:paraId="415069CF">
      <w:pPr>
        <w:pStyle w:val="3"/>
        <w:pageBreakBefore w:val="0"/>
        <w:numPr>
          <w:ilvl w:val="0"/>
          <w:numId w:val="121"/>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电气控制系统技术要求</w:t>
      </w:r>
    </w:p>
    <w:p w14:paraId="0A0FB9DE">
      <w:pPr>
        <w:pStyle w:val="4"/>
        <w:pageBreakBefore w:val="0"/>
        <w:numPr>
          <w:ilvl w:val="0"/>
          <w:numId w:val="15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系统的组成</w:t>
      </w:r>
    </w:p>
    <w:p w14:paraId="19C15E1B">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本系统由油漆循环控制系统、油漆温度控制系统组成。</w:t>
      </w:r>
    </w:p>
    <w:p w14:paraId="517FD153">
      <w:pPr>
        <w:pStyle w:val="4"/>
        <w:pageBreakBefore w:val="0"/>
        <w:numPr>
          <w:ilvl w:val="0"/>
          <w:numId w:val="15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控制说明</w:t>
      </w:r>
    </w:p>
    <w:p w14:paraId="0165C20D">
      <w:pPr>
        <w:pStyle w:val="5"/>
        <w:pageBreakBefore w:val="0"/>
        <w:numPr>
          <w:ilvl w:val="0"/>
          <w:numId w:val="0"/>
        </w:numPr>
        <w:kinsoku/>
        <w:wordWrap/>
        <w:topLinePunct w:val="0"/>
        <w:bidi w:val="0"/>
        <w:adjustRightInd w:val="0"/>
        <w:snapToGrid w:val="0"/>
        <w:spacing w:before="0" w:afterAutospacing="0" w:line="360" w:lineRule="auto"/>
        <w:ind w:leftChars="0"/>
        <w:rPr>
          <w:rFonts w:hint="eastAsia" w:ascii="宋体" w:hAnsi="宋体" w:eastAsia="宋体" w:cs="宋体"/>
          <w:sz w:val="24"/>
          <w:szCs w:val="24"/>
        </w:rPr>
      </w:pPr>
      <w:r>
        <w:rPr>
          <w:rFonts w:hint="eastAsia" w:ascii="宋体" w:hAnsi="宋体" w:eastAsia="宋体" w:cs="宋体"/>
          <w:sz w:val="24"/>
          <w:szCs w:val="24"/>
        </w:rPr>
        <w:t>油漆循环控制系统</w:t>
      </w:r>
    </w:p>
    <w:p w14:paraId="7EDD9888">
      <w:pPr>
        <w:pStyle w:val="6"/>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控制单元组成油漆循环控制系统的控制单元由主控制盘和安装在模组附近的现场操作箱组成：</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07"/>
        <w:gridCol w:w="7947"/>
      </w:tblGrid>
      <w:tr w14:paraId="44E8A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419C2B5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控制盘（箱）</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0394B7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功能说明</w:t>
            </w:r>
          </w:p>
        </w:tc>
      </w:tr>
      <w:tr w14:paraId="78E26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3361E1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主控制盘</w:t>
            </w:r>
          </w:p>
          <w:p w14:paraId="1FFC65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（MCP）</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46A4C4E0">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1、提供油漆循环系统的相关控制，包含油漆的液位报警、搅拌器控制、电动泵的控制等。</w:t>
            </w:r>
          </w:p>
          <w:p w14:paraId="6E6D6D22">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rPr>
            </w:pPr>
            <w:r>
              <w:rPr>
                <w:rFonts w:hint="eastAsia" w:ascii="宋体" w:hAnsi="宋体" w:eastAsia="宋体" w:cs="宋体"/>
                <w:sz w:val="24"/>
              </w:rPr>
              <w:t>2、各种监控信号（如压力、液位、温度等）通过传感器、仪表和安全PLC可在主控柜和触摸屏上面显示，监控所有设备工作模式、所有模拟、数字量信息、所有接触器及断路器状态显示并将所有信息上传至车间中控室。（所有防爆区内本安型模拟量4～20mA信号均需通过隔离栅与PLC模拟量输入模块相连。）</w:t>
            </w:r>
          </w:p>
          <w:p w14:paraId="7A81B160">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3、控制柜尺寸：高度（H）= 2200mm(含底盘)</w:t>
            </w:r>
          </w:p>
          <w:p w14:paraId="1BDF4B63">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宽度（W）= 800或1200mm</w:t>
            </w:r>
          </w:p>
          <w:p w14:paraId="1951BB5B">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厚度（T）= 500mm</w:t>
            </w:r>
          </w:p>
          <w:p w14:paraId="094A861F">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结构：威图（带空调）</w:t>
            </w:r>
          </w:p>
          <w:p w14:paraId="510CB7A0">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颜色：底盘黑色，柜体颜色按</w:t>
            </w:r>
            <w:r>
              <w:rPr>
                <w:rFonts w:hint="eastAsia" w:ascii="宋体" w:hAnsi="宋体" w:cs="宋体"/>
                <w:sz w:val="24"/>
                <w:lang w:eastAsia="zh-CN"/>
              </w:rPr>
              <w:t>招标人</w:t>
            </w:r>
            <w:r>
              <w:rPr>
                <w:rFonts w:hint="eastAsia" w:ascii="宋体" w:hAnsi="宋体" w:eastAsia="宋体" w:cs="宋体"/>
                <w:sz w:val="24"/>
              </w:rPr>
              <w:t>要求。</w:t>
            </w:r>
          </w:p>
          <w:p w14:paraId="1596BF0B">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4、控制柜放置位置不平，需要加100槽钢加强找平，找平槽钢需要刷黑色防锈漆。</w:t>
            </w:r>
          </w:p>
        </w:tc>
      </w:tr>
      <w:tr w14:paraId="5B961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685475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现场操作箱</w:t>
            </w:r>
          </w:p>
          <w:p w14:paraId="62C9F4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（OPB）</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10BEE2AB">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每个功能单元（油漆模组、溶剂模组）配备一个现场操作箱，便于操作人员操作。操作箱上可实现液位及压力报警，可对报警进行复位，并可实现主泵、搅拌电机等元件的操作。当系统有报警时，调漆间配有喇叭进行声光报警，并配有急停装置，紧急情况可以停机。</w:t>
            </w:r>
          </w:p>
        </w:tc>
      </w:tr>
      <w:tr w14:paraId="4E22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754CE4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信息上传及数据接口</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15FDF843">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1、配置足够数量的工业以太网交换机和Profeinet交换机用于控制系统内部通信和与</w:t>
            </w:r>
            <w:r>
              <w:rPr>
                <w:rFonts w:hint="eastAsia" w:ascii="宋体" w:hAnsi="宋体" w:cs="宋体"/>
                <w:sz w:val="24"/>
                <w:lang w:eastAsia="zh-CN"/>
              </w:rPr>
              <w:t>招标人</w:t>
            </w:r>
            <w:r>
              <w:rPr>
                <w:rFonts w:hint="eastAsia" w:ascii="宋体" w:hAnsi="宋体" w:eastAsia="宋体" w:cs="宋体"/>
                <w:sz w:val="24"/>
              </w:rPr>
              <w:t>中控室通信。</w:t>
            </w:r>
          </w:p>
          <w:p w14:paraId="16D02EC7">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sz w:val="24"/>
              </w:rPr>
              <w:t>本系统所有的故障点及状态电表，</w:t>
            </w:r>
            <w:r>
              <w:rPr>
                <w:rFonts w:hint="eastAsia" w:ascii="宋体" w:hAnsi="宋体" w:cs="宋体"/>
                <w:sz w:val="24"/>
                <w:lang w:eastAsia="zh-CN"/>
              </w:rPr>
              <w:t>投标人</w:t>
            </w:r>
            <w:r>
              <w:rPr>
                <w:rFonts w:hint="eastAsia" w:ascii="宋体" w:hAnsi="宋体" w:eastAsia="宋体" w:cs="宋体"/>
                <w:sz w:val="24"/>
              </w:rPr>
              <w:t>必须按照</w:t>
            </w:r>
            <w:r>
              <w:rPr>
                <w:rFonts w:hint="eastAsia" w:ascii="宋体" w:hAnsi="宋体" w:cs="宋体"/>
                <w:sz w:val="24"/>
                <w:lang w:eastAsia="zh-CN"/>
              </w:rPr>
              <w:t>招标人</w:t>
            </w:r>
            <w:r>
              <w:rPr>
                <w:rFonts w:hint="eastAsia" w:ascii="宋体" w:hAnsi="宋体" w:eastAsia="宋体" w:cs="宋体"/>
                <w:sz w:val="24"/>
              </w:rPr>
              <w:t>要求提供</w:t>
            </w:r>
            <w:r>
              <w:rPr>
                <w:rFonts w:hint="eastAsia" w:ascii="宋体" w:hAnsi="宋体" w:cs="宋体"/>
                <w:sz w:val="24"/>
                <w:lang w:eastAsia="zh-CN"/>
              </w:rPr>
              <w:t>招标人</w:t>
            </w:r>
            <w:r>
              <w:rPr>
                <w:rFonts w:hint="eastAsia" w:ascii="宋体" w:hAnsi="宋体" w:eastAsia="宋体" w:cs="宋体"/>
                <w:sz w:val="24"/>
              </w:rPr>
              <w:t>负责人。</w:t>
            </w:r>
          </w:p>
          <w:p w14:paraId="7264DB1C">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eastAsia="zh-CN"/>
              </w:rPr>
              <w:t>投标人</w:t>
            </w:r>
            <w:r>
              <w:rPr>
                <w:rFonts w:hint="eastAsia" w:ascii="宋体" w:hAnsi="宋体" w:eastAsia="宋体" w:cs="宋体"/>
                <w:sz w:val="24"/>
              </w:rPr>
              <w:t>必须配合</w:t>
            </w:r>
            <w:r>
              <w:rPr>
                <w:rFonts w:hint="eastAsia" w:ascii="宋体" w:hAnsi="宋体" w:cs="宋体"/>
                <w:sz w:val="24"/>
                <w:lang w:eastAsia="zh-CN"/>
              </w:rPr>
              <w:t>招标人</w:t>
            </w:r>
            <w:r>
              <w:rPr>
                <w:rFonts w:hint="eastAsia" w:ascii="宋体" w:hAnsi="宋体" w:eastAsia="宋体" w:cs="宋体"/>
                <w:sz w:val="24"/>
              </w:rPr>
              <w:t>中控室搭建，提供相应可编辑的工艺设备原理流程图，</w:t>
            </w:r>
            <w:r>
              <w:rPr>
                <w:rFonts w:hint="eastAsia" w:ascii="宋体" w:hAnsi="宋体" w:cs="宋体"/>
                <w:sz w:val="24"/>
                <w:lang w:eastAsia="zh-CN"/>
              </w:rPr>
              <w:t>投标人</w:t>
            </w:r>
            <w:r>
              <w:rPr>
                <w:rFonts w:hint="eastAsia" w:ascii="宋体" w:hAnsi="宋体" w:eastAsia="宋体" w:cs="宋体"/>
                <w:sz w:val="24"/>
              </w:rPr>
              <w:t>控制系统IP地址分配必须按照</w:t>
            </w:r>
            <w:r>
              <w:rPr>
                <w:rFonts w:hint="eastAsia" w:ascii="宋体" w:hAnsi="宋体" w:cs="宋体"/>
                <w:sz w:val="24"/>
                <w:lang w:eastAsia="zh-CN"/>
              </w:rPr>
              <w:t>招标人</w:t>
            </w:r>
            <w:r>
              <w:rPr>
                <w:rFonts w:hint="eastAsia" w:ascii="宋体" w:hAnsi="宋体" w:eastAsia="宋体" w:cs="宋体"/>
                <w:sz w:val="24"/>
              </w:rPr>
              <w:t>提供的标准文件进行分配。</w:t>
            </w:r>
          </w:p>
          <w:p w14:paraId="36A74CDB">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4、现场必须有工程师配合</w:t>
            </w:r>
            <w:r>
              <w:rPr>
                <w:rFonts w:hint="eastAsia" w:ascii="宋体" w:hAnsi="宋体" w:cs="宋体"/>
                <w:sz w:val="24"/>
                <w:lang w:eastAsia="zh-CN"/>
              </w:rPr>
              <w:t>招标人</w:t>
            </w:r>
            <w:r>
              <w:rPr>
                <w:rFonts w:hint="eastAsia" w:ascii="宋体" w:hAnsi="宋体" w:eastAsia="宋体" w:cs="宋体"/>
                <w:sz w:val="24"/>
              </w:rPr>
              <w:t>中控室调试，直到</w:t>
            </w:r>
            <w:r>
              <w:rPr>
                <w:rFonts w:hint="eastAsia" w:ascii="宋体" w:hAnsi="宋体" w:cs="宋体"/>
                <w:sz w:val="24"/>
                <w:lang w:eastAsia="zh-CN"/>
              </w:rPr>
              <w:t>招标人</w:t>
            </w:r>
            <w:r>
              <w:rPr>
                <w:rFonts w:hint="eastAsia" w:ascii="宋体" w:hAnsi="宋体" w:eastAsia="宋体" w:cs="宋体"/>
                <w:sz w:val="24"/>
              </w:rPr>
              <w:t>设备验收。</w:t>
            </w:r>
          </w:p>
        </w:tc>
      </w:tr>
      <w:tr w14:paraId="17CF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40227CB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接地</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5922EBFA">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eastAsia="zh-CN"/>
              </w:rPr>
              <w:t>招标人</w:t>
            </w:r>
            <w:r>
              <w:rPr>
                <w:rFonts w:hint="eastAsia" w:ascii="宋体" w:hAnsi="宋体" w:eastAsia="宋体" w:cs="宋体"/>
                <w:sz w:val="24"/>
              </w:rPr>
              <w:t>在调漆间四周提供综合接地铜排，用于输调漆设备接地。</w:t>
            </w:r>
          </w:p>
          <w:p w14:paraId="6AC860BA">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eastAsia="zh-CN"/>
              </w:rPr>
              <w:t>投标人</w:t>
            </w:r>
            <w:r>
              <w:rPr>
                <w:rFonts w:hint="eastAsia" w:ascii="宋体" w:hAnsi="宋体" w:eastAsia="宋体" w:cs="宋体"/>
                <w:sz w:val="24"/>
              </w:rPr>
              <w:t>负责输调漆设备到接地铜排之间的接线施工及材料，并满足接地要求。</w:t>
            </w:r>
          </w:p>
        </w:tc>
      </w:tr>
      <w:tr w14:paraId="52FA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5FD15EB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防爆要求</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6A10FF22">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1、调漆间和废溶剂单元等区域为防爆区，该区的电气元件均为本安型或隔爆型。</w:t>
            </w:r>
          </w:p>
          <w:p w14:paraId="000F87F0">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sz w:val="24"/>
              </w:rPr>
              <w:t>防爆区不能走桥架，需要通过防爆管实现，防爆区和非防爆区必须进行隔爆密封处理，防爆区所有接头必须使用防爆接头。</w:t>
            </w:r>
          </w:p>
          <w:p w14:paraId="7D2BA821">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3、动力线和控制线缆必须分别穿防爆管进行敷设且防爆管必须有预留空间。</w:t>
            </w:r>
          </w:p>
          <w:p w14:paraId="4B7A578D">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4、设备各部分及穿线管的接头部分必须可靠接地。</w:t>
            </w:r>
          </w:p>
        </w:tc>
      </w:tr>
      <w:tr w14:paraId="54C1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762ED0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联锁</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4AC4EE01">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1、系统具与消防系统联锁的功能，硬接线，需要预留消防模块安装空间及预留端子，需要</w:t>
            </w:r>
            <w:r>
              <w:rPr>
                <w:rFonts w:hint="eastAsia" w:ascii="宋体" w:hAnsi="宋体" w:cs="宋体"/>
                <w:sz w:val="24"/>
                <w:lang w:eastAsia="zh-CN"/>
              </w:rPr>
              <w:t>投标人</w:t>
            </w:r>
            <w:r>
              <w:rPr>
                <w:rFonts w:hint="eastAsia" w:ascii="宋体" w:hAnsi="宋体" w:eastAsia="宋体" w:cs="宋体"/>
                <w:sz w:val="24"/>
              </w:rPr>
              <w:t>转换无源干结信号接入本系统。</w:t>
            </w:r>
          </w:p>
          <w:p w14:paraId="0CAD4140">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2、系统需要与机器人系统联锁，</w:t>
            </w:r>
            <w:r>
              <w:rPr>
                <w:rFonts w:hint="eastAsia" w:ascii="宋体" w:hAnsi="宋体" w:cs="宋体"/>
                <w:sz w:val="24"/>
                <w:lang w:eastAsia="zh-CN"/>
              </w:rPr>
              <w:t>投标人</w:t>
            </w:r>
            <w:r>
              <w:rPr>
                <w:rFonts w:hint="eastAsia" w:ascii="宋体" w:hAnsi="宋体" w:eastAsia="宋体" w:cs="宋体"/>
                <w:sz w:val="24"/>
              </w:rPr>
              <w:t>负责施工电缆提供与施工。</w:t>
            </w:r>
          </w:p>
        </w:tc>
      </w:tr>
      <w:tr w14:paraId="172C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59C39AF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能源计量</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19E65C1E">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每套系统配置电能计量表，可记录三相有功、无功功率及功率因数等，该数据通过自带总线接口（Profinet）上传本系统 PLC，并留出程序接口，将以上数据上传</w:t>
            </w:r>
            <w:r>
              <w:rPr>
                <w:rFonts w:hint="eastAsia" w:ascii="宋体" w:hAnsi="宋体" w:cs="宋体"/>
                <w:sz w:val="24"/>
                <w:lang w:eastAsia="zh-CN"/>
              </w:rPr>
              <w:t>招标人</w:t>
            </w:r>
            <w:r>
              <w:rPr>
                <w:rFonts w:hint="eastAsia" w:ascii="宋体" w:hAnsi="宋体" w:eastAsia="宋体" w:cs="宋体"/>
                <w:sz w:val="24"/>
              </w:rPr>
              <w:t>中控系统做电能监控用</w:t>
            </w:r>
          </w:p>
        </w:tc>
      </w:tr>
      <w:tr w14:paraId="3A11A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 w:hRule="atLeast"/>
          <w:jc w:val="center"/>
        </w:trPr>
        <w:tc>
          <w:tcPr>
            <w:tcW w:w="884" w:type="pct"/>
            <w:tcBorders>
              <w:top w:val="single" w:color="auto" w:sz="4" w:space="0"/>
              <w:left w:val="single" w:color="auto" w:sz="4" w:space="0"/>
              <w:bottom w:val="single" w:color="auto" w:sz="4" w:space="0"/>
              <w:right w:val="single" w:color="auto" w:sz="4" w:space="0"/>
            </w:tcBorders>
            <w:shd w:val="clear" w:color="auto" w:fill="auto"/>
            <w:vAlign w:val="center"/>
          </w:tcPr>
          <w:p w14:paraId="19FF31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温度控制</w:t>
            </w:r>
          </w:p>
        </w:tc>
        <w:tc>
          <w:tcPr>
            <w:tcW w:w="4115" w:type="pct"/>
            <w:tcBorders>
              <w:top w:val="single" w:color="auto" w:sz="4" w:space="0"/>
              <w:left w:val="single" w:color="auto" w:sz="4" w:space="0"/>
              <w:bottom w:val="single" w:color="auto" w:sz="4" w:space="0"/>
              <w:right w:val="single" w:color="auto" w:sz="4" w:space="0"/>
            </w:tcBorders>
            <w:shd w:val="clear" w:color="auto" w:fill="auto"/>
            <w:vAlign w:val="center"/>
          </w:tcPr>
          <w:p w14:paraId="5C7752C0">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通过温度传感器检测温度值4～20mA，通过PID控制相应阀门进行温度控制，且阀门具有开度反馈功能，温度23℃±2℃。</w:t>
            </w:r>
          </w:p>
        </w:tc>
      </w:tr>
    </w:tbl>
    <w:p w14:paraId="134003E8">
      <w:pPr>
        <w:pStyle w:val="6"/>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电动搅拌控制：</w:t>
      </w:r>
    </w:p>
    <w:p w14:paraId="7DB13C02">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除了</w:t>
      </w:r>
      <w:r>
        <w:rPr>
          <w:rFonts w:hint="eastAsia" w:ascii="宋体" w:hAnsi="宋体" w:eastAsia="宋体" w:cs="宋体"/>
          <w:lang w:eastAsia="zh-CN"/>
        </w:rPr>
        <w:t>固化剂、油性</w:t>
      </w:r>
      <w:r>
        <w:rPr>
          <w:rFonts w:hint="eastAsia" w:ascii="宋体" w:hAnsi="宋体" w:eastAsia="宋体" w:cs="宋体"/>
        </w:rPr>
        <w:t>溶剂外，每个油漆罐都配备电动搅拌器。搅拌器通过变频器控制，根据油漆罐的液位自动对搅拌速度进行调节，保证油漆的搅拌效果。搅拌器现场操作面板设置手动搅拌模式可以强制启动/停止搅拌器,每个搅拌器的作状态都可以从现场的操作箱（OPB）的指示灯上可以看到，同时该信息也将送到控制柜上显示，控制柜触摸屏及中控室监控电脑可显示每个罐的液位和搅拌器的频率和转速。</w:t>
      </w:r>
    </w:p>
    <w:p w14:paraId="69969BAC">
      <w:pPr>
        <w:pStyle w:val="6"/>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液位控制：</w:t>
      </w:r>
    </w:p>
    <w:p w14:paraId="69D4DEE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每个油漆桶都配备一个电子式液位计，通过它能得到液位模拟量。    </w:t>
      </w:r>
    </w:p>
    <w:p w14:paraId="172840B1">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vanish/>
        </w:rPr>
        <w:t>液位电脑控电脑报警指示灯，</w:t>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t>，在示面上上能够及时</w:t>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rPr>
        <w:t>油漆罐内的液位信号通过仪表能实时监控并显示在人机界面上，并能在中控室上位机上显示。当出现高液位或低液位时，在主控柜触摸屏和监控电脑上显示报警并声光显示，同时将信号送至中控室显示液位报警，同时在现场操作箱（OPB）也有相应的报警指示。当出现超高或者超低液位时同时停止相应的柱塞泵和的工作并报警。现场操作箱（OPB）也有相应的报警和单独的报警复位功能，操作工人添加油漆完毕后可进行复位。</w:t>
      </w:r>
    </w:p>
    <w:p w14:paraId="10C1D099">
      <w:pPr>
        <w:pStyle w:val="6"/>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压力报警控制：</w:t>
      </w:r>
    </w:p>
    <w:p w14:paraId="6C5D510C">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在电动泵出口及过滤器出口各安装一个压力传感器，实时监视油漆的压力；</w:t>
      </w:r>
    </w:p>
    <w:p w14:paraId="5E60BBD6">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当系统发生故障引起压力异常增高或者管路发生泄漏引起压力长时间低于预先的设定值时，该信号将给到控制柜的PLC中，在HMI触摸屏和监控电脑上给出报警信息，提示操作员处理故障并上传至车间中控室； 在现场的操作箱（OPB）上也将有单独报警灯指示，提示现场的操作人员。操作人员可以在操作箱上确认，报警信号需要故障排除以后才会消失，从而防止系统因超压发生爆裂或者因欠压导致循环泵发生空打，使得系统更加安全。</w:t>
      </w:r>
    </w:p>
    <w:p w14:paraId="3A6B04D6">
      <w:pPr>
        <w:pStyle w:val="6"/>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循环泵控制：</w:t>
      </w:r>
    </w:p>
    <w:p w14:paraId="5DB5CFAD">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泵采用电动变频控制，根据油漆的压力、温度、流量等参数通过智能控制模块控制电动泵的转速，来适应不同的生产方式，包括生产模式和休眠模式。同时智能控制模块的内置程序可以实现循环系统的压力平衡，工作模式具有压力报警功能。</w:t>
      </w:r>
    </w:p>
    <w:p w14:paraId="1EF5378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变频器具有过载、过热等相关安全防护及相关控制，通过专用网关实现控制</w:t>
      </w:r>
      <w:r>
        <w:rPr>
          <w:rFonts w:hint="eastAsia" w:ascii="宋体" w:hAnsi="宋体" w:eastAsia="宋体" w:cs="宋体"/>
          <w:vanish/>
        </w:rPr>
        <w:t>热过载保护功能方式</w:t>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vanish/>
        </w:rPr>
        <w:pgNum/>
      </w:r>
      <w:r>
        <w:rPr>
          <w:rFonts w:hint="eastAsia" w:ascii="宋体" w:hAnsi="宋体" w:eastAsia="宋体" w:cs="宋体"/>
        </w:rPr>
        <w:t>模块和PLC的通讯及控制，并在监控计算机上进行监控修改。</w:t>
      </w:r>
    </w:p>
    <w:p w14:paraId="43170BFC">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循环泵的工作方式包括自动、手动：</w:t>
      </w:r>
    </w:p>
    <w:p w14:paraId="0BB81AF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自动方式下循环泵受系统的自动控制，当油漆循环桶发出超低液位报警信号时，系统将自动停止相应的循环泵，防止泵的空打。</w:t>
      </w:r>
    </w:p>
    <w:p w14:paraId="5D05713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而在手动工作状态时，操作员则可以通过现场操作箱（OPB）的转换开关，手动启动或停止循环泵，不受中控系统的控制。</w:t>
      </w:r>
    </w:p>
    <w:p w14:paraId="077B7E82">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所有泵的运行状态及各种参数均能上传至中控室。</w:t>
      </w:r>
    </w:p>
    <w:p w14:paraId="3122077A">
      <w:pPr>
        <w:pStyle w:val="6"/>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油漆自动加料控制：</w:t>
      </w:r>
    </w:p>
    <w:p w14:paraId="5D12C02B">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通过现场操作箱（OPB），操作者能选择手动、自动两种加料方式：</w:t>
      </w:r>
    </w:p>
    <w:p w14:paraId="31EA2778">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方式时,当循环罐低液位时，气动逻辑元件启动，隔膜泵启动，从调漆罐向循环罐加料，直到循环罐高液位停止。隔膜泵前后的三通阀采用电动阀，在自动加料模式下，阀门自动调节为调漆罐、隔膜泵、循环罐联通。</w:t>
      </w:r>
    </w:p>
    <w:p w14:paraId="5684C002">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手动方式时，操作员通过现场气动操作箱（OPB）手动开关控制隔膜泵和气动逻辑元件，把油漆从调漆罐输送到循环罐；手动方式时，隔膜泵和气动逻辑元件人工强制动作，不受液位高低的控制。</w:t>
      </w:r>
    </w:p>
    <w:p w14:paraId="5EAABEBE">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系统需将低液位信号和工作状态上传至监控计算机和车间中控室。</w:t>
      </w:r>
    </w:p>
    <w:p w14:paraId="68289D71">
      <w:pPr>
        <w:pStyle w:val="5"/>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油漆温度控制系统</w:t>
      </w:r>
    </w:p>
    <w:p w14:paraId="58732B5D">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通过安装在管中管换热器上的温度传感器检测油漆的温度，并传送给模拟量输入模块，由模拟量输出模块输出一个模拟量的信号控制管中管的六位三通阀（电动比例调节阀），调节冷热水的进出比例，从而达到精确控制温度的目的。在进或者出板换的冷热水管路需安装电动比例阀，控制进水的流量，以保证内部循环水的温度稳定性。</w:t>
      </w:r>
    </w:p>
    <w:p w14:paraId="368B9C94">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所有温度信号据能在触摸屏上显示，均能上传至车间中控室上显示。</w:t>
      </w:r>
    </w:p>
    <w:p w14:paraId="414EFEF7">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rPr>
      </w:pPr>
      <w:r>
        <w:rPr>
          <w:rFonts w:hint="eastAsia" w:ascii="宋体" w:hAnsi="宋体" w:eastAsia="宋体" w:cs="宋体"/>
        </w:rPr>
        <w:t>冷水单元控制</w:t>
      </w:r>
    </w:p>
    <w:p w14:paraId="40495544">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rPr>
      </w:pPr>
      <w:r>
        <w:rPr>
          <w:rFonts w:hint="eastAsia" w:ascii="宋体" w:hAnsi="宋体" w:eastAsia="宋体" w:cs="宋体"/>
        </w:rPr>
        <w:t>由</w:t>
      </w:r>
      <w:r>
        <w:rPr>
          <w:rFonts w:hint="eastAsia" w:ascii="宋体" w:hAnsi="宋体" w:cs="宋体"/>
          <w:lang w:eastAsia="zh-CN"/>
        </w:rPr>
        <w:t>招标人</w:t>
      </w:r>
      <w:r>
        <w:rPr>
          <w:rFonts w:hint="eastAsia" w:ascii="宋体" w:hAnsi="宋体" w:eastAsia="宋体" w:cs="宋体"/>
        </w:rPr>
        <w:t>提供冷水接到温控间，</w:t>
      </w:r>
      <w:r>
        <w:rPr>
          <w:rFonts w:hint="eastAsia" w:ascii="宋体" w:hAnsi="宋体" w:cs="宋体"/>
          <w:lang w:eastAsia="zh-CN"/>
        </w:rPr>
        <w:t>投标人</w:t>
      </w:r>
      <w:r>
        <w:rPr>
          <w:rFonts w:hint="eastAsia" w:ascii="宋体" w:hAnsi="宋体" w:eastAsia="宋体" w:cs="宋体"/>
        </w:rPr>
        <w:t>利用板式换热器提供二次冷水循环供给管中管，二次冷水的温度由电控柜控制。冷水循环泵一用一备，安装槽钢80mm高底座不锈钢接水盘和排水口和不锈钢阀门，引到下水。</w:t>
      </w:r>
    </w:p>
    <w:p w14:paraId="5375264B">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运行方式有手动、自动。</w:t>
      </w:r>
    </w:p>
    <w:p w14:paraId="2560A6C6">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所有温度信号及水泵的运行、停止、手动、自动状态据能在触摸屏上显示，均能上传至车间中控室上显示。</w:t>
      </w:r>
    </w:p>
    <w:p w14:paraId="0E61DEE3">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rPr>
      </w:pPr>
      <w:r>
        <w:rPr>
          <w:rFonts w:hint="eastAsia" w:ascii="宋体" w:hAnsi="宋体" w:eastAsia="宋体" w:cs="宋体"/>
        </w:rPr>
        <w:t>热水单元控制</w:t>
      </w:r>
    </w:p>
    <w:p w14:paraId="3D75C6E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日常生产时热水由</w:t>
      </w:r>
      <w:r>
        <w:rPr>
          <w:rFonts w:hint="eastAsia" w:ascii="宋体" w:hAnsi="宋体" w:cs="宋体"/>
          <w:lang w:eastAsia="zh-CN"/>
        </w:rPr>
        <w:t>招标人</w:t>
      </w:r>
      <w:r>
        <w:rPr>
          <w:rFonts w:hint="eastAsia" w:ascii="宋体" w:hAnsi="宋体" w:eastAsia="宋体" w:cs="宋体"/>
        </w:rPr>
        <w:t>提供；休班、停产期间热水由</w:t>
      </w:r>
      <w:r>
        <w:rPr>
          <w:rFonts w:hint="eastAsia" w:ascii="宋体" w:hAnsi="宋体" w:cs="宋体"/>
          <w:lang w:eastAsia="zh-CN"/>
        </w:rPr>
        <w:t>投标人</w:t>
      </w:r>
      <w:r>
        <w:rPr>
          <w:rFonts w:hint="eastAsia" w:ascii="宋体" w:hAnsi="宋体" w:eastAsia="宋体" w:cs="宋体"/>
        </w:rPr>
        <w:t>的电加热水箱提供，通过循环泵供给管中管。 电控柜控制电加热器来保证热水的温度。循环水泵一用一备，运行方式有自动和手动两种方式。</w:t>
      </w:r>
    </w:p>
    <w:p w14:paraId="1E69BD82">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所有温度信号及水泵的运行、停止、手动、自动状态据能在触摸屏上显示，均能上传至车间中控室上显示。</w:t>
      </w:r>
    </w:p>
    <w:p w14:paraId="6DF59EDF">
      <w:pPr>
        <w:pStyle w:val="5"/>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密封胶控制系统</w:t>
      </w:r>
    </w:p>
    <w:p w14:paraId="6CBB92D8">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供胶控制系统控制单元由主控制盘和安装在模组附近的现场操作箱组成：</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020"/>
        <w:gridCol w:w="7634"/>
      </w:tblGrid>
      <w:tr w14:paraId="7264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13" w:hRule="atLeast"/>
        </w:trPr>
        <w:tc>
          <w:tcPr>
            <w:tcW w:w="1046" w:type="pct"/>
            <w:tcBorders>
              <w:top w:val="single" w:color="auto" w:sz="4" w:space="0"/>
              <w:left w:val="single" w:color="auto" w:sz="4" w:space="0"/>
              <w:bottom w:val="single" w:color="auto" w:sz="4" w:space="0"/>
              <w:right w:val="single" w:color="auto" w:sz="4" w:space="0"/>
            </w:tcBorders>
            <w:shd w:val="clear" w:color="auto" w:fill="auto"/>
            <w:vAlign w:val="center"/>
          </w:tcPr>
          <w:p w14:paraId="73146F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控制盘（箱）</w:t>
            </w:r>
          </w:p>
        </w:tc>
        <w:tc>
          <w:tcPr>
            <w:tcW w:w="3953" w:type="pct"/>
            <w:tcBorders>
              <w:top w:val="single" w:color="auto" w:sz="4" w:space="0"/>
              <w:left w:val="single" w:color="auto" w:sz="4" w:space="0"/>
              <w:bottom w:val="single" w:color="auto" w:sz="4" w:space="0"/>
              <w:right w:val="single" w:color="auto" w:sz="4" w:space="0"/>
            </w:tcBorders>
            <w:shd w:val="clear" w:color="auto" w:fill="auto"/>
            <w:vAlign w:val="center"/>
          </w:tcPr>
          <w:p w14:paraId="45C2F6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功能说明</w:t>
            </w:r>
          </w:p>
        </w:tc>
      </w:tr>
      <w:tr w14:paraId="2414C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 w:hRule="atLeast"/>
        </w:trPr>
        <w:tc>
          <w:tcPr>
            <w:tcW w:w="1046" w:type="pct"/>
            <w:tcBorders>
              <w:top w:val="single" w:color="auto" w:sz="4" w:space="0"/>
              <w:left w:val="single" w:color="auto" w:sz="4" w:space="0"/>
              <w:bottom w:val="single" w:color="auto" w:sz="4" w:space="0"/>
              <w:right w:val="single" w:color="auto" w:sz="4" w:space="0"/>
            </w:tcBorders>
            <w:shd w:val="clear" w:color="auto" w:fill="auto"/>
            <w:vAlign w:val="center"/>
          </w:tcPr>
          <w:p w14:paraId="572354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主控制盘</w:t>
            </w:r>
          </w:p>
          <w:p w14:paraId="685E9AF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（MCP）</w:t>
            </w:r>
          </w:p>
        </w:tc>
        <w:tc>
          <w:tcPr>
            <w:tcW w:w="3953" w:type="pct"/>
            <w:tcBorders>
              <w:top w:val="single" w:color="auto" w:sz="4" w:space="0"/>
              <w:left w:val="single" w:color="auto" w:sz="4" w:space="0"/>
              <w:bottom w:val="single" w:color="auto" w:sz="4" w:space="0"/>
              <w:right w:val="single" w:color="auto" w:sz="4" w:space="0"/>
            </w:tcBorders>
            <w:shd w:val="clear" w:color="auto" w:fill="auto"/>
          </w:tcPr>
          <w:p w14:paraId="20CDC0AA">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1、提供胶循环系统的相关控制，包含胶的液位报警、气动泵的控制等。</w:t>
            </w:r>
          </w:p>
          <w:p w14:paraId="42CACDBF">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2、控制柜尺寸非标（满足控制要求）、颜色满足</w:t>
            </w:r>
            <w:r>
              <w:rPr>
                <w:rFonts w:hint="eastAsia" w:ascii="宋体" w:hAnsi="宋体" w:cs="宋体"/>
                <w:sz w:val="24"/>
                <w:lang w:eastAsia="zh-CN"/>
              </w:rPr>
              <w:t>招标人</w:t>
            </w:r>
            <w:r>
              <w:rPr>
                <w:rFonts w:hint="eastAsia" w:ascii="宋体" w:hAnsi="宋体" w:eastAsia="宋体" w:cs="宋体"/>
                <w:sz w:val="24"/>
              </w:rPr>
              <w:t>颜色标准、品牌满足品牌选型表、配置散热风扇、配柱状报警灯品牌满足</w:t>
            </w:r>
            <w:r>
              <w:rPr>
                <w:rFonts w:hint="eastAsia" w:ascii="宋体" w:hAnsi="宋体" w:cs="宋体"/>
                <w:sz w:val="24"/>
                <w:lang w:eastAsia="zh-CN"/>
              </w:rPr>
              <w:t>招标人</w:t>
            </w:r>
            <w:r>
              <w:rPr>
                <w:rFonts w:hint="eastAsia" w:ascii="宋体" w:hAnsi="宋体" w:eastAsia="宋体" w:cs="宋体"/>
                <w:sz w:val="24"/>
              </w:rPr>
              <w:t>品牌要求、配置插座及图纸盒、要配置隔离变压器和24V电源、急停配置防护罩、控制柜放置在供胶间外，控制柜上方如有管路必须增加防水罩，防水罩样式必须经</w:t>
            </w:r>
            <w:r>
              <w:rPr>
                <w:rFonts w:hint="eastAsia" w:ascii="宋体" w:hAnsi="宋体" w:cs="宋体"/>
                <w:sz w:val="24"/>
                <w:lang w:eastAsia="zh-CN"/>
              </w:rPr>
              <w:t>招标人</w:t>
            </w:r>
            <w:r>
              <w:rPr>
                <w:rFonts w:hint="eastAsia" w:ascii="宋体" w:hAnsi="宋体" w:eastAsia="宋体" w:cs="宋体"/>
                <w:sz w:val="24"/>
              </w:rPr>
              <w:t>审核后才能添加。</w:t>
            </w:r>
          </w:p>
        </w:tc>
      </w:tr>
      <w:tr w14:paraId="56BA3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 w:hRule="atLeast"/>
        </w:trPr>
        <w:tc>
          <w:tcPr>
            <w:tcW w:w="1046" w:type="pct"/>
            <w:tcBorders>
              <w:top w:val="single" w:color="auto" w:sz="4" w:space="0"/>
              <w:left w:val="single" w:color="auto" w:sz="4" w:space="0"/>
              <w:bottom w:val="single" w:color="auto" w:sz="4" w:space="0"/>
              <w:right w:val="single" w:color="auto" w:sz="4" w:space="0"/>
            </w:tcBorders>
            <w:shd w:val="clear" w:color="auto" w:fill="auto"/>
            <w:vAlign w:val="center"/>
          </w:tcPr>
          <w:p w14:paraId="772F76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现场操作箱</w:t>
            </w:r>
          </w:p>
          <w:p w14:paraId="5FB231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（OPB）</w:t>
            </w:r>
          </w:p>
        </w:tc>
        <w:tc>
          <w:tcPr>
            <w:tcW w:w="3953" w:type="pct"/>
            <w:tcBorders>
              <w:top w:val="single" w:color="auto" w:sz="4" w:space="0"/>
              <w:left w:val="single" w:color="auto" w:sz="4" w:space="0"/>
              <w:bottom w:val="single" w:color="auto" w:sz="4" w:space="0"/>
              <w:right w:val="single" w:color="auto" w:sz="4" w:space="0"/>
            </w:tcBorders>
            <w:shd w:val="clear" w:color="auto" w:fill="auto"/>
          </w:tcPr>
          <w:p w14:paraId="7F2FF519">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1、每个功能单元配备一个现场操作箱，便于操作人员操作。操作箱上可实现液位及压力报警，可对报警进行复位。当系统有报警时，供胶间配有喇叭进行声光报警，并配有急停装置，紧急情况可以停机。</w:t>
            </w:r>
          </w:p>
        </w:tc>
      </w:tr>
    </w:tbl>
    <w:p w14:paraId="3CE6543D">
      <w:pPr>
        <w:pStyle w:val="17"/>
        <w:pageBreakBefore w:val="0"/>
        <w:numPr>
          <w:ilvl w:val="0"/>
          <w:numId w:val="15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供胶泵胶位检测与指示：胶的液位检测是通过安装在胶泵模组上的行程开关来进行的。当到达低位时，现场操作箱上的红色指示灯亮。</w:t>
      </w:r>
    </w:p>
    <w:p w14:paraId="77C49DC8">
      <w:pPr>
        <w:pStyle w:val="17"/>
        <w:pageBreakBefore w:val="0"/>
        <w:numPr>
          <w:ilvl w:val="0"/>
          <w:numId w:val="15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供胶泵启动和切换控制：胶泵运行分自动、手动两种方式，可以通过现场操作箱的转换开关进行选择。</w:t>
      </w:r>
    </w:p>
    <w:p w14:paraId="5D615905">
      <w:pPr>
        <w:pStyle w:val="17"/>
        <w:pageBreakBefore w:val="0"/>
        <w:numPr>
          <w:ilvl w:val="0"/>
          <w:numId w:val="15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在自动方式下，当A胶泵模组低液位时，B泵开始工作，一段时间（可以设定）后，A泵自动停止工作，同时系统进行声光报警，提醒操作换桶，同样当B胶泵模组低液位时，也按同样的方式切换到A泵。如此反复运行。在手动方式下，可以随时启动任意的泵，不受胶的液位的控制。同时可以对泵的运行频次进行监控和设定，超出设定的运行频次发生声光报警并自动停机。</w:t>
      </w:r>
    </w:p>
    <w:p w14:paraId="792E1C85">
      <w:pPr>
        <w:pStyle w:val="5"/>
        <w:pageBreakBefore w:val="0"/>
        <w:numPr>
          <w:ilvl w:val="0"/>
          <w:numId w:val="158"/>
        </w:numPr>
        <w:kinsoku/>
        <w:wordWrap/>
        <w:topLinePunct w:val="0"/>
        <w:bidi w:val="0"/>
        <w:adjustRightInd w:val="0"/>
        <w:snapToGrid w:val="0"/>
        <w:spacing w:before="0" w:afterAutospacing="0" w:line="360" w:lineRule="auto"/>
        <w:ind w:left="425" w:leftChars="0" w:hanging="425" w:firstLineChars="0"/>
        <w:rPr>
          <w:rFonts w:hint="eastAsia" w:ascii="宋体" w:hAnsi="宋体" w:eastAsia="宋体" w:cs="宋体"/>
          <w:sz w:val="24"/>
          <w:szCs w:val="24"/>
        </w:rPr>
      </w:pPr>
      <w:r>
        <w:rPr>
          <w:rFonts w:hint="eastAsia" w:ascii="宋体" w:hAnsi="宋体" w:eastAsia="宋体" w:cs="宋体"/>
          <w:sz w:val="24"/>
          <w:szCs w:val="24"/>
        </w:rPr>
        <w:t>PVC底板胶控制系统</w:t>
      </w:r>
    </w:p>
    <w:p w14:paraId="31565616">
      <w:pPr>
        <w:pStyle w:val="17"/>
        <w:pageBreakBefore w:val="0"/>
        <w:numPr>
          <w:ilvl w:val="0"/>
          <w:numId w:val="15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供胶泵胶位检测与指示：胶的液位检测是通过安装在胶泵模组上的行程开关来进行的。当到达低位时，现场操作箱上的红色指示灯亮。</w:t>
      </w:r>
    </w:p>
    <w:p w14:paraId="76E27258">
      <w:pPr>
        <w:pStyle w:val="17"/>
        <w:pageBreakBefore w:val="0"/>
        <w:numPr>
          <w:ilvl w:val="0"/>
          <w:numId w:val="15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供胶泵启动和切换控制：胶泵运行分自动、手动两种方式，可以通过现场操作箱的转换开关进行选择。</w:t>
      </w:r>
    </w:p>
    <w:p w14:paraId="0345D842">
      <w:pPr>
        <w:pStyle w:val="17"/>
        <w:pageBreakBefore w:val="0"/>
        <w:numPr>
          <w:ilvl w:val="0"/>
          <w:numId w:val="158"/>
        </w:numPr>
        <w:kinsoku/>
        <w:wordWrap/>
        <w:topLinePunct w:val="0"/>
        <w:bidi w:val="0"/>
        <w:adjustRightInd w:val="0"/>
        <w:snapToGrid w:val="0"/>
        <w:spacing w:before="0" w:after="0" w:afterAutospacing="0" w:line="360" w:lineRule="auto"/>
        <w:ind w:left="425" w:leftChars="0" w:hanging="425" w:firstLineChars="0"/>
        <w:rPr>
          <w:rFonts w:hint="eastAsia" w:ascii="宋体" w:hAnsi="宋体" w:eastAsia="宋体" w:cs="宋体"/>
        </w:rPr>
      </w:pPr>
      <w:r>
        <w:rPr>
          <w:rFonts w:hint="eastAsia" w:ascii="宋体" w:hAnsi="宋体" w:eastAsia="宋体" w:cs="宋体"/>
        </w:rPr>
        <w:t>在自动方式下，当A胶泵模组低液位时，B泵开始工作，一段时间（可以设定）后，A泵自动停止工作，同时系统进行声光报警，提醒操作换桶，同样当B胶泵模组低液位时，也按同样的方式切换到A泵。如此反复运行。在手动方式下，可以随时启动任意的泵，不受胶的液位的控制。同时可以对泵的运行频次进行监控和设定，超出设定的运行频次发生声光报警并自动停机。</w:t>
      </w:r>
    </w:p>
    <w:p w14:paraId="783CD927">
      <w:pPr>
        <w:pStyle w:val="5"/>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主控制盘技术参数:</w:t>
      </w:r>
    </w:p>
    <w:p w14:paraId="07E32F33">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rPr>
      </w:pPr>
      <w:r>
        <w:rPr>
          <w:rFonts w:hint="eastAsia" w:ascii="宋体" w:hAnsi="宋体" w:eastAsia="宋体" w:cs="宋体"/>
        </w:rPr>
        <w:t>尺寸：高度（H）= 2200mm(含底盘)，宽度（W）= 800或1200mm，厚度（T）= 500mm</w:t>
      </w:r>
    </w:p>
    <w:p w14:paraId="2ADAD1E8">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rPr>
      </w:pPr>
      <w:r>
        <w:rPr>
          <w:rFonts w:hint="eastAsia" w:ascii="宋体" w:hAnsi="宋体" w:eastAsia="宋体" w:cs="宋体"/>
        </w:rPr>
        <w:t>结构：威图结构（带空调）</w:t>
      </w:r>
    </w:p>
    <w:p w14:paraId="0752F41E">
      <w:pPr>
        <w:pStyle w:val="17"/>
        <w:pageBreakBefore w:val="0"/>
        <w:numPr>
          <w:ilvl w:val="0"/>
          <w:numId w:val="0"/>
        </w:numPr>
        <w:kinsoku/>
        <w:wordWrap/>
        <w:topLinePunct w:val="0"/>
        <w:bidi w:val="0"/>
        <w:adjustRightInd w:val="0"/>
        <w:snapToGrid w:val="0"/>
        <w:spacing w:before="0" w:after="0" w:afterAutospacing="0" w:line="360" w:lineRule="auto"/>
        <w:ind w:leftChars="0"/>
        <w:rPr>
          <w:rFonts w:hint="eastAsia" w:ascii="宋体" w:hAnsi="宋体" w:eastAsia="宋体" w:cs="宋体"/>
        </w:rPr>
      </w:pPr>
      <w:r>
        <w:rPr>
          <w:rFonts w:hint="eastAsia" w:ascii="宋体" w:hAnsi="宋体" w:eastAsia="宋体" w:cs="宋体"/>
        </w:rPr>
        <w:t>颜色：底盘黑色，柜体颜色按</w:t>
      </w:r>
      <w:r>
        <w:rPr>
          <w:rFonts w:hint="eastAsia" w:ascii="宋体" w:hAnsi="宋体" w:cs="宋体"/>
          <w:lang w:eastAsia="zh-CN"/>
        </w:rPr>
        <w:t>招标人</w:t>
      </w:r>
      <w:r>
        <w:rPr>
          <w:rFonts w:hint="eastAsia" w:ascii="宋体" w:hAnsi="宋体" w:eastAsia="宋体" w:cs="宋体"/>
        </w:rPr>
        <w:t>要求</w:t>
      </w:r>
    </w:p>
    <w:p w14:paraId="5017A6F0">
      <w:pPr>
        <w:pStyle w:val="5"/>
        <w:pageBreakBefore w:val="0"/>
        <w:numPr>
          <w:ilvl w:val="0"/>
          <w:numId w:val="157"/>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供蜡控制系统</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759"/>
        <w:gridCol w:w="7895"/>
      </w:tblGrid>
      <w:tr w14:paraId="57CF4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758" w:hRule="atLeast"/>
          <w:jc w:val="center"/>
        </w:trPr>
        <w:tc>
          <w:tcPr>
            <w:tcW w:w="911" w:type="pct"/>
            <w:tcBorders>
              <w:top w:val="single" w:color="auto" w:sz="4" w:space="0"/>
              <w:left w:val="single" w:color="auto" w:sz="4" w:space="0"/>
              <w:bottom w:val="single" w:color="auto" w:sz="4" w:space="0"/>
              <w:right w:val="single" w:color="auto" w:sz="4" w:space="0"/>
            </w:tcBorders>
            <w:shd w:val="clear" w:color="auto" w:fill="auto"/>
            <w:vAlign w:val="center"/>
          </w:tcPr>
          <w:p w14:paraId="5995D44D">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控制盘（箱）</w:t>
            </w:r>
          </w:p>
        </w:tc>
        <w:tc>
          <w:tcPr>
            <w:tcW w:w="4088" w:type="pct"/>
            <w:tcBorders>
              <w:top w:val="single" w:color="auto" w:sz="4" w:space="0"/>
              <w:left w:val="single" w:color="auto" w:sz="4" w:space="0"/>
              <w:bottom w:val="single" w:color="auto" w:sz="4" w:space="0"/>
              <w:right w:val="single" w:color="auto" w:sz="4" w:space="0"/>
            </w:tcBorders>
            <w:shd w:val="clear" w:color="auto" w:fill="auto"/>
            <w:vAlign w:val="center"/>
          </w:tcPr>
          <w:p w14:paraId="5D371F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功能说明</w:t>
            </w:r>
          </w:p>
        </w:tc>
      </w:tr>
      <w:tr w14:paraId="4B6D9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 w:hRule="atLeast"/>
          <w:jc w:val="center"/>
        </w:trPr>
        <w:tc>
          <w:tcPr>
            <w:tcW w:w="911" w:type="pct"/>
            <w:tcBorders>
              <w:top w:val="single" w:color="auto" w:sz="4" w:space="0"/>
              <w:left w:val="single" w:color="auto" w:sz="4" w:space="0"/>
              <w:bottom w:val="single" w:color="auto" w:sz="4" w:space="0"/>
              <w:right w:val="single" w:color="auto" w:sz="4" w:space="0"/>
            </w:tcBorders>
            <w:shd w:val="clear" w:color="auto" w:fill="auto"/>
            <w:vAlign w:val="center"/>
          </w:tcPr>
          <w:p w14:paraId="3F10B5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主控制盘</w:t>
            </w:r>
          </w:p>
          <w:p w14:paraId="42D36D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（MCP）</w:t>
            </w:r>
          </w:p>
        </w:tc>
        <w:tc>
          <w:tcPr>
            <w:tcW w:w="4088" w:type="pct"/>
            <w:tcBorders>
              <w:top w:val="single" w:color="auto" w:sz="4" w:space="0"/>
              <w:left w:val="single" w:color="auto" w:sz="4" w:space="0"/>
              <w:bottom w:val="single" w:color="auto" w:sz="4" w:space="0"/>
              <w:right w:val="single" w:color="auto" w:sz="4" w:space="0"/>
            </w:tcBorders>
            <w:shd w:val="clear" w:color="auto" w:fill="auto"/>
          </w:tcPr>
          <w:p w14:paraId="4D8A2107">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1、提供蜡循环系统的相关控制，包含供蜡的液位报警、气动泵的控制等。</w:t>
            </w:r>
          </w:p>
          <w:p w14:paraId="7803870F">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kern w:val="0"/>
                <w:sz w:val="24"/>
              </w:rPr>
            </w:pPr>
            <w:r>
              <w:rPr>
                <w:rFonts w:hint="eastAsia" w:ascii="宋体" w:hAnsi="宋体" w:eastAsia="宋体" w:cs="宋体"/>
                <w:sz w:val="24"/>
              </w:rPr>
              <w:t>2、控制柜尺寸非标（满足控制要求）、颜色满足</w:t>
            </w:r>
            <w:r>
              <w:rPr>
                <w:rFonts w:hint="eastAsia" w:ascii="宋体" w:hAnsi="宋体" w:cs="宋体"/>
                <w:sz w:val="24"/>
                <w:lang w:eastAsia="zh-CN"/>
              </w:rPr>
              <w:t>招标人</w:t>
            </w:r>
            <w:r>
              <w:rPr>
                <w:rFonts w:hint="eastAsia" w:ascii="宋体" w:hAnsi="宋体" w:eastAsia="宋体" w:cs="宋体"/>
                <w:sz w:val="24"/>
              </w:rPr>
              <w:t>颜色标准、品牌满足品牌选型表、配置散热风扇、配柱状报警灯品牌满足</w:t>
            </w:r>
            <w:r>
              <w:rPr>
                <w:rFonts w:hint="eastAsia" w:ascii="宋体" w:hAnsi="宋体" w:cs="宋体"/>
                <w:sz w:val="24"/>
                <w:lang w:eastAsia="zh-CN"/>
              </w:rPr>
              <w:t>招标人</w:t>
            </w:r>
            <w:r>
              <w:rPr>
                <w:rFonts w:hint="eastAsia" w:ascii="宋体" w:hAnsi="宋体" w:eastAsia="宋体" w:cs="宋体"/>
                <w:sz w:val="24"/>
              </w:rPr>
              <w:t>品牌要求、配置插座及图纸盒、要配置隔离变压器和24V电源、急停配置防护罩、控制柜放置在供蜡间外，控制柜上方如有管路必须增加防水罩，防水罩样式必须经</w:t>
            </w:r>
            <w:r>
              <w:rPr>
                <w:rFonts w:hint="eastAsia" w:ascii="宋体" w:hAnsi="宋体" w:cs="宋体"/>
                <w:sz w:val="24"/>
                <w:lang w:eastAsia="zh-CN"/>
              </w:rPr>
              <w:t>招标人</w:t>
            </w:r>
            <w:r>
              <w:rPr>
                <w:rFonts w:hint="eastAsia" w:ascii="宋体" w:hAnsi="宋体" w:eastAsia="宋体" w:cs="宋体"/>
                <w:sz w:val="24"/>
              </w:rPr>
              <w:t>审核后才能添加。</w:t>
            </w:r>
          </w:p>
          <w:p w14:paraId="28CD2450">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3、本系统必须配置温控仪表。</w:t>
            </w:r>
          </w:p>
        </w:tc>
      </w:tr>
      <w:tr w14:paraId="4F6DF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9" w:hRule="atLeast"/>
          <w:jc w:val="center"/>
        </w:trPr>
        <w:tc>
          <w:tcPr>
            <w:tcW w:w="911" w:type="pct"/>
            <w:tcBorders>
              <w:top w:val="single" w:color="auto" w:sz="4" w:space="0"/>
              <w:left w:val="single" w:color="auto" w:sz="4" w:space="0"/>
              <w:bottom w:val="single" w:color="auto" w:sz="4" w:space="0"/>
              <w:right w:val="single" w:color="auto" w:sz="4" w:space="0"/>
            </w:tcBorders>
            <w:shd w:val="clear" w:color="auto" w:fill="auto"/>
            <w:vAlign w:val="center"/>
          </w:tcPr>
          <w:p w14:paraId="23C4FB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蜡温度控制</w:t>
            </w:r>
          </w:p>
        </w:tc>
        <w:tc>
          <w:tcPr>
            <w:tcW w:w="4088" w:type="pct"/>
            <w:tcBorders>
              <w:top w:val="single" w:color="auto" w:sz="4" w:space="0"/>
              <w:left w:val="single" w:color="auto" w:sz="4" w:space="0"/>
              <w:bottom w:val="single" w:color="auto" w:sz="4" w:space="0"/>
              <w:right w:val="single" w:color="auto" w:sz="4" w:space="0"/>
            </w:tcBorders>
            <w:shd w:val="clear" w:color="auto" w:fill="auto"/>
          </w:tcPr>
          <w:p w14:paraId="27BC70E9">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2、保证供蜡温度在15℃～40℃之间可调，精度为±2℃。</w:t>
            </w:r>
          </w:p>
          <w:p w14:paraId="300BB483">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3、控制方式为电加热或电制冷，</w:t>
            </w:r>
            <w:r>
              <w:rPr>
                <w:rFonts w:hint="eastAsia" w:ascii="宋体" w:hAnsi="宋体" w:cs="宋体"/>
                <w:sz w:val="24"/>
                <w:lang w:eastAsia="zh-CN"/>
              </w:rPr>
              <w:t>投标人</w:t>
            </w:r>
            <w:r>
              <w:rPr>
                <w:rFonts w:hint="eastAsia" w:ascii="宋体" w:hAnsi="宋体" w:eastAsia="宋体" w:cs="宋体"/>
                <w:sz w:val="24"/>
              </w:rPr>
              <w:t>自行考虑。</w:t>
            </w:r>
          </w:p>
        </w:tc>
      </w:tr>
    </w:tbl>
    <w:p w14:paraId="4B0E9F61">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bCs/>
          <w:sz w:val="24"/>
        </w:rPr>
      </w:pPr>
      <w:r>
        <w:rPr>
          <w:rFonts w:hint="eastAsia" w:ascii="宋体" w:hAnsi="宋体" w:eastAsia="宋体" w:cs="宋体"/>
          <w:b/>
        </w:rPr>
        <w:t>注：所有的变频器均需配置操作面板，同时根据安全要求部分安装区域采用防爆型。当选型表与品牌清单冲突时按照品牌清单执行，品牌和型号变更需得到</w:t>
      </w:r>
      <w:r>
        <w:rPr>
          <w:rFonts w:hint="eastAsia" w:ascii="宋体" w:hAnsi="宋体" w:cs="宋体"/>
          <w:b/>
          <w:lang w:eastAsia="zh-CN"/>
        </w:rPr>
        <w:t>招标人</w:t>
      </w:r>
      <w:r>
        <w:rPr>
          <w:rFonts w:hint="eastAsia" w:ascii="宋体" w:hAnsi="宋体" w:eastAsia="宋体" w:cs="宋体"/>
          <w:b/>
        </w:rPr>
        <w:t>同意。</w:t>
      </w:r>
    </w:p>
    <w:p w14:paraId="0E37F546">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31" w:name="_Toc22186"/>
      <w:r>
        <w:rPr>
          <w:rFonts w:hint="eastAsia" w:ascii="宋体" w:hAnsi="宋体" w:eastAsia="宋体" w:cs="宋体"/>
          <w:b/>
          <w:bCs/>
          <w:sz w:val="24"/>
          <w:szCs w:val="24"/>
        </w:rPr>
        <w:t>质量要求</w:t>
      </w:r>
      <w:bookmarkEnd w:id="131"/>
    </w:p>
    <w:p w14:paraId="2FAB085C">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承接的本项目为“交钥匙”工程，</w:t>
      </w:r>
      <w:r>
        <w:rPr>
          <w:rFonts w:hint="eastAsia" w:ascii="宋体" w:hAnsi="宋体" w:cs="宋体"/>
          <w:lang w:eastAsia="zh-CN"/>
        </w:rPr>
        <w:t>投标人</w:t>
      </w:r>
      <w:r>
        <w:rPr>
          <w:rFonts w:hint="eastAsia" w:ascii="宋体" w:hAnsi="宋体" w:eastAsia="宋体" w:cs="宋体"/>
        </w:rPr>
        <w:t>须对工程负全面责任，包括设计、制造、外购、包装、运输、装卸、吊装、就位、安装、调试、备品备件、培训、售后服务、伴随生产以及各种税费、工程保险等全部范围，以满足工艺、安全、可靠性、相关规范标准等方面要求。</w:t>
      </w:r>
    </w:p>
    <w:p w14:paraId="2FEA0718">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负责完成涂装车间土建工程（包括设备基础）、公用工程的施工；因施工产生能源消耗，</w:t>
      </w:r>
      <w:r>
        <w:rPr>
          <w:rFonts w:hint="eastAsia" w:ascii="宋体" w:hAnsi="宋体" w:cs="宋体"/>
          <w:lang w:eastAsia="zh-CN"/>
        </w:rPr>
        <w:t>投标人</w:t>
      </w:r>
      <w:r>
        <w:rPr>
          <w:rFonts w:hint="eastAsia" w:ascii="宋体" w:hAnsi="宋体" w:eastAsia="宋体" w:cs="宋体"/>
        </w:rPr>
        <w:t>须承担费用。</w:t>
      </w:r>
    </w:p>
    <w:p w14:paraId="64CF0C95">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分别提供漆、胶、蜡材料参数供</w:t>
      </w:r>
      <w:r>
        <w:rPr>
          <w:rFonts w:hint="eastAsia" w:ascii="宋体" w:hAnsi="宋体" w:cs="宋体"/>
          <w:lang w:eastAsia="zh-CN"/>
        </w:rPr>
        <w:t>投标人</w:t>
      </w:r>
      <w:r>
        <w:rPr>
          <w:rFonts w:hint="eastAsia" w:ascii="宋体" w:hAnsi="宋体" w:eastAsia="宋体" w:cs="宋体"/>
        </w:rPr>
        <w:t>设计参考。</w:t>
      </w:r>
    </w:p>
    <w:p w14:paraId="77054860">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在完成车间的土建工程和相关的公用、设备配套工程，具备设备进场施工条件后，通知</w:t>
      </w:r>
      <w:r>
        <w:rPr>
          <w:rFonts w:hint="eastAsia" w:ascii="宋体" w:hAnsi="宋体" w:cs="宋体"/>
          <w:lang w:eastAsia="zh-CN"/>
        </w:rPr>
        <w:t>投标人</w:t>
      </w:r>
      <w:r>
        <w:rPr>
          <w:rFonts w:hint="eastAsia" w:ascii="宋体" w:hAnsi="宋体" w:eastAsia="宋体" w:cs="宋体"/>
        </w:rPr>
        <w:t>进场。</w:t>
      </w:r>
      <w:r>
        <w:rPr>
          <w:rFonts w:hint="eastAsia" w:ascii="宋体" w:hAnsi="宋体" w:cs="宋体"/>
          <w:lang w:eastAsia="zh-CN"/>
        </w:rPr>
        <w:t>投标人</w:t>
      </w:r>
      <w:r>
        <w:rPr>
          <w:rFonts w:hint="eastAsia" w:ascii="宋体" w:hAnsi="宋体" w:eastAsia="宋体" w:cs="宋体"/>
        </w:rPr>
        <w:t>须配合</w:t>
      </w:r>
      <w:r>
        <w:rPr>
          <w:rFonts w:hint="eastAsia" w:ascii="宋体" w:hAnsi="宋体" w:cs="宋体"/>
          <w:lang w:eastAsia="zh-CN"/>
        </w:rPr>
        <w:t>招标人</w:t>
      </w:r>
      <w:r>
        <w:rPr>
          <w:rFonts w:hint="eastAsia" w:ascii="宋体" w:hAnsi="宋体" w:eastAsia="宋体" w:cs="宋体"/>
        </w:rPr>
        <w:t>执行进场手续办理，包括但不限于以下：相关施工管理制度宣贯、设备及材料进场检验、临时工作证办理、临电登记及接取等，以上手续办理内容如产生费用或押金的由</w:t>
      </w:r>
      <w:r>
        <w:rPr>
          <w:rFonts w:hint="eastAsia" w:ascii="宋体" w:hAnsi="宋体" w:cs="宋体"/>
          <w:lang w:eastAsia="zh-CN"/>
        </w:rPr>
        <w:t>投标人</w:t>
      </w:r>
      <w:r>
        <w:rPr>
          <w:rFonts w:hint="eastAsia" w:ascii="宋体" w:hAnsi="宋体" w:eastAsia="宋体" w:cs="宋体"/>
        </w:rPr>
        <w:t>自行承担。</w:t>
      </w:r>
    </w:p>
    <w:p w14:paraId="46115983">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提供现场制造、安装的必要条件，包括运输通道、制作场地、原材料/设备存放地、必要的协助等。</w:t>
      </w:r>
      <w:r>
        <w:rPr>
          <w:rFonts w:hint="eastAsia" w:ascii="宋体" w:hAnsi="宋体" w:cs="宋体"/>
          <w:lang w:eastAsia="zh-CN"/>
        </w:rPr>
        <w:t>投标人</w:t>
      </w:r>
      <w:r>
        <w:rPr>
          <w:rFonts w:hint="eastAsia" w:ascii="宋体" w:hAnsi="宋体" w:eastAsia="宋体" w:cs="宋体"/>
        </w:rPr>
        <w:t>须自备施工工具和/或设备，严格按照相关施工规范、标准，</w:t>
      </w:r>
      <w:r>
        <w:rPr>
          <w:rFonts w:hint="eastAsia" w:ascii="宋体" w:hAnsi="宋体" w:cs="宋体"/>
          <w:lang w:eastAsia="zh-CN"/>
        </w:rPr>
        <w:t>招标人</w:t>
      </w:r>
      <w:r>
        <w:rPr>
          <w:rFonts w:hint="eastAsia" w:ascii="宋体" w:hAnsi="宋体" w:eastAsia="宋体" w:cs="宋体"/>
        </w:rPr>
        <w:t>相关施工管理制度，工程进度及计划等进行施工，并随时接受</w:t>
      </w:r>
      <w:r>
        <w:rPr>
          <w:rFonts w:hint="eastAsia" w:ascii="宋体" w:hAnsi="宋体" w:cs="宋体"/>
          <w:lang w:eastAsia="zh-CN"/>
        </w:rPr>
        <w:t>招标人</w:t>
      </w:r>
      <w:r>
        <w:rPr>
          <w:rFonts w:hint="eastAsia" w:ascii="宋体" w:hAnsi="宋体" w:eastAsia="宋体" w:cs="宋体"/>
        </w:rPr>
        <w:t>项目代表的监督与检查，同时对所有供货（含</w:t>
      </w:r>
      <w:r>
        <w:rPr>
          <w:rFonts w:hint="eastAsia" w:ascii="宋体" w:hAnsi="宋体" w:cs="宋体"/>
          <w:lang w:eastAsia="zh-CN"/>
        </w:rPr>
        <w:t>招标人</w:t>
      </w:r>
      <w:r>
        <w:rPr>
          <w:rFonts w:hint="eastAsia" w:ascii="宋体" w:hAnsi="宋体" w:eastAsia="宋体" w:cs="宋体"/>
        </w:rPr>
        <w:t>采购的配件）负有看护责任。</w:t>
      </w:r>
    </w:p>
    <w:p w14:paraId="49BE3D39">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为</w:t>
      </w:r>
      <w:r>
        <w:rPr>
          <w:rFonts w:hint="eastAsia" w:ascii="宋体" w:hAnsi="宋体" w:cs="宋体"/>
          <w:lang w:eastAsia="zh-CN"/>
        </w:rPr>
        <w:t>投标人</w:t>
      </w:r>
      <w:r>
        <w:rPr>
          <w:rFonts w:hint="eastAsia" w:ascii="宋体" w:hAnsi="宋体" w:eastAsia="宋体" w:cs="宋体"/>
        </w:rPr>
        <w:t>现场卸货、制造、安装尽可能提供相应的协助，如起吊、搬运工具等，费用由</w:t>
      </w:r>
      <w:r>
        <w:rPr>
          <w:rFonts w:hint="eastAsia" w:ascii="宋体" w:hAnsi="宋体" w:cs="宋体"/>
          <w:lang w:eastAsia="zh-CN"/>
        </w:rPr>
        <w:t>投标人</w:t>
      </w:r>
      <w:r>
        <w:rPr>
          <w:rFonts w:hint="eastAsia" w:ascii="宋体" w:hAnsi="宋体" w:eastAsia="宋体" w:cs="宋体"/>
        </w:rPr>
        <w:t>承担。</w:t>
      </w:r>
    </w:p>
    <w:p w14:paraId="72600E3C">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对</w:t>
      </w:r>
      <w:r>
        <w:rPr>
          <w:rFonts w:hint="eastAsia" w:ascii="宋体" w:hAnsi="宋体" w:cs="宋体"/>
          <w:lang w:eastAsia="zh-CN"/>
        </w:rPr>
        <w:t>投标人</w:t>
      </w:r>
      <w:r>
        <w:rPr>
          <w:rFonts w:hint="eastAsia" w:ascii="宋体" w:hAnsi="宋体" w:eastAsia="宋体" w:cs="宋体"/>
        </w:rPr>
        <w:t>有全面的监督检查权，有权审查施工制作单位、供货单位的资格、质量和信誉等，如施工制作单位或供货单位不能满足</w:t>
      </w:r>
      <w:r>
        <w:rPr>
          <w:rFonts w:hint="eastAsia" w:ascii="宋体" w:hAnsi="宋体" w:cs="宋体"/>
          <w:lang w:eastAsia="zh-CN"/>
        </w:rPr>
        <w:t>招标人</w:t>
      </w:r>
      <w:r>
        <w:rPr>
          <w:rFonts w:hint="eastAsia" w:ascii="宋体" w:hAnsi="宋体" w:eastAsia="宋体" w:cs="宋体"/>
        </w:rPr>
        <w:t>要求，</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进行替换，并不另行支付费用。</w:t>
      </w:r>
    </w:p>
    <w:p w14:paraId="3EC05D0A">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对本项目有全面的监督检查权，有权监督协调工程的施工进度，有权审查设备的制造、外购件的购置和设备的安装质量。如设备的制造、安装和外购件质量等方面不能满足</w:t>
      </w:r>
      <w:r>
        <w:rPr>
          <w:rFonts w:hint="eastAsia" w:ascii="宋体" w:hAnsi="宋体" w:cs="宋体"/>
          <w:lang w:eastAsia="zh-CN"/>
        </w:rPr>
        <w:t>招标人</w:t>
      </w:r>
      <w:r>
        <w:rPr>
          <w:rFonts w:hint="eastAsia" w:ascii="宋体" w:hAnsi="宋体" w:eastAsia="宋体" w:cs="宋体"/>
        </w:rPr>
        <w:t>要求，</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暂停设备的制造和安装，替换不符合要求的外购件。</w:t>
      </w:r>
      <w:r>
        <w:rPr>
          <w:rFonts w:hint="eastAsia" w:ascii="宋体" w:hAnsi="宋体" w:cs="宋体"/>
          <w:lang w:eastAsia="zh-CN"/>
        </w:rPr>
        <w:t>投标人</w:t>
      </w:r>
      <w:r>
        <w:rPr>
          <w:rFonts w:hint="eastAsia" w:ascii="宋体" w:hAnsi="宋体" w:eastAsia="宋体" w:cs="宋体"/>
        </w:rPr>
        <w:t>应立即采取措施，加以改进，直至达到</w:t>
      </w:r>
      <w:r>
        <w:rPr>
          <w:rFonts w:hint="eastAsia" w:ascii="宋体" w:hAnsi="宋体" w:cs="宋体"/>
          <w:lang w:eastAsia="zh-CN"/>
        </w:rPr>
        <w:t>招标人</w:t>
      </w:r>
      <w:r>
        <w:rPr>
          <w:rFonts w:hint="eastAsia" w:ascii="宋体" w:hAnsi="宋体" w:eastAsia="宋体" w:cs="宋体"/>
        </w:rPr>
        <w:t>要求为止，因此产生的费用或工期延迟等，均由</w:t>
      </w:r>
      <w:r>
        <w:rPr>
          <w:rFonts w:hint="eastAsia" w:ascii="宋体" w:hAnsi="宋体" w:cs="宋体"/>
          <w:lang w:eastAsia="zh-CN"/>
        </w:rPr>
        <w:t>投标人</w:t>
      </w:r>
      <w:r>
        <w:rPr>
          <w:rFonts w:hint="eastAsia" w:ascii="宋体" w:hAnsi="宋体" w:eastAsia="宋体" w:cs="宋体"/>
        </w:rPr>
        <w:t>自行承担。</w:t>
      </w:r>
    </w:p>
    <w:p w14:paraId="590ADB66">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按时派遣相关人员参加</w:t>
      </w:r>
      <w:r>
        <w:rPr>
          <w:rFonts w:hint="eastAsia" w:ascii="宋体" w:hAnsi="宋体" w:cs="宋体"/>
          <w:lang w:eastAsia="zh-CN"/>
        </w:rPr>
        <w:t>投标人</w:t>
      </w:r>
      <w:r>
        <w:rPr>
          <w:rFonts w:hint="eastAsia" w:ascii="宋体" w:hAnsi="宋体" w:eastAsia="宋体" w:cs="宋体"/>
        </w:rPr>
        <w:t>组织的技术培训。</w:t>
      </w:r>
    </w:p>
    <w:p w14:paraId="30818948">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免费提供本项目调试所需的能源动力等，</w:t>
      </w:r>
      <w:r>
        <w:rPr>
          <w:rFonts w:hint="eastAsia" w:ascii="宋体" w:hAnsi="宋体" w:cs="宋体"/>
          <w:lang w:eastAsia="zh-CN"/>
        </w:rPr>
        <w:t>投标人</w:t>
      </w:r>
      <w:r>
        <w:rPr>
          <w:rFonts w:hint="eastAsia" w:ascii="宋体" w:hAnsi="宋体" w:eastAsia="宋体" w:cs="宋体"/>
        </w:rPr>
        <w:t>须自行采购因管路保压试验而产生的耗材。</w:t>
      </w:r>
    </w:p>
    <w:p w14:paraId="7F65A3D7">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本项目调试工作由</w:t>
      </w:r>
      <w:r>
        <w:rPr>
          <w:rFonts w:hint="eastAsia" w:ascii="宋体" w:hAnsi="宋体" w:cs="宋体"/>
          <w:lang w:eastAsia="zh-CN"/>
        </w:rPr>
        <w:t>投标人</w:t>
      </w:r>
      <w:r>
        <w:rPr>
          <w:rFonts w:hint="eastAsia" w:ascii="宋体" w:hAnsi="宋体" w:eastAsia="宋体" w:cs="宋体"/>
        </w:rPr>
        <w:t>调试人员主导，</w:t>
      </w:r>
      <w:r>
        <w:rPr>
          <w:rFonts w:hint="eastAsia" w:ascii="宋体" w:hAnsi="宋体" w:cs="宋体"/>
          <w:lang w:eastAsia="zh-CN"/>
        </w:rPr>
        <w:t>招标人</w:t>
      </w:r>
      <w:r>
        <w:rPr>
          <w:rFonts w:hint="eastAsia" w:ascii="宋体" w:hAnsi="宋体" w:eastAsia="宋体" w:cs="宋体"/>
        </w:rPr>
        <w:t>操作及维护人员辅助；试生产工作由</w:t>
      </w:r>
      <w:r>
        <w:rPr>
          <w:rFonts w:hint="eastAsia" w:ascii="宋体" w:hAnsi="宋体" w:cs="宋体"/>
          <w:lang w:eastAsia="zh-CN"/>
        </w:rPr>
        <w:t>招标人</w:t>
      </w:r>
      <w:r>
        <w:rPr>
          <w:rFonts w:hint="eastAsia" w:ascii="宋体" w:hAnsi="宋体" w:eastAsia="宋体" w:cs="宋体"/>
        </w:rPr>
        <w:t>操作及维护人员主导，</w:t>
      </w:r>
      <w:r>
        <w:rPr>
          <w:rFonts w:hint="eastAsia" w:ascii="宋体" w:hAnsi="宋体" w:cs="宋体"/>
          <w:lang w:eastAsia="zh-CN"/>
        </w:rPr>
        <w:t>投标人</w:t>
      </w:r>
      <w:r>
        <w:rPr>
          <w:rFonts w:hint="eastAsia" w:ascii="宋体" w:hAnsi="宋体" w:eastAsia="宋体" w:cs="宋体"/>
        </w:rPr>
        <w:t>技术人员辅助。若因条件不足，不具备调试条件时，甲、乙双方另行协商。</w:t>
      </w:r>
    </w:p>
    <w:p w14:paraId="7F1817FC">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系统的清洗钝化由设备厂家操作，由材料厂家提供清洗钝化方案及工艺、材料，由设备厂家、材料厂家、</w:t>
      </w:r>
      <w:r>
        <w:rPr>
          <w:rFonts w:hint="eastAsia" w:ascii="宋体" w:hAnsi="宋体" w:cs="宋体"/>
          <w:lang w:eastAsia="zh-CN"/>
        </w:rPr>
        <w:t>招标人</w:t>
      </w:r>
      <w:r>
        <w:rPr>
          <w:rFonts w:hint="eastAsia" w:ascii="宋体" w:hAnsi="宋体" w:eastAsia="宋体" w:cs="宋体"/>
        </w:rPr>
        <w:t>共同对设备的清洗钝化情况进行验收确认。</w:t>
      </w:r>
    </w:p>
    <w:p w14:paraId="3EF7E47B">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须在项目达到相应验收条款要求后提出验收及付款申请，</w:t>
      </w:r>
      <w:r>
        <w:rPr>
          <w:rFonts w:hint="eastAsia" w:ascii="宋体" w:hAnsi="宋体" w:cs="宋体"/>
          <w:lang w:eastAsia="zh-CN"/>
        </w:rPr>
        <w:t>招标人</w:t>
      </w:r>
      <w:r>
        <w:rPr>
          <w:rFonts w:hint="eastAsia" w:ascii="宋体" w:hAnsi="宋体" w:eastAsia="宋体" w:cs="宋体"/>
        </w:rPr>
        <w:t>将严格按照相应验收条款进行验收工作，并支付相应的合同款，</w:t>
      </w:r>
    </w:p>
    <w:p w14:paraId="64AF9750">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须在规定时间内完成供货范围内的全部交货，因</w:t>
      </w:r>
      <w:r>
        <w:rPr>
          <w:rFonts w:hint="eastAsia" w:ascii="宋体" w:hAnsi="宋体" w:cs="宋体"/>
          <w:lang w:eastAsia="zh-CN"/>
        </w:rPr>
        <w:t>投标人</w:t>
      </w:r>
      <w:r>
        <w:rPr>
          <w:rFonts w:hint="eastAsia" w:ascii="宋体" w:hAnsi="宋体" w:eastAsia="宋体" w:cs="宋体"/>
        </w:rPr>
        <w:t>原因而导致项目未能按合同规定的时间按期交工验收，</w:t>
      </w:r>
      <w:r>
        <w:rPr>
          <w:rFonts w:hint="eastAsia" w:ascii="宋体" w:hAnsi="宋体" w:cs="宋体"/>
          <w:lang w:eastAsia="zh-CN"/>
        </w:rPr>
        <w:t>投标人</w:t>
      </w:r>
      <w:r>
        <w:rPr>
          <w:rFonts w:hint="eastAsia" w:ascii="宋体" w:hAnsi="宋体" w:eastAsia="宋体" w:cs="宋体"/>
        </w:rPr>
        <w:t>须承担违约责任。</w:t>
      </w:r>
    </w:p>
    <w:p w14:paraId="560F9E43">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向</w:t>
      </w:r>
      <w:r>
        <w:rPr>
          <w:rFonts w:hint="eastAsia" w:ascii="宋体" w:hAnsi="宋体" w:cs="宋体"/>
          <w:lang w:eastAsia="zh-CN"/>
        </w:rPr>
        <w:t>投标人</w:t>
      </w:r>
      <w:r>
        <w:rPr>
          <w:rFonts w:hint="eastAsia" w:ascii="宋体" w:hAnsi="宋体" w:eastAsia="宋体" w:cs="宋体"/>
        </w:rPr>
        <w:t>提供的全部技术文件、技术交底材料，图纸，</w:t>
      </w:r>
      <w:r>
        <w:rPr>
          <w:rFonts w:hint="eastAsia" w:ascii="宋体" w:hAnsi="宋体" w:cs="宋体"/>
          <w:lang w:eastAsia="zh-CN"/>
        </w:rPr>
        <w:t>投标人</w:t>
      </w:r>
      <w:r>
        <w:rPr>
          <w:rFonts w:hint="eastAsia" w:ascii="宋体" w:hAnsi="宋体" w:eastAsia="宋体" w:cs="宋体"/>
        </w:rPr>
        <w:t>须妥善保管，不得提供给任何第三方。如因</w:t>
      </w:r>
      <w:r>
        <w:rPr>
          <w:rFonts w:hint="eastAsia" w:ascii="宋体" w:hAnsi="宋体" w:cs="宋体"/>
          <w:lang w:eastAsia="zh-CN"/>
        </w:rPr>
        <w:t>投标人</w:t>
      </w:r>
      <w:r>
        <w:rPr>
          <w:rFonts w:hint="eastAsia" w:ascii="宋体" w:hAnsi="宋体" w:eastAsia="宋体" w:cs="宋体"/>
        </w:rPr>
        <w:t>违背上述约定而发生泄密或版权纠纷，</w:t>
      </w:r>
      <w:r>
        <w:rPr>
          <w:rFonts w:hint="eastAsia" w:ascii="宋体" w:hAnsi="宋体" w:cs="宋体"/>
          <w:lang w:eastAsia="zh-CN"/>
        </w:rPr>
        <w:t>投标人</w:t>
      </w:r>
      <w:r>
        <w:rPr>
          <w:rFonts w:hint="eastAsia" w:ascii="宋体" w:hAnsi="宋体" w:eastAsia="宋体" w:cs="宋体"/>
        </w:rPr>
        <w:t>应承担全部责任，图纸及技术文件的保密期为十年。</w:t>
      </w:r>
    </w:p>
    <w:p w14:paraId="3D911036">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不得将此工程转包第三方。</w:t>
      </w:r>
    </w:p>
    <w:p w14:paraId="5B065B7E">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因</w:t>
      </w:r>
      <w:r>
        <w:rPr>
          <w:rFonts w:hint="eastAsia" w:ascii="宋体" w:hAnsi="宋体" w:cs="宋体"/>
          <w:lang w:eastAsia="zh-CN"/>
        </w:rPr>
        <w:t>投标人</w:t>
      </w:r>
      <w:r>
        <w:rPr>
          <w:rFonts w:hint="eastAsia" w:ascii="宋体" w:hAnsi="宋体" w:eastAsia="宋体" w:cs="宋体"/>
        </w:rPr>
        <w:t>责任直接导致的损失，均由</w:t>
      </w:r>
      <w:r>
        <w:rPr>
          <w:rFonts w:hint="eastAsia" w:ascii="宋体" w:hAnsi="宋体" w:cs="宋体"/>
          <w:lang w:eastAsia="zh-CN"/>
        </w:rPr>
        <w:t>投标人</w:t>
      </w:r>
      <w:r>
        <w:rPr>
          <w:rFonts w:hint="eastAsia" w:ascii="宋体" w:hAnsi="宋体" w:eastAsia="宋体" w:cs="宋体"/>
        </w:rPr>
        <w:t>承担。</w:t>
      </w:r>
    </w:p>
    <w:p w14:paraId="56A88DF9">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须严格按照设计图纸、设计说明、供货文件、技术文件、经双方确认的来往文件以及有关国家标准、规范组织施工，以保证工程质量，同时</w:t>
      </w:r>
      <w:r>
        <w:rPr>
          <w:rFonts w:hint="eastAsia" w:ascii="宋体" w:hAnsi="宋体" w:cs="宋体"/>
          <w:lang w:eastAsia="zh-CN"/>
        </w:rPr>
        <w:t>招标人</w:t>
      </w:r>
      <w:r>
        <w:rPr>
          <w:rFonts w:hint="eastAsia" w:ascii="宋体" w:hAnsi="宋体" w:eastAsia="宋体" w:cs="宋体"/>
        </w:rPr>
        <w:t>负有监督检查责任。</w:t>
      </w:r>
    </w:p>
    <w:p w14:paraId="4B733DC4">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除完成本项目内全部要求外，仍须无偿满足因现场施工、安装调试、生产需要等因素而造成的</w:t>
      </w:r>
      <w:r>
        <w:rPr>
          <w:rFonts w:hint="eastAsia" w:ascii="宋体" w:hAnsi="宋体" w:cs="宋体"/>
          <w:lang w:eastAsia="zh-CN"/>
        </w:rPr>
        <w:t>投标人</w:t>
      </w:r>
      <w:r>
        <w:rPr>
          <w:rFonts w:hint="eastAsia" w:ascii="宋体" w:hAnsi="宋体" w:eastAsia="宋体" w:cs="宋体"/>
        </w:rPr>
        <w:t>提出并经</w:t>
      </w:r>
      <w:r>
        <w:rPr>
          <w:rFonts w:hint="eastAsia" w:ascii="宋体" w:hAnsi="宋体" w:cs="宋体"/>
          <w:lang w:eastAsia="zh-CN"/>
        </w:rPr>
        <w:t>招标人</w:t>
      </w:r>
      <w:r>
        <w:rPr>
          <w:rFonts w:hint="eastAsia" w:ascii="宋体" w:hAnsi="宋体" w:eastAsia="宋体" w:cs="宋体"/>
        </w:rPr>
        <w:t>确认的设计变更/通知等修改性文件的内容要求；对于本技术文件中未完全明确责任归属的与本系统相关联的工作内容，</w:t>
      </w:r>
      <w:r>
        <w:rPr>
          <w:rFonts w:hint="eastAsia" w:ascii="宋体" w:hAnsi="宋体" w:cs="宋体"/>
          <w:lang w:eastAsia="zh-CN"/>
        </w:rPr>
        <w:t>投标人</w:t>
      </w:r>
      <w:r>
        <w:rPr>
          <w:rFonts w:hint="eastAsia" w:ascii="宋体" w:hAnsi="宋体" w:eastAsia="宋体" w:cs="宋体"/>
        </w:rPr>
        <w:t>有责任按照现场项目部的协调提供无偿协助。</w:t>
      </w:r>
    </w:p>
    <w:p w14:paraId="0A2E3651">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输调漆管线在喷漆室的开孔、开洞由系统供应商提出，在开孔洞前需征求</w:t>
      </w:r>
      <w:r>
        <w:rPr>
          <w:rFonts w:hint="eastAsia" w:ascii="宋体" w:hAnsi="宋体" w:cs="宋体"/>
          <w:lang w:eastAsia="zh-CN"/>
        </w:rPr>
        <w:t>招标人</w:t>
      </w:r>
      <w:r>
        <w:rPr>
          <w:rFonts w:hint="eastAsia" w:ascii="宋体" w:hAnsi="宋体" w:eastAsia="宋体" w:cs="宋体"/>
        </w:rPr>
        <w:t>和喷漆室施工单位的意见后方可进行，开孔洞处应该考虑美观、无缝隙等，如果出现孔洞间隙过大，系统供应商应免费其进行密封处理，保证喷漆室的密封性能</w:t>
      </w:r>
    </w:p>
    <w:p w14:paraId="331FE3F4">
      <w:pPr>
        <w:pStyle w:val="17"/>
        <w:pageBreakBefore w:val="0"/>
        <w:numPr>
          <w:ilvl w:val="0"/>
          <w:numId w:val="15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sz w:val="24"/>
        </w:rPr>
      </w:pPr>
      <w:r>
        <w:rPr>
          <w:rFonts w:hint="eastAsia" w:ascii="宋体" w:hAnsi="宋体" w:cs="宋体"/>
          <w:lang w:eastAsia="zh-CN"/>
        </w:rPr>
        <w:t>投标人</w:t>
      </w:r>
      <w:r>
        <w:rPr>
          <w:rFonts w:hint="eastAsia" w:ascii="宋体" w:hAnsi="宋体" w:eastAsia="宋体" w:cs="宋体"/>
        </w:rPr>
        <w:t>接受，在执行合同过程中，</w:t>
      </w:r>
      <w:r>
        <w:rPr>
          <w:rFonts w:hint="eastAsia" w:ascii="宋体" w:hAnsi="宋体" w:cs="宋体"/>
          <w:lang w:eastAsia="zh-CN"/>
        </w:rPr>
        <w:t>投标人</w:t>
      </w:r>
      <w:r>
        <w:rPr>
          <w:rFonts w:hint="eastAsia" w:ascii="宋体" w:hAnsi="宋体" w:eastAsia="宋体" w:cs="宋体"/>
        </w:rPr>
        <w:t>有资金垫付的义务，保证工程按期完成</w:t>
      </w:r>
    </w:p>
    <w:p w14:paraId="6988A5F4">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32" w:name="_Toc4975"/>
      <w:r>
        <w:rPr>
          <w:rFonts w:hint="eastAsia" w:ascii="宋体" w:hAnsi="宋体" w:eastAsia="宋体" w:cs="宋体"/>
          <w:b/>
          <w:bCs/>
          <w:sz w:val="24"/>
          <w:szCs w:val="24"/>
        </w:rPr>
        <w:t>设备安装</w:t>
      </w:r>
      <w:bookmarkEnd w:id="132"/>
    </w:p>
    <w:p w14:paraId="61588BF2">
      <w:pPr>
        <w:pStyle w:val="3"/>
        <w:pageBreakBefore w:val="0"/>
        <w:numPr>
          <w:ilvl w:val="0"/>
          <w:numId w:val="160"/>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安装</w:t>
      </w:r>
    </w:p>
    <w:p w14:paraId="3EC61E9E">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为了保证</w:t>
      </w:r>
      <w:r>
        <w:rPr>
          <w:rFonts w:hint="eastAsia" w:ascii="宋体" w:hAnsi="宋体" w:cs="宋体"/>
          <w:lang w:eastAsia="zh-CN"/>
        </w:rPr>
        <w:t>投标人</w:t>
      </w:r>
      <w:r>
        <w:rPr>
          <w:rFonts w:hint="eastAsia" w:ascii="宋体" w:hAnsi="宋体" w:eastAsia="宋体" w:cs="宋体"/>
        </w:rPr>
        <w:t>所提供设备的质量，</w:t>
      </w:r>
      <w:r>
        <w:rPr>
          <w:rFonts w:hint="eastAsia" w:ascii="宋体" w:hAnsi="宋体" w:cs="宋体"/>
          <w:lang w:eastAsia="zh-CN"/>
        </w:rPr>
        <w:t>投标人</w:t>
      </w:r>
      <w:r>
        <w:rPr>
          <w:rFonts w:hint="eastAsia" w:ascii="宋体" w:hAnsi="宋体" w:eastAsia="宋体" w:cs="宋体"/>
        </w:rPr>
        <w:t>在合同签订后20 天内将系统设计方案及设计图纸（设计图纸格式采用</w:t>
      </w:r>
      <w:r>
        <w:rPr>
          <w:rFonts w:hint="eastAsia" w:ascii="宋体" w:hAnsi="宋体" w:cs="宋体"/>
          <w:lang w:eastAsia="zh-CN"/>
        </w:rPr>
        <w:t>招标人</w:t>
      </w:r>
      <w:r>
        <w:rPr>
          <w:rFonts w:hint="eastAsia" w:ascii="宋体" w:hAnsi="宋体" w:eastAsia="宋体" w:cs="宋体"/>
        </w:rPr>
        <w:t>提供的标准图纸格式进行）提交给</w:t>
      </w:r>
      <w:r>
        <w:rPr>
          <w:rFonts w:hint="eastAsia" w:ascii="宋体" w:hAnsi="宋体" w:cs="宋体"/>
          <w:lang w:eastAsia="zh-CN"/>
        </w:rPr>
        <w:t>招标人</w:t>
      </w:r>
      <w:r>
        <w:rPr>
          <w:rFonts w:hint="eastAsia" w:ascii="宋体" w:hAnsi="宋体" w:eastAsia="宋体" w:cs="宋体"/>
        </w:rPr>
        <w:t>供</w:t>
      </w:r>
      <w:r>
        <w:rPr>
          <w:rFonts w:hint="eastAsia" w:ascii="宋体" w:hAnsi="宋体" w:cs="宋体"/>
          <w:lang w:eastAsia="zh-CN"/>
        </w:rPr>
        <w:t>招标人</w:t>
      </w:r>
      <w:r>
        <w:rPr>
          <w:rFonts w:hint="eastAsia" w:ascii="宋体" w:hAnsi="宋体" w:eastAsia="宋体" w:cs="宋体"/>
        </w:rPr>
        <w:t>确认（确认期为一周，如有延误，工期顺延）。</w:t>
      </w:r>
      <w:r>
        <w:rPr>
          <w:rFonts w:hint="eastAsia" w:ascii="宋体" w:hAnsi="宋体" w:cs="宋体"/>
          <w:lang w:eastAsia="zh-CN"/>
        </w:rPr>
        <w:t>招标人</w:t>
      </w:r>
      <w:r>
        <w:rPr>
          <w:rFonts w:hint="eastAsia" w:ascii="宋体" w:hAnsi="宋体" w:eastAsia="宋体" w:cs="宋体"/>
        </w:rPr>
        <w:t>对</w:t>
      </w:r>
      <w:r>
        <w:rPr>
          <w:rFonts w:hint="eastAsia" w:ascii="宋体" w:hAnsi="宋体" w:cs="宋体"/>
          <w:lang w:eastAsia="zh-CN"/>
        </w:rPr>
        <w:t>投标人</w:t>
      </w:r>
      <w:r>
        <w:rPr>
          <w:rFonts w:hint="eastAsia" w:ascii="宋体" w:hAnsi="宋体" w:eastAsia="宋体" w:cs="宋体"/>
        </w:rPr>
        <w:t>设计方案及图纸的认可并不代表</w:t>
      </w:r>
      <w:r>
        <w:rPr>
          <w:rFonts w:hint="eastAsia" w:ascii="宋体" w:hAnsi="宋体" w:cs="宋体"/>
          <w:lang w:eastAsia="zh-CN"/>
        </w:rPr>
        <w:t>投标人</w:t>
      </w:r>
      <w:r>
        <w:rPr>
          <w:rFonts w:hint="eastAsia" w:ascii="宋体" w:hAnsi="宋体" w:eastAsia="宋体" w:cs="宋体"/>
        </w:rPr>
        <w:t>最终提供的设备完全符合本项目的具体要求。</w:t>
      </w:r>
      <w:r>
        <w:rPr>
          <w:rFonts w:hint="eastAsia" w:ascii="宋体" w:hAnsi="宋体" w:cs="宋体"/>
          <w:lang w:eastAsia="zh-CN"/>
        </w:rPr>
        <w:t>投标人</w:t>
      </w:r>
      <w:r>
        <w:rPr>
          <w:rFonts w:hint="eastAsia" w:ascii="宋体" w:hAnsi="宋体" w:eastAsia="宋体" w:cs="宋体"/>
        </w:rPr>
        <w:t>仍然应对所提供设备的质量、性能等负全责。</w:t>
      </w:r>
    </w:p>
    <w:p w14:paraId="09AE351B">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设备安装由</w:t>
      </w:r>
      <w:r>
        <w:rPr>
          <w:rFonts w:hint="eastAsia" w:ascii="宋体" w:hAnsi="宋体" w:cs="宋体"/>
          <w:lang w:eastAsia="zh-CN"/>
        </w:rPr>
        <w:t>投标人</w:t>
      </w:r>
      <w:r>
        <w:rPr>
          <w:rFonts w:hint="eastAsia" w:ascii="宋体" w:hAnsi="宋体" w:eastAsia="宋体" w:cs="宋体"/>
        </w:rPr>
        <w:t>实施，</w:t>
      </w:r>
      <w:r>
        <w:rPr>
          <w:rFonts w:hint="eastAsia" w:ascii="宋体" w:hAnsi="宋体" w:cs="宋体"/>
          <w:lang w:eastAsia="zh-CN"/>
        </w:rPr>
        <w:t>投标人</w:t>
      </w:r>
      <w:r>
        <w:rPr>
          <w:rFonts w:hint="eastAsia" w:ascii="宋体" w:hAnsi="宋体" w:eastAsia="宋体" w:cs="宋体"/>
        </w:rPr>
        <w:t>必须有足够的相关技术人员服务于整个过程，杜绝因技术服务不到位而影响工程质量及工程进度的事件发生。由于安装或安全指导工作不到位，所造成事故的责任和费用由</w:t>
      </w:r>
      <w:r>
        <w:rPr>
          <w:rFonts w:hint="eastAsia" w:ascii="宋体" w:hAnsi="宋体" w:cs="宋体"/>
          <w:lang w:eastAsia="zh-CN"/>
        </w:rPr>
        <w:t>投标人</w:t>
      </w:r>
      <w:r>
        <w:rPr>
          <w:rFonts w:hint="eastAsia" w:ascii="宋体" w:hAnsi="宋体" w:eastAsia="宋体" w:cs="宋体"/>
        </w:rPr>
        <w:t>承担。</w:t>
      </w:r>
    </w:p>
    <w:p w14:paraId="4B398C07">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在方案中应详细提供专业安装公司要求（如：安装专业或工种人员应具备的技能水平、人员数量、安装中的配合保障措施，安装所需设备工具的规格、数量、要求与清单、调试用工具等），并在合同生效后一周內提供上述文档。如果</w:t>
      </w:r>
      <w:r>
        <w:rPr>
          <w:rFonts w:hint="eastAsia" w:ascii="宋体" w:hAnsi="宋体" w:cs="宋体"/>
          <w:lang w:eastAsia="zh-CN"/>
        </w:rPr>
        <w:t>投标人</w:t>
      </w:r>
      <w:r>
        <w:rPr>
          <w:rFonts w:hint="eastAsia" w:ascii="宋体" w:hAnsi="宋体" w:eastAsia="宋体" w:cs="宋体"/>
        </w:rPr>
        <w:t>不能确保特殊加工设备在国内完成制造、加工，需由</w:t>
      </w:r>
      <w:r>
        <w:rPr>
          <w:rFonts w:hint="eastAsia" w:ascii="宋体" w:hAnsi="宋体" w:cs="宋体"/>
          <w:lang w:eastAsia="zh-CN"/>
        </w:rPr>
        <w:t>投标人</w:t>
      </w:r>
      <w:r>
        <w:rPr>
          <w:rFonts w:hint="eastAsia" w:ascii="宋体" w:hAnsi="宋体" w:eastAsia="宋体" w:cs="宋体"/>
        </w:rPr>
        <w:t>免费负责将该特殊加工设备运往</w:t>
      </w:r>
      <w:r>
        <w:rPr>
          <w:rFonts w:hint="eastAsia" w:ascii="宋体" w:hAnsi="宋体" w:cs="宋体"/>
          <w:lang w:eastAsia="zh-CN"/>
        </w:rPr>
        <w:t>招标人</w:t>
      </w:r>
      <w:r>
        <w:rPr>
          <w:rFonts w:hint="eastAsia" w:ascii="宋体" w:hAnsi="宋体" w:eastAsia="宋体" w:cs="宋体"/>
        </w:rPr>
        <w:t>，以便现场施工。（如专用工具：平口机、圆锯机、液压弯管机等）。</w:t>
      </w:r>
    </w:p>
    <w:p w14:paraId="65C144AB">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在安装时应无条件接受</w:t>
      </w:r>
      <w:r>
        <w:rPr>
          <w:rFonts w:hint="eastAsia" w:ascii="宋体" w:hAnsi="宋体" w:cs="宋体"/>
          <w:lang w:eastAsia="zh-CN"/>
        </w:rPr>
        <w:t>招标人</w:t>
      </w:r>
      <w:r>
        <w:rPr>
          <w:rFonts w:hint="eastAsia" w:ascii="宋体" w:hAnsi="宋体" w:eastAsia="宋体" w:cs="宋体"/>
        </w:rPr>
        <w:t>项目组（或车间管理人员）的管理，保证做到安全施工和文明施工。</w:t>
      </w:r>
    </w:p>
    <w:p w14:paraId="5AF160CD">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在设备发运前提供中英文对照的《施工现场安装指导书与安全作业规程文件》，并负责指导施工人员安全施工，并负责由于安全指导工作不到位，所造成事故的责任和费用（该文件同时应包括现场施工清洁要求）。作业指导书要提前经</w:t>
      </w:r>
      <w:r>
        <w:rPr>
          <w:rFonts w:hint="eastAsia" w:ascii="宋体" w:hAnsi="宋体" w:cs="宋体"/>
          <w:lang w:eastAsia="zh-CN"/>
        </w:rPr>
        <w:t>招标人</w:t>
      </w:r>
      <w:r>
        <w:rPr>
          <w:rFonts w:hint="eastAsia" w:ascii="宋体" w:hAnsi="宋体" w:eastAsia="宋体" w:cs="宋体"/>
        </w:rPr>
        <w:t>确认，重要工序施工安装指导里面必须附有图片、图示等直观要求。在设备发运时，应考虑安装现场的余量，如管道、弯头、压力表等，随设备一起发运，该批设备不包括在备件里面。在设备发运时，应考虑密封胶、生料带等设备安装辅助材料，随设备一起发运，该批辅助材料不包括在备件里面。</w:t>
      </w:r>
    </w:p>
    <w:p w14:paraId="794B310D">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如在</w:t>
      </w:r>
      <w:r>
        <w:rPr>
          <w:rFonts w:hint="eastAsia" w:ascii="宋体" w:hAnsi="宋体" w:cs="宋体"/>
          <w:lang w:eastAsia="zh-CN"/>
        </w:rPr>
        <w:t>招标人</w:t>
      </w:r>
      <w:r>
        <w:rPr>
          <w:rFonts w:hint="eastAsia" w:ascii="宋体" w:hAnsi="宋体" w:eastAsia="宋体" w:cs="宋体"/>
        </w:rPr>
        <w:t>工厂內，进行本项目设备的生产过程中发生重大伤亡事故，</w:t>
      </w:r>
      <w:r>
        <w:rPr>
          <w:rFonts w:hint="eastAsia" w:ascii="宋体" w:hAnsi="宋体" w:cs="宋体"/>
          <w:lang w:eastAsia="zh-CN"/>
        </w:rPr>
        <w:t>投标人</w:t>
      </w:r>
      <w:r>
        <w:rPr>
          <w:rFonts w:hint="eastAsia" w:ascii="宋体" w:hAnsi="宋体" w:eastAsia="宋体" w:cs="宋体"/>
        </w:rPr>
        <w:t>应立即做出有效处理，并按规定及时上报</w:t>
      </w:r>
      <w:r>
        <w:rPr>
          <w:rFonts w:hint="eastAsia" w:ascii="宋体" w:hAnsi="宋体" w:cs="宋体"/>
          <w:lang w:eastAsia="zh-CN"/>
        </w:rPr>
        <w:t>招标人</w:t>
      </w:r>
      <w:r>
        <w:rPr>
          <w:rFonts w:hint="eastAsia" w:ascii="宋体" w:hAnsi="宋体" w:eastAsia="宋体" w:cs="宋体"/>
        </w:rPr>
        <w:t>，同时还应按政府有关部门要求处理好善后事宜。</w:t>
      </w:r>
    </w:p>
    <w:p w14:paraId="0438F77C">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人员应遵守在</w:t>
      </w:r>
      <w:r>
        <w:rPr>
          <w:rFonts w:hint="eastAsia" w:ascii="宋体" w:hAnsi="宋体" w:cs="宋体"/>
          <w:lang w:eastAsia="zh-CN"/>
        </w:rPr>
        <w:t>招标人</w:t>
      </w:r>
      <w:r>
        <w:rPr>
          <w:rFonts w:hint="eastAsia" w:ascii="宋体" w:hAnsi="宋体" w:eastAsia="宋体" w:cs="宋体"/>
        </w:rPr>
        <w:t>的施工厂区有关安全保卫及厂规厂纪等相关规定。</w:t>
      </w:r>
    </w:p>
    <w:p w14:paraId="553C85F8">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对施工场地周围的地下管线、邻近建筑物、构筑物（含文物保护建筑）、古树名木负有保护责任。设备交工验收之前，</w:t>
      </w:r>
      <w:r>
        <w:rPr>
          <w:rFonts w:hint="eastAsia" w:ascii="宋体" w:hAnsi="宋体" w:cs="宋体"/>
          <w:lang w:eastAsia="zh-CN"/>
        </w:rPr>
        <w:t>投标人</w:t>
      </w:r>
      <w:r>
        <w:rPr>
          <w:rFonts w:hint="eastAsia" w:ascii="宋体" w:hAnsi="宋体" w:eastAsia="宋体" w:cs="宋体"/>
        </w:rPr>
        <w:t>对其已完成的工程负有保护责任。</w:t>
      </w:r>
    </w:p>
    <w:p w14:paraId="768EDB61">
      <w:pPr>
        <w:pStyle w:val="17"/>
        <w:pageBreakBefore w:val="0"/>
        <w:numPr>
          <w:ilvl w:val="0"/>
          <w:numId w:val="16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应妥善保护车间地面及设备，并承担由</w:t>
      </w:r>
      <w:r>
        <w:rPr>
          <w:rFonts w:hint="eastAsia" w:ascii="宋体" w:hAnsi="宋体" w:cs="宋体"/>
          <w:lang w:eastAsia="zh-CN"/>
        </w:rPr>
        <w:t>投标人</w:t>
      </w:r>
      <w:r>
        <w:rPr>
          <w:rFonts w:hint="eastAsia" w:ascii="宋体" w:hAnsi="宋体" w:eastAsia="宋体" w:cs="宋体"/>
        </w:rPr>
        <w:t>原因造成车间地面及设备损坏或污染等修复所发生的责任和费用。</w:t>
      </w:r>
    </w:p>
    <w:p w14:paraId="632C7DF5">
      <w:pPr>
        <w:pStyle w:val="3"/>
        <w:pageBreakBefore w:val="0"/>
        <w:numPr>
          <w:ilvl w:val="0"/>
          <w:numId w:val="160"/>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调试</w:t>
      </w:r>
    </w:p>
    <w:p w14:paraId="126B5168">
      <w:pPr>
        <w:pStyle w:val="17"/>
        <w:pageBreakBefore w:val="0"/>
        <w:numPr>
          <w:ilvl w:val="0"/>
          <w:numId w:val="16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所有设备组件技术功能的空运行。</w:t>
      </w:r>
    </w:p>
    <w:p w14:paraId="4094E2D7">
      <w:pPr>
        <w:pStyle w:val="17"/>
        <w:pageBreakBefore w:val="0"/>
        <w:numPr>
          <w:ilvl w:val="0"/>
          <w:numId w:val="16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控制程序的运行。</w:t>
      </w:r>
    </w:p>
    <w:p w14:paraId="28BD037E">
      <w:pPr>
        <w:pStyle w:val="17"/>
        <w:pageBreakBefore w:val="0"/>
        <w:numPr>
          <w:ilvl w:val="0"/>
          <w:numId w:val="16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系统内设备联机运行，所有性能参数在设备技术要求范围内，并符合工艺要求。</w:t>
      </w:r>
    </w:p>
    <w:p w14:paraId="5955733A">
      <w:pPr>
        <w:pStyle w:val="17"/>
        <w:pageBreakBefore w:val="0"/>
        <w:numPr>
          <w:ilvl w:val="0"/>
          <w:numId w:val="16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输调漆循环系统安装完成后，</w:t>
      </w:r>
      <w:r>
        <w:rPr>
          <w:rFonts w:hint="eastAsia" w:ascii="宋体" w:hAnsi="宋体" w:cs="宋体"/>
          <w:lang w:eastAsia="zh-CN"/>
        </w:rPr>
        <w:t>投标人</w:t>
      </w:r>
      <w:r>
        <w:rPr>
          <w:rFonts w:hint="eastAsia" w:ascii="宋体" w:hAnsi="宋体" w:eastAsia="宋体" w:cs="宋体"/>
        </w:rPr>
        <w:t>必须经过空气吹扫、气密试验、（氮气）压力试验、溶剂及油漆稀料清洗，经</w:t>
      </w:r>
      <w:r>
        <w:rPr>
          <w:rFonts w:hint="eastAsia" w:ascii="宋体" w:hAnsi="宋体" w:cs="宋体"/>
          <w:lang w:eastAsia="zh-CN"/>
        </w:rPr>
        <w:t>招标人</w:t>
      </w:r>
      <w:r>
        <w:rPr>
          <w:rFonts w:hint="eastAsia" w:ascii="宋体" w:hAnsi="宋体" w:eastAsia="宋体" w:cs="宋体"/>
        </w:rPr>
        <w:t>检查合格后方能投入使用。</w:t>
      </w:r>
    </w:p>
    <w:p w14:paraId="33D172F4">
      <w:pPr>
        <w:pStyle w:val="17"/>
        <w:pageBreakBefore w:val="0"/>
        <w:numPr>
          <w:ilvl w:val="0"/>
          <w:numId w:val="16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所有调试及打压报告需出示书面报告，并经过甲、乙双方确认。</w:t>
      </w:r>
    </w:p>
    <w:p w14:paraId="6FDB0C9D">
      <w:pPr>
        <w:pStyle w:val="17"/>
        <w:pageBreakBefore w:val="0"/>
        <w:numPr>
          <w:ilvl w:val="0"/>
          <w:numId w:val="16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对输调漆系统的清洗效果负责，其中，清洗、调试用滤袋由</w:t>
      </w:r>
      <w:r>
        <w:rPr>
          <w:rFonts w:hint="eastAsia" w:ascii="宋体" w:hAnsi="宋体" w:cs="宋体"/>
          <w:lang w:eastAsia="zh-CN"/>
        </w:rPr>
        <w:t>投标人</w:t>
      </w:r>
      <w:r>
        <w:rPr>
          <w:rFonts w:hint="eastAsia" w:ascii="宋体" w:hAnsi="宋体" w:eastAsia="宋体" w:cs="宋体"/>
        </w:rPr>
        <w:t>提供，直至清洗、调试完毕，满足投漆需求，投漆前</w:t>
      </w:r>
      <w:r>
        <w:rPr>
          <w:rFonts w:hint="eastAsia" w:ascii="宋体" w:hAnsi="宋体" w:cs="宋体"/>
          <w:lang w:eastAsia="zh-CN"/>
        </w:rPr>
        <w:t>投标人</w:t>
      </w:r>
      <w:r>
        <w:rPr>
          <w:rFonts w:hint="eastAsia" w:ascii="宋体" w:hAnsi="宋体" w:eastAsia="宋体" w:cs="宋体"/>
        </w:rPr>
        <w:t>根据油漆的性能要求将所有系统配备全新滤袋。清洗材料及氮气打压设备由</w:t>
      </w:r>
      <w:r>
        <w:rPr>
          <w:rFonts w:hint="eastAsia" w:ascii="宋体" w:hAnsi="宋体" w:cs="宋体"/>
          <w:lang w:eastAsia="zh-CN"/>
        </w:rPr>
        <w:t>招标人</w:t>
      </w:r>
      <w:r>
        <w:rPr>
          <w:rFonts w:hint="eastAsia" w:ascii="宋体" w:hAnsi="宋体" w:eastAsia="宋体" w:cs="宋体"/>
        </w:rPr>
        <w:t>负责提供。</w:t>
      </w:r>
    </w:p>
    <w:p w14:paraId="16ACA828">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33" w:name="_Toc6792"/>
      <w:r>
        <w:rPr>
          <w:rFonts w:hint="eastAsia" w:ascii="宋体" w:hAnsi="宋体" w:eastAsia="宋体" w:cs="宋体"/>
          <w:b/>
          <w:bCs/>
          <w:sz w:val="24"/>
          <w:szCs w:val="24"/>
        </w:rPr>
        <w:t>培训</w:t>
      </w:r>
      <w:bookmarkEnd w:id="133"/>
    </w:p>
    <w:p w14:paraId="736852E7">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设备设计至安装调试过程中，</w:t>
      </w:r>
      <w:r>
        <w:rPr>
          <w:rFonts w:hint="eastAsia" w:ascii="宋体" w:hAnsi="宋体" w:cs="宋体"/>
          <w:lang w:eastAsia="zh-CN"/>
        </w:rPr>
        <w:t>投标人</w:t>
      </w:r>
      <w:r>
        <w:rPr>
          <w:rFonts w:hint="eastAsia" w:ascii="宋体" w:hAnsi="宋体" w:eastAsia="宋体" w:cs="宋体"/>
        </w:rPr>
        <w:t>必须给</w:t>
      </w:r>
      <w:r>
        <w:rPr>
          <w:rFonts w:hint="eastAsia" w:ascii="宋体" w:hAnsi="宋体" w:cs="宋体"/>
          <w:lang w:eastAsia="zh-CN"/>
        </w:rPr>
        <w:t>招标人</w:t>
      </w:r>
      <w:r>
        <w:rPr>
          <w:rFonts w:hint="eastAsia" w:ascii="宋体" w:hAnsi="宋体" w:eastAsia="宋体" w:cs="宋体"/>
        </w:rPr>
        <w:t>提供必要的培训，培训包括操作和维护培训两种，保证设备交付使用后，</w:t>
      </w:r>
      <w:r>
        <w:rPr>
          <w:rFonts w:hint="eastAsia" w:ascii="宋体" w:hAnsi="宋体" w:cs="宋体"/>
          <w:lang w:eastAsia="zh-CN"/>
        </w:rPr>
        <w:t>招标人</w:t>
      </w:r>
      <w:r>
        <w:rPr>
          <w:rFonts w:hint="eastAsia" w:ascii="宋体" w:hAnsi="宋体" w:eastAsia="宋体" w:cs="宋体"/>
        </w:rPr>
        <w:t>现场使用人员能顺单独进行操作、维护、维修。</w:t>
      </w:r>
    </w:p>
    <w:p w14:paraId="77F85D4B">
      <w:pPr>
        <w:pStyle w:val="3"/>
        <w:pageBreakBefore w:val="0"/>
        <w:widowControl/>
        <w:numPr>
          <w:ilvl w:val="0"/>
          <w:numId w:val="16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设备的操作培训</w:t>
      </w:r>
    </w:p>
    <w:p w14:paraId="2B119D6F">
      <w:pPr>
        <w:pStyle w:val="17"/>
        <w:pageBreakBefore w:val="0"/>
        <w:widowControl/>
        <w:numPr>
          <w:ilvl w:val="0"/>
          <w:numId w:val="16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整个系统操作培训；</w:t>
      </w:r>
    </w:p>
    <w:p w14:paraId="09C83AE6">
      <w:pPr>
        <w:pStyle w:val="17"/>
        <w:pageBreakBefore w:val="0"/>
        <w:widowControl/>
        <w:numPr>
          <w:ilvl w:val="0"/>
          <w:numId w:val="16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有可编程控制器的单体设备应对程序结构、编程逻辑，程序修改操作培训；</w:t>
      </w:r>
    </w:p>
    <w:p w14:paraId="326C7A51">
      <w:pPr>
        <w:pStyle w:val="17"/>
        <w:pageBreakBefore w:val="0"/>
        <w:widowControl/>
        <w:numPr>
          <w:ilvl w:val="0"/>
          <w:numId w:val="16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设备操作方法及安全注意事项知识培训；</w:t>
      </w:r>
    </w:p>
    <w:p w14:paraId="22CBA420">
      <w:pPr>
        <w:pStyle w:val="17"/>
        <w:pageBreakBefore w:val="0"/>
        <w:widowControl/>
        <w:numPr>
          <w:ilvl w:val="0"/>
          <w:numId w:val="16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设备点检内容、点检方法、原器件异常识别培训；</w:t>
      </w:r>
    </w:p>
    <w:p w14:paraId="203A9D0D">
      <w:pPr>
        <w:pStyle w:val="17"/>
        <w:pageBreakBefore w:val="0"/>
        <w:widowControl/>
        <w:numPr>
          <w:ilvl w:val="0"/>
          <w:numId w:val="16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培训学时：要求每个培训项目不少于4学时；</w:t>
      </w:r>
    </w:p>
    <w:p w14:paraId="5E8AEBBE">
      <w:pPr>
        <w:pStyle w:val="3"/>
        <w:pageBreakBefore w:val="0"/>
        <w:widowControl/>
        <w:numPr>
          <w:ilvl w:val="0"/>
          <w:numId w:val="16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设备结构、运行原理维护培训</w:t>
      </w:r>
    </w:p>
    <w:p w14:paraId="1B47586B">
      <w:pPr>
        <w:pStyle w:val="17"/>
        <w:pageBreakBefore w:val="0"/>
        <w:widowControl/>
        <w:numPr>
          <w:ilvl w:val="0"/>
          <w:numId w:val="16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各设备总体机械结构原理知识培训；</w:t>
      </w:r>
    </w:p>
    <w:p w14:paraId="3E6223B5">
      <w:pPr>
        <w:pStyle w:val="17"/>
        <w:pageBreakBefore w:val="0"/>
        <w:widowControl/>
        <w:numPr>
          <w:ilvl w:val="0"/>
          <w:numId w:val="16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设备原理及常见故障分析、解决方法培训；</w:t>
      </w:r>
    </w:p>
    <w:p w14:paraId="00D5F869">
      <w:pPr>
        <w:pStyle w:val="17"/>
        <w:pageBreakBefore w:val="0"/>
        <w:widowControl/>
        <w:numPr>
          <w:ilvl w:val="0"/>
          <w:numId w:val="16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设备机械、电气设备保养周期，维护方法相关知识培训；</w:t>
      </w:r>
    </w:p>
    <w:p w14:paraId="5287F4BE">
      <w:pPr>
        <w:pStyle w:val="17"/>
        <w:pageBreakBefore w:val="0"/>
        <w:widowControl/>
        <w:numPr>
          <w:ilvl w:val="0"/>
          <w:numId w:val="16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培训学时：现场理论和实践培训要求不少于15学时；</w:t>
      </w:r>
    </w:p>
    <w:p w14:paraId="7C4F953D">
      <w:pPr>
        <w:pStyle w:val="3"/>
        <w:pageBreakBefore w:val="0"/>
        <w:widowControl/>
        <w:numPr>
          <w:ilvl w:val="0"/>
          <w:numId w:val="16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培训目标：</w:t>
      </w:r>
    </w:p>
    <w:p w14:paraId="54022797">
      <w:pPr>
        <w:pStyle w:val="17"/>
        <w:pageBreakBefore w:val="0"/>
        <w:widowControl/>
        <w:numPr>
          <w:ilvl w:val="0"/>
          <w:numId w:val="16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参加培训的人员可以独立正确安全操作、点检设备；</w:t>
      </w:r>
    </w:p>
    <w:p w14:paraId="4FB38CAB">
      <w:pPr>
        <w:pStyle w:val="17"/>
        <w:pageBreakBefore w:val="0"/>
        <w:widowControl/>
        <w:numPr>
          <w:ilvl w:val="0"/>
          <w:numId w:val="16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参加人员能够掌握设备操作方法，顺序及安全注意事项等。</w:t>
      </w:r>
    </w:p>
    <w:p w14:paraId="516442A1">
      <w:pPr>
        <w:pStyle w:val="17"/>
        <w:pageBreakBefore w:val="0"/>
        <w:widowControl/>
        <w:numPr>
          <w:ilvl w:val="0"/>
          <w:numId w:val="16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能够掌握设备运行原理，阀门组件内部结构、维护周期、更换方法等。</w:t>
      </w:r>
    </w:p>
    <w:p w14:paraId="600DEC83">
      <w:pPr>
        <w:pStyle w:val="17"/>
        <w:pageBreakBefore w:val="0"/>
        <w:widowControl/>
        <w:numPr>
          <w:ilvl w:val="0"/>
          <w:numId w:val="16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能够掌握各设备维修保养方法及水、电、气管路走向；</w:t>
      </w:r>
    </w:p>
    <w:p w14:paraId="2F57EC35">
      <w:pPr>
        <w:pStyle w:val="17"/>
        <w:pageBreakBefore w:val="0"/>
        <w:widowControl/>
        <w:numPr>
          <w:ilvl w:val="0"/>
          <w:numId w:val="16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能够对电气控制系统程序进行上传下载，了解程序机构，逻辑控制方法，并能修改简单程序。</w:t>
      </w:r>
    </w:p>
    <w:p w14:paraId="2ED54241">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提供的培训教材涵盖以上所有内容及</w:t>
      </w:r>
      <w:r>
        <w:rPr>
          <w:rFonts w:hint="eastAsia" w:ascii="宋体" w:hAnsi="宋体" w:cs="宋体"/>
          <w:lang w:eastAsia="zh-CN"/>
        </w:rPr>
        <w:t>招标人</w:t>
      </w:r>
      <w:r>
        <w:rPr>
          <w:rFonts w:hint="eastAsia" w:ascii="宋体" w:hAnsi="宋体" w:eastAsia="宋体" w:cs="宋体"/>
        </w:rPr>
        <w:t>要求指定编写内容，并有详细的操作步骤说明，教材得到</w:t>
      </w:r>
      <w:r>
        <w:rPr>
          <w:rFonts w:hint="eastAsia" w:ascii="宋体" w:hAnsi="宋体" w:cs="宋体"/>
          <w:lang w:eastAsia="zh-CN"/>
        </w:rPr>
        <w:t>招标人</w:t>
      </w:r>
      <w:r>
        <w:rPr>
          <w:rFonts w:hint="eastAsia" w:ascii="宋体" w:hAnsi="宋体" w:eastAsia="宋体" w:cs="宋体"/>
        </w:rPr>
        <w:t>认可后方可进行培训。</w:t>
      </w:r>
    </w:p>
    <w:p w14:paraId="2723DB98">
      <w:pPr>
        <w:pStyle w:val="2"/>
        <w:pageBreakBefore w:val="0"/>
        <w:numPr>
          <w:ilvl w:val="0"/>
          <w:numId w:val="115"/>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34" w:name="_Toc29335"/>
      <w:r>
        <w:rPr>
          <w:rFonts w:hint="eastAsia" w:ascii="宋体" w:hAnsi="宋体" w:eastAsia="宋体" w:cs="宋体"/>
          <w:b/>
          <w:bCs/>
          <w:sz w:val="24"/>
          <w:szCs w:val="24"/>
        </w:rPr>
        <w:t>资料、辅件</w:t>
      </w:r>
      <w:bookmarkEnd w:id="134"/>
    </w:p>
    <w:p w14:paraId="3257C162">
      <w:pPr>
        <w:pStyle w:val="3"/>
        <w:pageBreakBefore w:val="0"/>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1.技术文件提供：</w:t>
      </w:r>
    </w:p>
    <w:p w14:paraId="0B198A5F">
      <w:pPr>
        <w:pStyle w:val="17"/>
        <w:pageBreakBefore w:val="0"/>
        <w:numPr>
          <w:ilvl w:val="0"/>
          <w:numId w:val="16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在设备整体验收时将设备竣工资料移交</w:t>
      </w:r>
      <w:r>
        <w:rPr>
          <w:rFonts w:hint="eastAsia" w:ascii="宋体" w:hAnsi="宋体" w:cs="宋体"/>
          <w:lang w:eastAsia="zh-CN"/>
        </w:rPr>
        <w:t>招标人</w:t>
      </w:r>
      <w:r>
        <w:rPr>
          <w:rFonts w:hint="eastAsia" w:ascii="宋体" w:hAnsi="宋体" w:eastAsia="宋体" w:cs="宋体"/>
        </w:rPr>
        <w:t>，移交技术文件包括：</w:t>
      </w:r>
    </w:p>
    <w:p w14:paraId="7D014925">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详细竣工图纸（原理图、机械图、电气图、主要部件及安装尺寸图）</w:t>
      </w:r>
    </w:p>
    <w:p w14:paraId="03DF9467">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系统合格证</w:t>
      </w:r>
    </w:p>
    <w:p w14:paraId="556ADFAA">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设备操作说明书</w:t>
      </w:r>
    </w:p>
    <w:p w14:paraId="3C756C8F">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设备主要部件的操作、保养、维修说明书；</w:t>
      </w:r>
    </w:p>
    <w:p w14:paraId="3726309B">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所有外购件产品样本、合格证、说明书、测试报告</w:t>
      </w:r>
    </w:p>
    <w:p w14:paraId="64F0ED2F">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《系统使用说明书及维护保养手册》</w:t>
      </w:r>
    </w:p>
    <w:p w14:paraId="5061B40B">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系统调试记录</w:t>
      </w:r>
    </w:p>
    <w:p w14:paraId="7406A94B">
      <w:pPr>
        <w:pStyle w:val="17"/>
        <w:pageBreakBefore w:val="0"/>
        <w:numPr>
          <w:ilvl w:val="0"/>
          <w:numId w:val="16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易损件和备件推荐清单</w:t>
      </w:r>
    </w:p>
    <w:p w14:paraId="28361A32">
      <w:pPr>
        <w:pStyle w:val="17"/>
        <w:pageBreakBefore w:val="0"/>
        <w:numPr>
          <w:ilvl w:val="0"/>
          <w:numId w:val="16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所有要求移交的技术文件要求一式</w:t>
      </w:r>
      <w:r>
        <w:rPr>
          <w:rFonts w:hint="eastAsia" w:ascii="宋体" w:hAnsi="宋体" w:eastAsia="宋体" w:cs="宋体"/>
          <w:lang w:val="en-US" w:eastAsia="zh-CN"/>
        </w:rPr>
        <w:t>4</w:t>
      </w:r>
      <w:r>
        <w:rPr>
          <w:rFonts w:hint="eastAsia" w:ascii="宋体" w:hAnsi="宋体" w:eastAsia="宋体" w:cs="宋体"/>
        </w:rPr>
        <w:t>份（另要求提供</w:t>
      </w:r>
      <w:r>
        <w:rPr>
          <w:rFonts w:hint="eastAsia" w:ascii="宋体" w:hAnsi="宋体" w:cs="宋体"/>
          <w:lang w:val="en-US" w:eastAsia="zh-CN"/>
        </w:rPr>
        <w:t>二</w:t>
      </w:r>
      <w:r>
        <w:rPr>
          <w:rFonts w:hint="eastAsia" w:ascii="宋体" w:hAnsi="宋体" w:eastAsia="宋体" w:cs="宋体"/>
        </w:rPr>
        <w:t>套电子版），在设备验收前提供给</w:t>
      </w:r>
      <w:r>
        <w:rPr>
          <w:rFonts w:hint="eastAsia" w:ascii="宋体" w:hAnsi="宋体" w:cs="宋体"/>
          <w:lang w:eastAsia="zh-CN"/>
        </w:rPr>
        <w:t>招标人</w:t>
      </w:r>
      <w:r>
        <w:rPr>
          <w:rFonts w:hint="eastAsia" w:ascii="宋体" w:hAnsi="宋体" w:eastAsia="宋体" w:cs="宋体"/>
        </w:rPr>
        <w:t>。</w:t>
      </w:r>
    </w:p>
    <w:p w14:paraId="004ABD5E">
      <w:pPr>
        <w:pStyle w:val="17"/>
        <w:pageBreakBefore w:val="0"/>
        <w:numPr>
          <w:ilvl w:val="0"/>
          <w:numId w:val="16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采购的外购件须随机附产品样本、说明书、合格证。对于设备所选用的外购件配件，</w:t>
      </w:r>
      <w:r>
        <w:rPr>
          <w:rFonts w:hint="eastAsia" w:ascii="宋体" w:hAnsi="宋体" w:cs="宋体"/>
          <w:lang w:eastAsia="zh-CN"/>
        </w:rPr>
        <w:t>投标人</w:t>
      </w:r>
      <w:r>
        <w:rPr>
          <w:rFonts w:hint="eastAsia" w:ascii="宋体" w:hAnsi="宋体" w:eastAsia="宋体" w:cs="宋体"/>
        </w:rPr>
        <w:t>也应索取产品样本、产品说明书与设备一并提供给</w:t>
      </w:r>
      <w:r>
        <w:rPr>
          <w:rFonts w:hint="eastAsia" w:ascii="宋体" w:hAnsi="宋体" w:cs="宋体"/>
          <w:lang w:eastAsia="zh-CN"/>
        </w:rPr>
        <w:t>招标人</w:t>
      </w:r>
      <w:r>
        <w:rPr>
          <w:rFonts w:hint="eastAsia" w:ascii="宋体" w:hAnsi="宋体" w:eastAsia="宋体" w:cs="宋体"/>
        </w:rPr>
        <w:t>。</w:t>
      </w:r>
    </w:p>
    <w:p w14:paraId="1A2DC492">
      <w:pPr>
        <w:pStyle w:val="17"/>
        <w:pageBreakBefore w:val="0"/>
        <w:numPr>
          <w:ilvl w:val="0"/>
          <w:numId w:val="16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应按照以下列表及时提供相关资料：</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343"/>
        <w:gridCol w:w="3657"/>
        <w:gridCol w:w="1311"/>
        <w:gridCol w:w="1352"/>
        <w:gridCol w:w="987"/>
      </w:tblGrid>
      <w:tr w14:paraId="152F3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blHeader/>
          <w:jc w:val="center"/>
        </w:trPr>
        <w:tc>
          <w:tcPr>
            <w:tcW w:w="1214" w:type="pct"/>
            <w:shd w:val="clear" w:color="auto" w:fill="auto"/>
            <w:vAlign w:val="center"/>
          </w:tcPr>
          <w:p w14:paraId="3A8EFADA">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资料名称</w:t>
            </w:r>
          </w:p>
        </w:tc>
        <w:tc>
          <w:tcPr>
            <w:tcW w:w="1894" w:type="pct"/>
            <w:shd w:val="clear" w:color="auto" w:fill="auto"/>
            <w:vAlign w:val="center"/>
          </w:tcPr>
          <w:p w14:paraId="0367F906">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内容描述</w:t>
            </w:r>
          </w:p>
        </w:tc>
        <w:tc>
          <w:tcPr>
            <w:tcW w:w="679" w:type="pct"/>
            <w:shd w:val="clear" w:color="auto" w:fill="auto"/>
            <w:vAlign w:val="center"/>
          </w:tcPr>
          <w:p w14:paraId="4661C0A8">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数量</w:t>
            </w:r>
          </w:p>
        </w:tc>
        <w:tc>
          <w:tcPr>
            <w:tcW w:w="700" w:type="pct"/>
            <w:shd w:val="clear" w:color="auto" w:fill="auto"/>
            <w:vAlign w:val="center"/>
          </w:tcPr>
          <w:p w14:paraId="1B3D3C38">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提供时间</w:t>
            </w:r>
          </w:p>
        </w:tc>
        <w:tc>
          <w:tcPr>
            <w:tcW w:w="511" w:type="pct"/>
            <w:shd w:val="clear" w:color="auto" w:fill="auto"/>
            <w:vAlign w:val="center"/>
          </w:tcPr>
          <w:p w14:paraId="7C3D89A1">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0CD3F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80" w:hRule="atLeast"/>
          <w:jc w:val="center"/>
        </w:trPr>
        <w:tc>
          <w:tcPr>
            <w:tcW w:w="1214" w:type="pct"/>
            <w:shd w:val="clear" w:color="auto" w:fill="auto"/>
            <w:vAlign w:val="center"/>
          </w:tcPr>
          <w:p w14:paraId="6BB4E6DE">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工程组织方案</w:t>
            </w:r>
          </w:p>
        </w:tc>
        <w:tc>
          <w:tcPr>
            <w:tcW w:w="1894" w:type="pct"/>
            <w:shd w:val="clear" w:color="auto" w:fill="auto"/>
            <w:vAlign w:val="center"/>
          </w:tcPr>
          <w:p w14:paraId="235D98CC">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设备购置、制造、安装计划</w:t>
            </w:r>
          </w:p>
        </w:tc>
        <w:tc>
          <w:tcPr>
            <w:tcW w:w="679" w:type="pct"/>
            <w:shd w:val="clear" w:color="auto" w:fill="auto"/>
            <w:vAlign w:val="center"/>
          </w:tcPr>
          <w:p w14:paraId="267DAD7C">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cs="宋体"/>
                <w:sz w:val="24"/>
                <w:szCs w:val="24"/>
                <w:lang w:val="en-US" w:eastAsia="zh-CN"/>
              </w:rPr>
              <w:t>1</w:t>
            </w:r>
            <w:r>
              <w:rPr>
                <w:rFonts w:hint="eastAsia" w:ascii="宋体" w:hAnsi="宋体" w:eastAsia="宋体" w:cs="宋体"/>
                <w:sz w:val="24"/>
                <w:szCs w:val="24"/>
              </w:rPr>
              <w:t>份电子版</w:t>
            </w:r>
            <w:r>
              <w:rPr>
                <w:rFonts w:hint="eastAsia" w:ascii="宋体" w:hAnsi="宋体" w:cs="宋体"/>
                <w:sz w:val="24"/>
                <w:szCs w:val="24"/>
                <w:lang w:val="en-US" w:eastAsia="zh-CN"/>
              </w:rPr>
              <w:t>1套</w:t>
            </w:r>
          </w:p>
        </w:tc>
        <w:tc>
          <w:tcPr>
            <w:tcW w:w="700" w:type="pct"/>
            <w:shd w:val="clear" w:color="auto" w:fill="auto"/>
            <w:vAlign w:val="center"/>
          </w:tcPr>
          <w:p w14:paraId="2F629722">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合同签订后15日内</w:t>
            </w:r>
          </w:p>
        </w:tc>
        <w:tc>
          <w:tcPr>
            <w:tcW w:w="511" w:type="pct"/>
            <w:shd w:val="clear" w:color="auto" w:fill="auto"/>
            <w:vAlign w:val="center"/>
          </w:tcPr>
          <w:p w14:paraId="3A4B7A12">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3EF4F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pct"/>
            <w:shd w:val="clear" w:color="auto" w:fill="auto"/>
            <w:vAlign w:val="center"/>
          </w:tcPr>
          <w:p w14:paraId="1D5D1602">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设计图纸</w:t>
            </w:r>
          </w:p>
        </w:tc>
        <w:tc>
          <w:tcPr>
            <w:tcW w:w="1894" w:type="pct"/>
            <w:shd w:val="clear" w:color="auto" w:fill="auto"/>
            <w:vAlign w:val="center"/>
          </w:tcPr>
          <w:p w14:paraId="01716E57">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包括机械部分及电气部分(包括：系统图、原理图、布置图和接线图)</w:t>
            </w:r>
          </w:p>
        </w:tc>
        <w:tc>
          <w:tcPr>
            <w:tcW w:w="679" w:type="pct"/>
            <w:shd w:val="clear" w:color="auto" w:fill="auto"/>
            <w:vAlign w:val="center"/>
          </w:tcPr>
          <w:p w14:paraId="365AF5A1">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6B4CBB66">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合同签订后45天内</w:t>
            </w:r>
          </w:p>
        </w:tc>
        <w:tc>
          <w:tcPr>
            <w:tcW w:w="511" w:type="pct"/>
            <w:shd w:val="clear" w:color="auto" w:fill="auto"/>
            <w:vAlign w:val="center"/>
          </w:tcPr>
          <w:p w14:paraId="3ACD6D42">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5C3B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02EFBE98">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设计资料</w:t>
            </w:r>
          </w:p>
        </w:tc>
        <w:tc>
          <w:tcPr>
            <w:tcW w:w="1894" w:type="pct"/>
            <w:shd w:val="clear" w:color="auto" w:fill="auto"/>
            <w:vAlign w:val="center"/>
          </w:tcPr>
          <w:p w14:paraId="27916BD8">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技术参数、系统计算书、公用动力资料、基础资料、设备要求的开洞等资料</w:t>
            </w:r>
          </w:p>
        </w:tc>
        <w:tc>
          <w:tcPr>
            <w:tcW w:w="679" w:type="pct"/>
            <w:shd w:val="clear" w:color="auto" w:fill="auto"/>
            <w:vAlign w:val="center"/>
          </w:tcPr>
          <w:p w14:paraId="46E49B1A">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3A7F49F8">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合同签订后10天内</w:t>
            </w:r>
          </w:p>
        </w:tc>
        <w:tc>
          <w:tcPr>
            <w:tcW w:w="511" w:type="pct"/>
            <w:shd w:val="clear" w:color="auto" w:fill="auto"/>
            <w:vAlign w:val="center"/>
          </w:tcPr>
          <w:p w14:paraId="30D480E1">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42A1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7B8768B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与机器人厂家的会签图纸</w:t>
            </w:r>
          </w:p>
        </w:tc>
        <w:tc>
          <w:tcPr>
            <w:tcW w:w="1894" w:type="pct"/>
            <w:shd w:val="clear" w:color="auto" w:fill="auto"/>
            <w:vAlign w:val="center"/>
          </w:tcPr>
          <w:p w14:paraId="47EB8198">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接口确认</w:t>
            </w:r>
          </w:p>
        </w:tc>
        <w:tc>
          <w:tcPr>
            <w:tcW w:w="679" w:type="pct"/>
            <w:shd w:val="clear" w:color="auto" w:fill="auto"/>
            <w:vAlign w:val="center"/>
          </w:tcPr>
          <w:p w14:paraId="4AAB9467">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63C788A3">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会签完成后</w:t>
            </w:r>
          </w:p>
        </w:tc>
        <w:tc>
          <w:tcPr>
            <w:tcW w:w="511" w:type="pct"/>
            <w:shd w:val="clear" w:color="auto" w:fill="auto"/>
            <w:vAlign w:val="center"/>
          </w:tcPr>
          <w:p w14:paraId="65D399D0">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E33D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31A498C3">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预验收报告</w:t>
            </w:r>
          </w:p>
        </w:tc>
        <w:tc>
          <w:tcPr>
            <w:tcW w:w="1894" w:type="pct"/>
            <w:shd w:val="clear" w:color="auto" w:fill="auto"/>
            <w:vAlign w:val="center"/>
          </w:tcPr>
          <w:p w14:paraId="502B9683">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出厂检验合格报告</w:t>
            </w:r>
          </w:p>
        </w:tc>
        <w:tc>
          <w:tcPr>
            <w:tcW w:w="679" w:type="pct"/>
            <w:shd w:val="clear" w:color="auto" w:fill="auto"/>
            <w:vAlign w:val="center"/>
          </w:tcPr>
          <w:p w14:paraId="1AC79072">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63CD544B">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预验收前</w:t>
            </w:r>
          </w:p>
        </w:tc>
        <w:tc>
          <w:tcPr>
            <w:tcW w:w="511" w:type="pct"/>
            <w:shd w:val="clear" w:color="auto" w:fill="auto"/>
            <w:vAlign w:val="center"/>
          </w:tcPr>
          <w:p w14:paraId="2136A2F9">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3195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51083CD3">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施工/安装图纸</w:t>
            </w:r>
          </w:p>
        </w:tc>
        <w:tc>
          <w:tcPr>
            <w:tcW w:w="1894" w:type="pct"/>
            <w:shd w:val="clear" w:color="auto" w:fill="auto"/>
            <w:vAlign w:val="center"/>
          </w:tcPr>
          <w:p w14:paraId="146FF780">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包括机械部分及电气部分</w:t>
            </w:r>
          </w:p>
        </w:tc>
        <w:tc>
          <w:tcPr>
            <w:tcW w:w="679" w:type="pct"/>
            <w:shd w:val="clear" w:color="auto" w:fill="auto"/>
            <w:vAlign w:val="center"/>
          </w:tcPr>
          <w:p w14:paraId="16C6A59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0F94D94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设备进场前5个工作日</w:t>
            </w:r>
          </w:p>
        </w:tc>
        <w:tc>
          <w:tcPr>
            <w:tcW w:w="511" w:type="pct"/>
            <w:shd w:val="clear" w:color="auto" w:fill="auto"/>
            <w:vAlign w:val="center"/>
          </w:tcPr>
          <w:p w14:paraId="0B4D96D3">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67BC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1364FB16">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到货资料</w:t>
            </w:r>
          </w:p>
        </w:tc>
        <w:tc>
          <w:tcPr>
            <w:tcW w:w="1894" w:type="pct"/>
            <w:shd w:val="clear" w:color="auto" w:fill="auto"/>
            <w:vAlign w:val="center"/>
          </w:tcPr>
          <w:p w14:paraId="76348C5D">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发货清单</w:t>
            </w:r>
          </w:p>
        </w:tc>
        <w:tc>
          <w:tcPr>
            <w:tcW w:w="679" w:type="pct"/>
            <w:shd w:val="clear" w:color="auto" w:fill="auto"/>
            <w:vAlign w:val="center"/>
          </w:tcPr>
          <w:p w14:paraId="1E1694D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cs="宋体"/>
                <w:sz w:val="24"/>
                <w:szCs w:val="24"/>
                <w:lang w:val="en-US" w:eastAsia="zh-CN"/>
              </w:rPr>
              <w:t>1</w:t>
            </w:r>
            <w:r>
              <w:rPr>
                <w:rFonts w:hint="eastAsia" w:ascii="宋体" w:hAnsi="宋体" w:eastAsia="宋体" w:cs="宋体"/>
                <w:sz w:val="24"/>
                <w:szCs w:val="24"/>
              </w:rPr>
              <w:t>份电子版</w:t>
            </w:r>
            <w:r>
              <w:rPr>
                <w:rFonts w:hint="eastAsia" w:ascii="宋体" w:hAnsi="宋体" w:cs="宋体"/>
                <w:sz w:val="24"/>
                <w:szCs w:val="24"/>
                <w:lang w:val="en-US" w:eastAsia="zh-CN"/>
              </w:rPr>
              <w:t>1套</w:t>
            </w:r>
          </w:p>
        </w:tc>
        <w:tc>
          <w:tcPr>
            <w:tcW w:w="700" w:type="pct"/>
            <w:shd w:val="clear" w:color="auto" w:fill="auto"/>
            <w:vAlign w:val="center"/>
          </w:tcPr>
          <w:p w14:paraId="71A08C3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设备进场日</w:t>
            </w:r>
          </w:p>
        </w:tc>
        <w:tc>
          <w:tcPr>
            <w:tcW w:w="511" w:type="pct"/>
            <w:shd w:val="clear" w:color="auto" w:fill="auto"/>
            <w:vAlign w:val="center"/>
          </w:tcPr>
          <w:p w14:paraId="1149D6B5">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54376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4975C080">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调试报告</w:t>
            </w:r>
          </w:p>
        </w:tc>
        <w:tc>
          <w:tcPr>
            <w:tcW w:w="1894" w:type="pct"/>
            <w:shd w:val="clear" w:color="auto" w:fill="auto"/>
            <w:vAlign w:val="center"/>
          </w:tcPr>
          <w:p w14:paraId="7809179A">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包括安装、调试及试运行三个阶段中出现的重大问题及造成的影响和最终解决办法</w:t>
            </w:r>
          </w:p>
        </w:tc>
        <w:tc>
          <w:tcPr>
            <w:tcW w:w="679" w:type="pct"/>
            <w:shd w:val="clear" w:color="auto" w:fill="auto"/>
            <w:vAlign w:val="center"/>
          </w:tcPr>
          <w:p w14:paraId="62E7F414">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rPr>
              <w:t>中文</w:t>
            </w:r>
            <w:r>
              <w:rPr>
                <w:rFonts w:hint="eastAsia" w:ascii="宋体" w:hAnsi="宋体" w:cs="宋体"/>
                <w:sz w:val="24"/>
                <w:szCs w:val="24"/>
                <w:lang w:val="en-US" w:eastAsia="zh-CN"/>
              </w:rPr>
              <w:t>4</w:t>
            </w:r>
            <w:r>
              <w:rPr>
                <w:rFonts w:hint="eastAsia" w:ascii="宋体" w:hAnsi="宋体" w:eastAsia="宋体" w:cs="宋体"/>
                <w:sz w:val="24"/>
                <w:szCs w:val="24"/>
              </w:rPr>
              <w:t>份电子版</w:t>
            </w:r>
            <w:r>
              <w:rPr>
                <w:rFonts w:hint="eastAsia" w:ascii="宋体" w:hAnsi="宋体" w:cs="宋体"/>
                <w:sz w:val="24"/>
                <w:szCs w:val="24"/>
                <w:lang w:val="en-US" w:eastAsia="zh-CN"/>
              </w:rPr>
              <w:t>1套</w:t>
            </w:r>
          </w:p>
        </w:tc>
        <w:tc>
          <w:tcPr>
            <w:tcW w:w="700" w:type="pct"/>
            <w:shd w:val="clear" w:color="auto" w:fill="auto"/>
            <w:vAlign w:val="center"/>
          </w:tcPr>
          <w:p w14:paraId="6E065C74">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初验收前</w:t>
            </w:r>
          </w:p>
        </w:tc>
        <w:tc>
          <w:tcPr>
            <w:tcW w:w="511" w:type="pct"/>
            <w:shd w:val="clear" w:color="auto" w:fill="auto"/>
            <w:vAlign w:val="center"/>
          </w:tcPr>
          <w:p w14:paraId="47766E7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413C2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6B8BC31A">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竣工资料</w:t>
            </w:r>
          </w:p>
        </w:tc>
        <w:tc>
          <w:tcPr>
            <w:tcW w:w="1894" w:type="pct"/>
            <w:shd w:val="clear" w:color="auto" w:fill="auto"/>
            <w:vAlign w:val="center"/>
          </w:tcPr>
          <w:p w14:paraId="16166CB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包括机械部分及电气部分的竣工图纸、资料、备件或推荐备件及工具清单</w:t>
            </w:r>
          </w:p>
        </w:tc>
        <w:tc>
          <w:tcPr>
            <w:tcW w:w="679" w:type="pct"/>
            <w:shd w:val="clear" w:color="auto" w:fill="auto"/>
            <w:vAlign w:val="center"/>
          </w:tcPr>
          <w:p w14:paraId="42367345">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w:t>
            </w:r>
          </w:p>
          <w:p w14:paraId="2C4341EA">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1E5653F3">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前</w:t>
            </w:r>
          </w:p>
        </w:tc>
        <w:tc>
          <w:tcPr>
            <w:tcW w:w="511" w:type="pct"/>
            <w:shd w:val="clear" w:color="auto" w:fill="auto"/>
            <w:vAlign w:val="center"/>
          </w:tcPr>
          <w:p w14:paraId="048D0FC7">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5299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3A93D7CA">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操作手册</w:t>
            </w:r>
          </w:p>
        </w:tc>
        <w:tc>
          <w:tcPr>
            <w:tcW w:w="1894" w:type="pct"/>
            <w:shd w:val="clear" w:color="auto" w:fill="auto"/>
            <w:vAlign w:val="center"/>
          </w:tcPr>
          <w:p w14:paraId="33C09855">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系统原理，培训，操作说明</w:t>
            </w:r>
          </w:p>
        </w:tc>
        <w:tc>
          <w:tcPr>
            <w:tcW w:w="679" w:type="pct"/>
            <w:shd w:val="clear" w:color="auto" w:fill="auto"/>
            <w:vAlign w:val="center"/>
          </w:tcPr>
          <w:p w14:paraId="2362B2DB">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42ED6284">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前</w:t>
            </w:r>
          </w:p>
        </w:tc>
        <w:tc>
          <w:tcPr>
            <w:tcW w:w="511" w:type="pct"/>
            <w:shd w:val="clear" w:color="auto" w:fill="auto"/>
            <w:vAlign w:val="center"/>
          </w:tcPr>
          <w:p w14:paraId="16189DE9">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43B1A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2CCBB09F">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电气手册</w:t>
            </w:r>
          </w:p>
        </w:tc>
        <w:tc>
          <w:tcPr>
            <w:tcW w:w="1894" w:type="pct"/>
            <w:shd w:val="clear" w:color="auto" w:fill="auto"/>
            <w:vAlign w:val="center"/>
          </w:tcPr>
          <w:p w14:paraId="1C99526E">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包括操作、维修、故障诊断</w:t>
            </w:r>
          </w:p>
        </w:tc>
        <w:tc>
          <w:tcPr>
            <w:tcW w:w="679" w:type="pct"/>
            <w:shd w:val="clear" w:color="auto" w:fill="auto"/>
            <w:vAlign w:val="center"/>
          </w:tcPr>
          <w:p w14:paraId="05F1A33E">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eastAsia="宋体" w:cs="宋体"/>
                <w:sz w:val="24"/>
                <w:szCs w:val="24"/>
                <w:lang w:val="en-US" w:eastAsia="zh-CN"/>
              </w:rPr>
              <w:t>4</w:t>
            </w:r>
            <w:r>
              <w:rPr>
                <w:rFonts w:hint="eastAsia" w:ascii="宋体" w:hAnsi="宋体" w:eastAsia="宋体" w:cs="宋体"/>
                <w:sz w:val="24"/>
                <w:szCs w:val="24"/>
              </w:rPr>
              <w:t>套电子版</w:t>
            </w:r>
            <w:r>
              <w:rPr>
                <w:rFonts w:hint="eastAsia" w:ascii="宋体" w:hAnsi="宋体" w:cs="宋体"/>
                <w:sz w:val="24"/>
                <w:szCs w:val="24"/>
                <w:lang w:val="en-US" w:eastAsia="zh-CN"/>
              </w:rPr>
              <w:t>2</w:t>
            </w:r>
            <w:r>
              <w:rPr>
                <w:rFonts w:hint="eastAsia" w:ascii="宋体" w:hAnsi="宋体" w:eastAsia="宋体" w:cs="宋体"/>
                <w:sz w:val="24"/>
                <w:szCs w:val="24"/>
              </w:rPr>
              <w:t>套</w:t>
            </w:r>
          </w:p>
        </w:tc>
        <w:tc>
          <w:tcPr>
            <w:tcW w:w="700" w:type="pct"/>
            <w:shd w:val="clear" w:color="auto" w:fill="auto"/>
            <w:vAlign w:val="center"/>
          </w:tcPr>
          <w:p w14:paraId="5ACC87C0">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前</w:t>
            </w:r>
          </w:p>
        </w:tc>
        <w:tc>
          <w:tcPr>
            <w:tcW w:w="511" w:type="pct"/>
            <w:shd w:val="clear" w:color="auto" w:fill="auto"/>
            <w:vAlign w:val="center"/>
          </w:tcPr>
          <w:p w14:paraId="66BE7C3C">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71EE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14" w:type="pct"/>
            <w:shd w:val="clear" w:color="auto" w:fill="auto"/>
            <w:vAlign w:val="center"/>
          </w:tcPr>
          <w:p w14:paraId="30D2AE8B">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外购件随机资料</w:t>
            </w:r>
          </w:p>
        </w:tc>
        <w:tc>
          <w:tcPr>
            <w:tcW w:w="1894" w:type="pct"/>
            <w:shd w:val="clear" w:color="auto" w:fill="auto"/>
            <w:vAlign w:val="center"/>
          </w:tcPr>
          <w:p w14:paraId="32C20285">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含产品合格证、说明书、安装手册、操作手册等</w:t>
            </w:r>
          </w:p>
        </w:tc>
        <w:tc>
          <w:tcPr>
            <w:tcW w:w="679" w:type="pct"/>
            <w:shd w:val="clear" w:color="auto" w:fill="auto"/>
            <w:vAlign w:val="center"/>
          </w:tcPr>
          <w:p w14:paraId="2EFFBF1B">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随机资料</w:t>
            </w:r>
          </w:p>
        </w:tc>
        <w:tc>
          <w:tcPr>
            <w:tcW w:w="700" w:type="pct"/>
            <w:shd w:val="clear" w:color="auto" w:fill="auto"/>
            <w:vAlign w:val="center"/>
          </w:tcPr>
          <w:p w14:paraId="1DA44A11">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前</w:t>
            </w:r>
          </w:p>
        </w:tc>
        <w:tc>
          <w:tcPr>
            <w:tcW w:w="511" w:type="pct"/>
            <w:shd w:val="clear" w:color="auto" w:fill="auto"/>
            <w:vAlign w:val="center"/>
          </w:tcPr>
          <w:p w14:paraId="585052C0">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5127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214" w:type="pct"/>
            <w:shd w:val="clear" w:color="auto" w:fill="auto"/>
            <w:vAlign w:val="center"/>
          </w:tcPr>
          <w:p w14:paraId="21D2A4E9">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报告</w:t>
            </w:r>
          </w:p>
        </w:tc>
        <w:tc>
          <w:tcPr>
            <w:tcW w:w="1894" w:type="pct"/>
            <w:shd w:val="clear" w:color="auto" w:fill="auto"/>
            <w:vAlign w:val="center"/>
          </w:tcPr>
          <w:p w14:paraId="4929A9A7">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申请</w:t>
            </w:r>
          </w:p>
        </w:tc>
        <w:tc>
          <w:tcPr>
            <w:tcW w:w="679" w:type="pct"/>
            <w:shd w:val="clear" w:color="auto" w:fill="auto"/>
            <w:vAlign w:val="center"/>
          </w:tcPr>
          <w:p w14:paraId="44D3FD99">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w:t>
            </w:r>
            <w:r>
              <w:rPr>
                <w:rFonts w:hint="eastAsia" w:ascii="宋体" w:hAnsi="宋体" w:cs="宋体"/>
                <w:sz w:val="24"/>
                <w:szCs w:val="24"/>
                <w:lang w:val="en-US" w:eastAsia="zh-CN"/>
              </w:rPr>
              <w:t>4</w:t>
            </w:r>
            <w:r>
              <w:rPr>
                <w:rFonts w:hint="eastAsia" w:ascii="宋体" w:hAnsi="宋体" w:eastAsia="宋体" w:cs="宋体"/>
                <w:sz w:val="24"/>
                <w:szCs w:val="24"/>
              </w:rPr>
              <w:t>份电子版</w:t>
            </w:r>
            <w:r>
              <w:rPr>
                <w:rFonts w:hint="eastAsia" w:ascii="宋体" w:hAnsi="宋体" w:cs="宋体"/>
                <w:sz w:val="24"/>
                <w:szCs w:val="24"/>
                <w:lang w:val="en-US" w:eastAsia="zh-CN"/>
              </w:rPr>
              <w:t>1套</w:t>
            </w:r>
          </w:p>
        </w:tc>
        <w:tc>
          <w:tcPr>
            <w:tcW w:w="700" w:type="pct"/>
            <w:shd w:val="clear" w:color="auto" w:fill="auto"/>
            <w:vAlign w:val="center"/>
          </w:tcPr>
          <w:p w14:paraId="36AAE8C4">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eastAsia="zh-CN"/>
              </w:rPr>
              <w:t>调试验收</w:t>
            </w:r>
            <w:r>
              <w:rPr>
                <w:rFonts w:hint="eastAsia" w:ascii="宋体" w:hAnsi="宋体" w:eastAsia="宋体" w:cs="宋体"/>
                <w:sz w:val="24"/>
                <w:szCs w:val="24"/>
              </w:rPr>
              <w:t>前</w:t>
            </w:r>
          </w:p>
        </w:tc>
        <w:tc>
          <w:tcPr>
            <w:tcW w:w="511" w:type="pct"/>
            <w:shd w:val="clear" w:color="auto" w:fill="auto"/>
            <w:vAlign w:val="center"/>
          </w:tcPr>
          <w:p w14:paraId="334C8697">
            <w:pPr>
              <w:pageBreakBefore w:val="0"/>
              <w:tabs>
                <w:tab w:val="left" w:pos="84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bl>
    <w:p w14:paraId="7E518C5B">
      <w:pPr>
        <w:pStyle w:val="17"/>
        <w:pageBreakBefore w:val="0"/>
        <w:numPr>
          <w:ilvl w:val="0"/>
          <w:numId w:val="16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rPr>
        <w:t>所有设备的流程图、原理图、总图、断面图、零部件的安装制造图CAD可编辑版、各设备参数的设计、材料汇总表、外购件汇总表（外购件品牌根据</w:t>
      </w:r>
      <w:r>
        <w:rPr>
          <w:rFonts w:hint="eastAsia" w:ascii="宋体" w:hAnsi="宋体" w:cs="宋体"/>
          <w:lang w:eastAsia="zh-CN"/>
        </w:rPr>
        <w:t>招标人</w:t>
      </w:r>
      <w:r>
        <w:rPr>
          <w:rFonts w:hint="eastAsia" w:ascii="宋体" w:hAnsi="宋体" w:eastAsia="宋体" w:cs="宋体"/>
        </w:rPr>
        <w:t>要求执行）、标准件汇总表、各主要工序核算依据等施工图纸资料均应提供给</w:t>
      </w:r>
      <w:r>
        <w:rPr>
          <w:rFonts w:hint="eastAsia" w:ascii="宋体" w:hAnsi="宋体" w:cs="宋体"/>
          <w:lang w:eastAsia="zh-CN"/>
        </w:rPr>
        <w:t>招标人</w:t>
      </w:r>
      <w:r>
        <w:rPr>
          <w:rFonts w:hint="eastAsia" w:ascii="宋体" w:hAnsi="宋体" w:eastAsia="宋体" w:cs="宋体"/>
        </w:rPr>
        <w:t>（含CAD可编辑电子版和书面版）。</w:t>
      </w:r>
    </w:p>
    <w:p w14:paraId="7190A4B1">
      <w:pPr>
        <w:pageBreakBefore w:val="0"/>
        <w:kinsoku/>
        <w:wordWrap/>
        <w:topLinePunct w:val="0"/>
        <w:bidi w:val="0"/>
        <w:adjustRightInd w:val="0"/>
        <w:snapToGrid w:val="0"/>
        <w:spacing w:afterAutospacing="0" w:line="360" w:lineRule="auto"/>
        <w:ind w:left="0" w:leftChars="0" w:firstLineChars="0"/>
        <w:jc w:val="center"/>
        <w:rPr>
          <w:rFonts w:hint="eastAsia" w:ascii="宋体" w:hAnsi="宋体" w:eastAsia="宋体" w:cs="宋体"/>
        </w:rPr>
      </w:pPr>
      <w:r>
        <w:rPr>
          <w:rFonts w:hint="eastAsia" w:ascii="宋体" w:hAnsi="宋体" w:eastAsia="宋体" w:cs="宋体"/>
          <w:b/>
          <w:bCs/>
          <w:sz w:val="30"/>
          <w:szCs w:val="30"/>
        </w:rPr>
        <w:t>附件三</w:t>
      </w:r>
      <w:r>
        <w:rPr>
          <w:rFonts w:hint="eastAsia" w:ascii="宋体" w:hAnsi="宋体" w:cs="宋体"/>
          <w:b/>
          <w:bCs/>
          <w:sz w:val="30"/>
          <w:szCs w:val="30"/>
          <w:lang w:eastAsia="zh-CN"/>
        </w:rPr>
        <w:t>、</w:t>
      </w:r>
      <w:r>
        <w:rPr>
          <w:rFonts w:hint="eastAsia" w:ascii="宋体" w:hAnsi="宋体" w:eastAsia="宋体" w:cs="宋体"/>
          <w:b/>
          <w:bCs/>
          <w:sz w:val="30"/>
          <w:szCs w:val="30"/>
        </w:rPr>
        <w:t>涂装车间机器人设备技术</w:t>
      </w:r>
      <w:bookmarkStart w:id="135" w:name="_Toc7389"/>
      <w:r>
        <w:rPr>
          <w:rFonts w:hint="eastAsia" w:ascii="宋体" w:hAnsi="宋体" w:eastAsia="宋体" w:cs="宋体"/>
          <w:b/>
          <w:bCs/>
          <w:sz w:val="30"/>
          <w:szCs w:val="30"/>
          <w:lang w:val="en-US" w:eastAsia="zh-CN"/>
        </w:rPr>
        <w:t>要求</w:t>
      </w:r>
    </w:p>
    <w:p w14:paraId="060A6146">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供货范围</w:t>
      </w:r>
      <w:bookmarkEnd w:id="135"/>
    </w:p>
    <w:p w14:paraId="561AEA39">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机器人系统的制造、供货、安装、调试、试生产、陪产。</w:t>
      </w:r>
    </w:p>
    <w:p w14:paraId="09FBADDC">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本项目为项目设计、制造、包装、运输、装卸、吊装、安装、调试、配合验收、技术培训和服务等交钥匙工程。</w:t>
      </w:r>
    </w:p>
    <w:p w14:paraId="5D8A7EEB">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在本合同中包含2平台4车型柔性化共线生产，</w:t>
      </w:r>
      <w:r>
        <w:rPr>
          <w:rFonts w:hint="eastAsia" w:ascii="宋体" w:hAnsi="宋体" w:eastAsia="宋体" w:cs="宋体"/>
          <w:color w:val="auto"/>
        </w:rPr>
        <w:t>2</w:t>
      </w:r>
      <w:r>
        <w:rPr>
          <w:rFonts w:hint="eastAsia" w:ascii="宋体" w:hAnsi="宋体" w:eastAsia="宋体" w:cs="宋体"/>
        </w:rPr>
        <w:t>种B1底漆，5种B2色漆，</w:t>
      </w:r>
      <w:r>
        <w:rPr>
          <w:rFonts w:hint="eastAsia" w:ascii="宋体" w:hAnsi="宋体" w:eastAsia="宋体" w:cs="宋体"/>
          <w:color w:val="auto"/>
          <w:lang w:val="en-US" w:eastAsia="zh-CN"/>
        </w:rPr>
        <w:t>1</w:t>
      </w:r>
      <w:r>
        <w:rPr>
          <w:rFonts w:hint="eastAsia" w:ascii="宋体" w:hAnsi="宋体" w:eastAsia="宋体" w:cs="宋体"/>
        </w:rPr>
        <w:t>种2K清漆，2种固化剂，2种清洗溶剂的自动喷涂轨迹及参数调试，（套色按照主色计算）。</w:t>
      </w:r>
    </w:p>
    <w:p w14:paraId="0102F64C">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根据</w:t>
      </w:r>
      <w:r>
        <w:rPr>
          <w:rFonts w:hint="eastAsia" w:ascii="宋体" w:hAnsi="宋体" w:cs="宋体"/>
          <w:lang w:eastAsia="zh-CN"/>
        </w:rPr>
        <w:t>招标人</w:t>
      </w:r>
      <w:r>
        <w:rPr>
          <w:rFonts w:hint="eastAsia" w:ascii="宋体" w:hAnsi="宋体" w:eastAsia="宋体" w:cs="宋体"/>
        </w:rPr>
        <w:t>的要求，本模块整体选用6轴（个别配置七轴地轨行走轴、八轴旋转轴</w:t>
      </w:r>
      <w:r>
        <w:rPr>
          <w:rFonts w:hint="eastAsia" w:ascii="宋体" w:hAnsi="宋体" w:eastAsia="宋体" w:cs="宋体"/>
          <w:color w:val="auto"/>
        </w:rPr>
        <w:t>和九轴旋转轴）机器人及相应的喷涂系统产品</w:t>
      </w:r>
      <w:r>
        <w:rPr>
          <w:rFonts w:hint="eastAsia" w:ascii="宋体" w:hAnsi="宋体" w:eastAsia="宋体" w:cs="宋体"/>
          <w:color w:val="auto"/>
          <w:lang w:eastAsia="zh-CN"/>
        </w:rPr>
        <w:t>，</w:t>
      </w:r>
      <w:r>
        <w:rPr>
          <w:rFonts w:hint="eastAsia" w:ascii="宋体" w:hAnsi="宋体" w:eastAsia="宋体" w:cs="宋体"/>
          <w:color w:val="auto"/>
          <w:lang w:val="en-US" w:eastAsia="zh-CN"/>
        </w:rPr>
        <w:t>利旧原有2台机器人用于BC1喷涂</w:t>
      </w:r>
      <w:r>
        <w:rPr>
          <w:rFonts w:hint="eastAsia" w:ascii="宋体" w:hAnsi="宋体" w:eastAsia="宋体" w:cs="宋体"/>
          <w:color w:val="auto"/>
        </w:rPr>
        <w:t>，包括机器</w:t>
      </w:r>
      <w:r>
        <w:rPr>
          <w:rFonts w:hint="eastAsia" w:ascii="宋体" w:hAnsi="宋体" w:eastAsia="宋体" w:cs="宋体"/>
        </w:rPr>
        <w:t>人本体，集成、旋杯、喷嘴、雾化器清洗装置等；</w:t>
      </w:r>
      <w:r>
        <w:rPr>
          <w:rFonts w:hint="eastAsia" w:ascii="宋体" w:hAnsi="宋体" w:cs="宋体"/>
          <w:lang w:eastAsia="zh-CN"/>
        </w:rPr>
        <w:t>投标人</w:t>
      </w:r>
      <w:r>
        <w:rPr>
          <w:rFonts w:hint="eastAsia" w:ascii="宋体" w:hAnsi="宋体" w:eastAsia="宋体" w:cs="宋体"/>
        </w:rPr>
        <w:t>根据</w:t>
      </w:r>
      <w:r>
        <w:rPr>
          <w:rFonts w:hint="eastAsia" w:ascii="宋体" w:hAnsi="宋体" w:cs="宋体"/>
          <w:lang w:eastAsia="zh-CN"/>
        </w:rPr>
        <w:t>招标人</w:t>
      </w:r>
      <w:r>
        <w:rPr>
          <w:rFonts w:hint="eastAsia" w:ascii="宋体" w:hAnsi="宋体" w:eastAsia="宋体" w:cs="宋体"/>
        </w:rPr>
        <w:t>提供品牌清单选用机器人。</w:t>
      </w:r>
    </w:p>
    <w:p w14:paraId="3614569B">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本项目为</w:t>
      </w:r>
      <w:r>
        <w:rPr>
          <w:rFonts w:hint="eastAsia" w:ascii="宋体" w:hAnsi="宋体" w:cs="宋体"/>
          <w:lang w:eastAsia="zh-CN"/>
        </w:rPr>
        <w:t>投标人</w:t>
      </w:r>
      <w:r>
        <w:rPr>
          <w:rFonts w:hint="eastAsia" w:ascii="宋体" w:hAnsi="宋体" w:eastAsia="宋体" w:cs="宋体"/>
        </w:rPr>
        <w:t>总包，整个项目的进度管理、质量管理、现场管理等各项有关此项目的项目管理均由</w:t>
      </w:r>
      <w:r>
        <w:rPr>
          <w:rFonts w:hint="eastAsia" w:ascii="宋体" w:hAnsi="宋体" w:cs="宋体"/>
          <w:lang w:eastAsia="zh-CN"/>
        </w:rPr>
        <w:t>投标人</w:t>
      </w:r>
      <w:r>
        <w:rPr>
          <w:rFonts w:hint="eastAsia" w:ascii="宋体" w:hAnsi="宋体" w:eastAsia="宋体" w:cs="宋体"/>
        </w:rPr>
        <w:t>负责，</w:t>
      </w:r>
      <w:r>
        <w:rPr>
          <w:rFonts w:hint="eastAsia" w:ascii="宋体" w:hAnsi="宋体" w:cs="宋体"/>
          <w:lang w:eastAsia="zh-CN"/>
        </w:rPr>
        <w:t>招标人</w:t>
      </w:r>
      <w:r>
        <w:rPr>
          <w:rFonts w:hint="eastAsia" w:ascii="宋体" w:hAnsi="宋体" w:eastAsia="宋体" w:cs="宋体"/>
        </w:rPr>
        <w:t>全过程进行监督。在本技术任务书范围内，</w:t>
      </w:r>
      <w:r>
        <w:rPr>
          <w:rFonts w:hint="eastAsia" w:ascii="宋体" w:hAnsi="宋体" w:cs="宋体"/>
          <w:lang w:eastAsia="zh-CN"/>
        </w:rPr>
        <w:t>招标人</w:t>
      </w:r>
      <w:r>
        <w:rPr>
          <w:rFonts w:hint="eastAsia" w:ascii="宋体" w:hAnsi="宋体" w:eastAsia="宋体" w:cs="宋体"/>
        </w:rPr>
        <w:t>不负责向</w:t>
      </w:r>
      <w:r>
        <w:rPr>
          <w:rFonts w:hint="eastAsia" w:ascii="宋体" w:hAnsi="宋体" w:cs="宋体"/>
          <w:lang w:eastAsia="zh-CN"/>
        </w:rPr>
        <w:t>投标人</w:t>
      </w:r>
      <w:r>
        <w:rPr>
          <w:rFonts w:hint="eastAsia" w:ascii="宋体" w:hAnsi="宋体" w:eastAsia="宋体" w:cs="宋体"/>
        </w:rPr>
        <w:t xml:space="preserve">提供任何设备、任何工具、任何人员等（有协议要求参照协议要求进行）。本项目所有的设备、工装、电气元件必须使用市场上的主流厂商主流成熟产品（全新），不得使用已经淘汰或即将淘汰的产品，保证备件在至少十年内市场仍有供货。 </w:t>
      </w:r>
    </w:p>
    <w:p w14:paraId="4EC2A536">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本项目任何过程中，</w:t>
      </w:r>
      <w:r>
        <w:rPr>
          <w:rFonts w:hint="eastAsia" w:ascii="宋体" w:hAnsi="宋体" w:cs="宋体"/>
          <w:lang w:eastAsia="zh-CN"/>
        </w:rPr>
        <w:t>投标人</w:t>
      </w:r>
      <w:r>
        <w:rPr>
          <w:rFonts w:hint="eastAsia" w:ascii="宋体" w:hAnsi="宋体" w:eastAsia="宋体" w:cs="宋体"/>
        </w:rPr>
        <w:t>所有人员的食宿、饮水、交通等都由</w:t>
      </w:r>
      <w:r>
        <w:rPr>
          <w:rFonts w:hint="eastAsia" w:ascii="宋体" w:hAnsi="宋体" w:cs="宋体"/>
          <w:lang w:eastAsia="zh-CN"/>
        </w:rPr>
        <w:t>投标人</w:t>
      </w:r>
      <w:r>
        <w:rPr>
          <w:rFonts w:hint="eastAsia" w:ascii="宋体" w:hAnsi="宋体" w:eastAsia="宋体" w:cs="宋体"/>
        </w:rPr>
        <w:t>自行处理，</w:t>
      </w:r>
      <w:r>
        <w:rPr>
          <w:rFonts w:hint="eastAsia" w:ascii="宋体" w:hAnsi="宋体" w:cs="宋体"/>
          <w:lang w:eastAsia="zh-CN"/>
        </w:rPr>
        <w:t>招标人</w:t>
      </w:r>
      <w:r>
        <w:rPr>
          <w:rFonts w:hint="eastAsia" w:ascii="宋体" w:hAnsi="宋体" w:eastAsia="宋体" w:cs="宋体"/>
        </w:rPr>
        <w:t>不负责提供。</w:t>
      </w:r>
    </w:p>
    <w:p w14:paraId="59198513">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设计更改的处理:在项目实施过程中如出现设计更改情况,由双方进行友好协商,在进入加工制造阶段前的相关更改不另计费用；在进入制造阶段后，</w:t>
      </w:r>
      <w:r>
        <w:rPr>
          <w:rFonts w:hint="eastAsia" w:ascii="宋体" w:hAnsi="宋体" w:cs="宋体"/>
          <w:lang w:eastAsia="zh-CN"/>
        </w:rPr>
        <w:t>投标人</w:t>
      </w:r>
      <w:r>
        <w:rPr>
          <w:rFonts w:hint="eastAsia" w:ascii="宋体" w:hAnsi="宋体" w:eastAsia="宋体" w:cs="宋体"/>
        </w:rPr>
        <w:t>在接到</w:t>
      </w:r>
      <w:r>
        <w:rPr>
          <w:rFonts w:hint="eastAsia" w:ascii="宋体" w:hAnsi="宋体" w:cs="宋体"/>
          <w:lang w:eastAsia="zh-CN"/>
        </w:rPr>
        <w:t>招标人</w:t>
      </w:r>
      <w:r>
        <w:rPr>
          <w:rFonts w:hint="eastAsia" w:ascii="宋体" w:hAnsi="宋体" w:eastAsia="宋体" w:cs="宋体"/>
        </w:rPr>
        <w:t>的更改通知后需立即进行技术方案及费用的回复。</w:t>
      </w:r>
    </w:p>
    <w:p w14:paraId="5D3B4D3D">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本项目的土建基础由</w:t>
      </w:r>
      <w:r>
        <w:rPr>
          <w:rFonts w:hint="eastAsia" w:ascii="宋体" w:hAnsi="宋体" w:cs="宋体"/>
          <w:lang w:eastAsia="zh-CN"/>
        </w:rPr>
        <w:t>招标人</w:t>
      </w:r>
      <w:r>
        <w:rPr>
          <w:rFonts w:hint="eastAsia" w:ascii="宋体" w:hAnsi="宋体" w:eastAsia="宋体" w:cs="宋体"/>
        </w:rPr>
        <w:t>负责，</w:t>
      </w:r>
      <w:r>
        <w:rPr>
          <w:rFonts w:hint="eastAsia" w:ascii="宋体" w:hAnsi="宋体" w:cs="宋体"/>
          <w:lang w:eastAsia="zh-CN"/>
        </w:rPr>
        <w:t>投标人</w:t>
      </w:r>
      <w:r>
        <w:rPr>
          <w:rFonts w:hint="eastAsia" w:ascii="宋体" w:hAnsi="宋体" w:eastAsia="宋体" w:cs="宋体"/>
        </w:rPr>
        <w:t>提供技术要求，</w:t>
      </w:r>
      <w:r>
        <w:rPr>
          <w:rFonts w:hint="eastAsia" w:ascii="宋体" w:hAnsi="宋体" w:cs="宋体"/>
          <w:lang w:eastAsia="zh-CN"/>
        </w:rPr>
        <w:t>投标人</w:t>
      </w:r>
      <w:r>
        <w:rPr>
          <w:rFonts w:hint="eastAsia" w:ascii="宋体" w:hAnsi="宋体" w:eastAsia="宋体" w:cs="宋体"/>
        </w:rPr>
        <w:t>提出的有关需要</w:t>
      </w:r>
      <w:r>
        <w:rPr>
          <w:rFonts w:hint="eastAsia" w:ascii="宋体" w:hAnsi="宋体" w:cs="宋体"/>
          <w:lang w:eastAsia="zh-CN"/>
        </w:rPr>
        <w:t>招标人</w:t>
      </w:r>
      <w:r>
        <w:rPr>
          <w:rFonts w:hint="eastAsia" w:ascii="宋体" w:hAnsi="宋体" w:eastAsia="宋体" w:cs="宋体"/>
        </w:rPr>
        <w:t>提前准备的工程（例如：设备基础），</w:t>
      </w:r>
      <w:r>
        <w:rPr>
          <w:rFonts w:hint="eastAsia" w:ascii="宋体" w:hAnsi="宋体" w:cs="宋体"/>
          <w:lang w:eastAsia="zh-CN"/>
        </w:rPr>
        <w:t>招标人</w:t>
      </w:r>
      <w:r>
        <w:rPr>
          <w:rFonts w:hint="eastAsia" w:ascii="宋体" w:hAnsi="宋体" w:eastAsia="宋体" w:cs="宋体"/>
        </w:rPr>
        <w:t>在施工中或者结束后书面通知</w:t>
      </w:r>
      <w:r>
        <w:rPr>
          <w:rFonts w:hint="eastAsia" w:ascii="宋体" w:hAnsi="宋体" w:cs="宋体"/>
          <w:lang w:eastAsia="zh-CN"/>
        </w:rPr>
        <w:t>投标人</w:t>
      </w:r>
      <w:r>
        <w:rPr>
          <w:rFonts w:hint="eastAsia" w:ascii="宋体" w:hAnsi="宋体" w:eastAsia="宋体" w:cs="宋体"/>
        </w:rPr>
        <w:t>，在收到通知后2个星期之内，</w:t>
      </w:r>
      <w:r>
        <w:rPr>
          <w:rFonts w:hint="eastAsia" w:ascii="宋体" w:hAnsi="宋体" w:cs="宋体"/>
          <w:lang w:eastAsia="zh-CN"/>
        </w:rPr>
        <w:t>投标人</w:t>
      </w:r>
      <w:r>
        <w:rPr>
          <w:rFonts w:hint="eastAsia" w:ascii="宋体" w:hAnsi="宋体" w:eastAsia="宋体" w:cs="宋体"/>
        </w:rPr>
        <w:t>必须到现场进行实地勘察，确认是否满足其要求，若</w:t>
      </w:r>
      <w:r>
        <w:rPr>
          <w:rFonts w:hint="eastAsia" w:ascii="宋体" w:hAnsi="宋体" w:cs="宋体"/>
          <w:lang w:eastAsia="zh-CN"/>
        </w:rPr>
        <w:t>投标人</w:t>
      </w:r>
      <w:r>
        <w:rPr>
          <w:rFonts w:hint="eastAsia" w:ascii="宋体" w:hAnsi="宋体" w:eastAsia="宋体" w:cs="宋体"/>
        </w:rPr>
        <w:t>逾期未进行实地勘察，且没有另行预约时间的，按认同</w:t>
      </w:r>
      <w:r>
        <w:rPr>
          <w:rFonts w:hint="eastAsia" w:ascii="宋体" w:hAnsi="宋体" w:cs="宋体"/>
          <w:lang w:eastAsia="zh-CN"/>
        </w:rPr>
        <w:t>招标人</w:t>
      </w:r>
      <w:r>
        <w:rPr>
          <w:rFonts w:hint="eastAsia" w:ascii="宋体" w:hAnsi="宋体" w:eastAsia="宋体" w:cs="宋体"/>
        </w:rPr>
        <w:t>土建基础处理。因</w:t>
      </w:r>
      <w:r>
        <w:rPr>
          <w:rFonts w:hint="eastAsia" w:ascii="宋体" w:hAnsi="宋体" w:cs="宋体"/>
          <w:lang w:eastAsia="zh-CN"/>
        </w:rPr>
        <w:t>投标人</w:t>
      </w:r>
      <w:r>
        <w:rPr>
          <w:rFonts w:hint="eastAsia" w:ascii="宋体" w:hAnsi="宋体" w:eastAsia="宋体" w:cs="宋体"/>
        </w:rPr>
        <w:t>设计原因造成土建基础需更改的由</w:t>
      </w:r>
      <w:r>
        <w:rPr>
          <w:rFonts w:hint="eastAsia" w:ascii="宋体" w:hAnsi="宋体" w:cs="宋体"/>
          <w:lang w:eastAsia="zh-CN"/>
        </w:rPr>
        <w:t>投标人</w:t>
      </w:r>
      <w:r>
        <w:rPr>
          <w:rFonts w:hint="eastAsia" w:ascii="宋体" w:hAnsi="宋体" w:eastAsia="宋体" w:cs="宋体"/>
        </w:rPr>
        <w:t>负责施工并承担所产生的费用。</w:t>
      </w:r>
    </w:p>
    <w:p w14:paraId="7B248492">
      <w:pPr>
        <w:pStyle w:val="17"/>
        <w:pageBreakBefore w:val="0"/>
        <w:numPr>
          <w:ilvl w:val="0"/>
          <w:numId w:val="17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Cs/>
          <w:szCs w:val="21"/>
        </w:rPr>
      </w:pPr>
      <w:r>
        <w:rPr>
          <w:rFonts w:hint="eastAsia" w:ascii="宋体" w:hAnsi="宋体" w:eastAsia="宋体" w:cs="宋体"/>
        </w:rPr>
        <w:t>在前期技术方案交流中</w:t>
      </w:r>
      <w:r>
        <w:rPr>
          <w:rFonts w:hint="eastAsia" w:ascii="宋体" w:hAnsi="宋体" w:cs="宋体"/>
          <w:lang w:eastAsia="zh-CN"/>
        </w:rPr>
        <w:t>招标人</w:t>
      </w:r>
      <w:r>
        <w:rPr>
          <w:rFonts w:hint="eastAsia" w:ascii="宋体" w:hAnsi="宋体" w:eastAsia="宋体" w:cs="宋体"/>
        </w:rPr>
        <w:t>已充分讲解，</w:t>
      </w:r>
      <w:r>
        <w:rPr>
          <w:rFonts w:hint="eastAsia" w:ascii="宋体" w:hAnsi="宋体" w:cs="宋体"/>
          <w:lang w:eastAsia="zh-CN"/>
        </w:rPr>
        <w:t>投标人</w:t>
      </w:r>
      <w:r>
        <w:rPr>
          <w:rFonts w:hint="eastAsia" w:ascii="宋体" w:hAnsi="宋体" w:eastAsia="宋体" w:cs="宋体"/>
        </w:rPr>
        <w:t>也充分理解了技术方案，并进行了分析确认，如后期由于</w:t>
      </w:r>
      <w:r>
        <w:rPr>
          <w:rFonts w:hint="eastAsia" w:ascii="宋体" w:hAnsi="宋体" w:cs="宋体"/>
          <w:lang w:eastAsia="zh-CN"/>
        </w:rPr>
        <w:t>投标人</w:t>
      </w:r>
      <w:r>
        <w:rPr>
          <w:rFonts w:hint="eastAsia" w:ascii="宋体" w:hAnsi="宋体" w:eastAsia="宋体" w:cs="宋体"/>
        </w:rPr>
        <w:t>未进行充分方案分析、确认，而造成一切不利影响，所发生的一切整改费用由</w:t>
      </w:r>
      <w:r>
        <w:rPr>
          <w:rFonts w:hint="eastAsia" w:ascii="宋体" w:hAnsi="宋体" w:cs="宋体"/>
          <w:lang w:eastAsia="zh-CN"/>
        </w:rPr>
        <w:t>投标人</w:t>
      </w:r>
      <w:r>
        <w:rPr>
          <w:rFonts w:hint="eastAsia" w:ascii="宋体" w:hAnsi="宋体" w:eastAsia="宋体" w:cs="宋体"/>
        </w:rPr>
        <w:t>负责承担，并按</w:t>
      </w:r>
      <w:r>
        <w:rPr>
          <w:rFonts w:hint="eastAsia" w:ascii="宋体" w:hAnsi="宋体" w:cs="宋体"/>
          <w:lang w:eastAsia="zh-CN"/>
        </w:rPr>
        <w:t>招标人</w:t>
      </w:r>
      <w:r>
        <w:rPr>
          <w:rFonts w:hint="eastAsia" w:ascii="宋体" w:hAnsi="宋体" w:eastAsia="宋体" w:cs="宋体"/>
        </w:rPr>
        <w:t>要求进行整改满足要求。</w:t>
      </w:r>
    </w:p>
    <w:p w14:paraId="5DA63250">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136" w:name="_Toc24605"/>
      <w:r>
        <w:rPr>
          <w:rFonts w:hint="eastAsia" w:ascii="宋体" w:hAnsi="宋体" w:eastAsia="宋体" w:cs="宋体"/>
          <w:b/>
          <w:bCs/>
          <w:sz w:val="24"/>
          <w:szCs w:val="24"/>
        </w:rPr>
        <w:t>技术参数及技术要求</w:t>
      </w:r>
      <w:bookmarkEnd w:id="136"/>
    </w:p>
    <w:p w14:paraId="670F740F">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车身涂装机器人系统要求：</w:t>
      </w:r>
    </w:p>
    <w:p w14:paraId="04E63730">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机器人数量要求</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9"/>
        <w:gridCol w:w="2437"/>
        <w:gridCol w:w="1753"/>
        <w:gridCol w:w="3711"/>
      </w:tblGrid>
      <w:tr w14:paraId="762F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906" w:type="pct"/>
            <w:vAlign w:val="center"/>
          </w:tcPr>
          <w:p w14:paraId="736B7FE4">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站名称</w:t>
            </w:r>
          </w:p>
        </w:tc>
        <w:tc>
          <w:tcPr>
            <w:tcW w:w="1262" w:type="pct"/>
            <w:vAlign w:val="center"/>
          </w:tcPr>
          <w:p w14:paraId="02E74724">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机器人数量：套</w:t>
            </w:r>
          </w:p>
        </w:tc>
        <w:tc>
          <w:tcPr>
            <w:tcW w:w="908" w:type="pct"/>
            <w:vAlign w:val="center"/>
          </w:tcPr>
          <w:p w14:paraId="663A6B46">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工作内容</w:t>
            </w:r>
          </w:p>
        </w:tc>
        <w:tc>
          <w:tcPr>
            <w:tcW w:w="1922" w:type="pct"/>
            <w:vAlign w:val="center"/>
          </w:tcPr>
          <w:p w14:paraId="140C0EAB">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备注</w:t>
            </w:r>
          </w:p>
        </w:tc>
      </w:tr>
      <w:tr w14:paraId="148BA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906" w:type="pct"/>
            <w:vAlign w:val="center"/>
          </w:tcPr>
          <w:p w14:paraId="77DE1D12">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离子风</w:t>
            </w:r>
          </w:p>
        </w:tc>
        <w:tc>
          <w:tcPr>
            <w:tcW w:w="1262" w:type="pct"/>
            <w:vAlign w:val="center"/>
          </w:tcPr>
          <w:p w14:paraId="12E491DB">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lang w:val="en-AU"/>
              </w:rPr>
              <w:t>（离子风刀）</w:t>
            </w:r>
          </w:p>
        </w:tc>
        <w:tc>
          <w:tcPr>
            <w:tcW w:w="908" w:type="pct"/>
            <w:vAlign w:val="center"/>
          </w:tcPr>
          <w:p w14:paraId="5BB85C85">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B1站前1套，</w:t>
            </w:r>
          </w:p>
        </w:tc>
        <w:tc>
          <w:tcPr>
            <w:tcW w:w="1922" w:type="pct"/>
            <w:vAlign w:val="center"/>
          </w:tcPr>
          <w:p w14:paraId="115BD0A9">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固定式安装调试，带仿形</w:t>
            </w:r>
          </w:p>
        </w:tc>
      </w:tr>
      <w:tr w14:paraId="5694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6" w:type="pct"/>
            <w:vAlign w:val="center"/>
          </w:tcPr>
          <w:p w14:paraId="5106DC58">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自动内喷站</w:t>
            </w:r>
          </w:p>
        </w:tc>
        <w:tc>
          <w:tcPr>
            <w:tcW w:w="1262" w:type="pct"/>
            <w:vAlign w:val="center"/>
          </w:tcPr>
          <w:p w14:paraId="41149DAB">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1</w:t>
            </w:r>
          </w:p>
        </w:tc>
        <w:tc>
          <w:tcPr>
            <w:tcW w:w="908" w:type="pct"/>
            <w:vAlign w:val="center"/>
          </w:tcPr>
          <w:p w14:paraId="1A05DA1E">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喷内厢</w:t>
            </w:r>
          </w:p>
        </w:tc>
        <w:tc>
          <w:tcPr>
            <w:tcW w:w="1922" w:type="pct"/>
            <w:vAlign w:val="center"/>
          </w:tcPr>
          <w:p w14:paraId="122C7D2B">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带7轴轨道轴约5m（根据</w:t>
            </w:r>
            <w:r>
              <w:rPr>
                <w:rFonts w:hint="eastAsia" w:ascii="宋体" w:hAnsi="宋体" w:cs="宋体"/>
                <w:kern w:val="0"/>
                <w:sz w:val="24"/>
                <w:szCs w:val="24"/>
                <w:lang w:val="en-AU" w:eastAsia="zh-CN"/>
              </w:rPr>
              <w:t>招标人</w:t>
            </w:r>
            <w:r>
              <w:rPr>
                <w:rFonts w:hint="eastAsia" w:ascii="宋体" w:hAnsi="宋体" w:eastAsia="宋体" w:cs="宋体"/>
                <w:kern w:val="0"/>
                <w:sz w:val="24"/>
                <w:szCs w:val="24"/>
                <w:lang w:val="en-AU"/>
              </w:rPr>
              <w:t>提供不同的车型数模详细设计），8轴旋转轴，9轴旋转轴</w:t>
            </w:r>
          </w:p>
        </w:tc>
      </w:tr>
      <w:tr w14:paraId="5487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906" w:type="pct"/>
            <w:vAlign w:val="center"/>
          </w:tcPr>
          <w:p w14:paraId="7E393748">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B1外喷站</w:t>
            </w:r>
          </w:p>
        </w:tc>
        <w:tc>
          <w:tcPr>
            <w:tcW w:w="1262" w:type="pct"/>
            <w:vAlign w:val="center"/>
          </w:tcPr>
          <w:p w14:paraId="321FF707">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2</w:t>
            </w:r>
          </w:p>
        </w:tc>
        <w:tc>
          <w:tcPr>
            <w:tcW w:w="908" w:type="pct"/>
            <w:vAlign w:val="center"/>
          </w:tcPr>
          <w:p w14:paraId="40E3ABBE">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一遍喷涂</w:t>
            </w:r>
          </w:p>
        </w:tc>
        <w:tc>
          <w:tcPr>
            <w:tcW w:w="1922" w:type="pct"/>
            <w:vAlign w:val="center"/>
          </w:tcPr>
          <w:p w14:paraId="1D3027AB">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壁挂安装</w:t>
            </w:r>
          </w:p>
        </w:tc>
      </w:tr>
      <w:tr w14:paraId="6E519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906" w:type="pct"/>
            <w:vAlign w:val="center"/>
          </w:tcPr>
          <w:p w14:paraId="2969CE29">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B2外喷站</w:t>
            </w:r>
          </w:p>
        </w:tc>
        <w:tc>
          <w:tcPr>
            <w:tcW w:w="1262" w:type="pct"/>
            <w:vAlign w:val="center"/>
          </w:tcPr>
          <w:p w14:paraId="5F02E98E">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4</w:t>
            </w:r>
          </w:p>
        </w:tc>
        <w:tc>
          <w:tcPr>
            <w:tcW w:w="908" w:type="pct"/>
            <w:vAlign w:val="center"/>
          </w:tcPr>
          <w:p w14:paraId="3F94C66D">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color w:val="auto"/>
                <w:kern w:val="0"/>
                <w:sz w:val="24"/>
                <w:szCs w:val="24"/>
                <w:lang w:val="en-AU"/>
              </w:rPr>
              <w:t>喷涂2遍</w:t>
            </w:r>
          </w:p>
        </w:tc>
        <w:tc>
          <w:tcPr>
            <w:tcW w:w="1922" w:type="pct"/>
            <w:vAlign w:val="center"/>
          </w:tcPr>
          <w:p w14:paraId="2739D791">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壁挂安装</w:t>
            </w:r>
          </w:p>
        </w:tc>
      </w:tr>
      <w:tr w14:paraId="46965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906" w:type="pct"/>
            <w:vAlign w:val="center"/>
          </w:tcPr>
          <w:p w14:paraId="6CFB63AD">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CC外喷站</w:t>
            </w:r>
          </w:p>
        </w:tc>
        <w:tc>
          <w:tcPr>
            <w:tcW w:w="1262" w:type="pct"/>
            <w:vAlign w:val="center"/>
          </w:tcPr>
          <w:p w14:paraId="120767A9">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color w:val="auto"/>
                <w:kern w:val="0"/>
                <w:sz w:val="24"/>
                <w:szCs w:val="24"/>
                <w:lang w:val="en-AU"/>
              </w:rPr>
              <w:t>2</w:t>
            </w:r>
          </w:p>
        </w:tc>
        <w:tc>
          <w:tcPr>
            <w:tcW w:w="908" w:type="pct"/>
            <w:vAlign w:val="center"/>
          </w:tcPr>
          <w:p w14:paraId="281ED714">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喷涂1遍，2K</w:t>
            </w:r>
          </w:p>
        </w:tc>
        <w:tc>
          <w:tcPr>
            <w:tcW w:w="1922" w:type="pct"/>
            <w:vAlign w:val="center"/>
          </w:tcPr>
          <w:p w14:paraId="323E0091">
            <w:pPr>
              <w:pStyle w:val="9"/>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AU"/>
              </w:rPr>
            </w:pPr>
            <w:r>
              <w:rPr>
                <w:rFonts w:hint="eastAsia" w:ascii="宋体" w:hAnsi="宋体" w:eastAsia="宋体" w:cs="宋体"/>
                <w:kern w:val="0"/>
                <w:sz w:val="24"/>
                <w:szCs w:val="24"/>
                <w:lang w:val="en-AU"/>
              </w:rPr>
              <w:t>壁挂安装</w:t>
            </w:r>
          </w:p>
        </w:tc>
      </w:tr>
    </w:tbl>
    <w:p w14:paraId="0FE0066B">
      <w:pPr>
        <w:pageBreakBefore w:val="0"/>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kern w:val="0"/>
          <w:szCs w:val="21"/>
          <w:lang w:val="en-AU"/>
        </w:rPr>
      </w:pPr>
    </w:p>
    <w:p w14:paraId="199BEB74">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中涂、色漆外表面机器人旋杯配置外加电喷涂。</w:t>
      </w:r>
    </w:p>
    <w:p w14:paraId="26937AFF">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清漆外表面机器人旋杯配置内加电喷涂。</w:t>
      </w:r>
    </w:p>
    <w:p w14:paraId="5BFAD2E9">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侧面喷涂机器人需配备雾化器清洗装置。</w:t>
      </w:r>
    </w:p>
    <w:p w14:paraId="2FF2749D">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节拍时间内包含换色清洗时间。</w:t>
      </w:r>
    </w:p>
    <w:p w14:paraId="7D2C1EF3">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杯头材质采用钛合金。</w:t>
      </w:r>
    </w:p>
    <w:p w14:paraId="095CFECD">
      <w:pPr>
        <w:pStyle w:val="17"/>
        <w:pageBreakBefore w:val="0"/>
        <w:numPr>
          <w:ilvl w:val="0"/>
          <w:numId w:val="17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每个手工喷涂工位都要提供2个显示装置，为工人提供车型颜色信息，并且安装在室体外部，使所有涉及到的手工喷漆工都能够看到该显示装置，便于及时换色喷涂。</w:t>
      </w:r>
    </w:p>
    <w:p w14:paraId="00C1F5E4">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油漆条件</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137"/>
        <w:gridCol w:w="1037"/>
        <w:gridCol w:w="1572"/>
        <w:gridCol w:w="921"/>
        <w:gridCol w:w="948"/>
        <w:gridCol w:w="1056"/>
        <w:gridCol w:w="1047"/>
        <w:gridCol w:w="1177"/>
      </w:tblGrid>
      <w:tr w14:paraId="0226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404" w:type="pct"/>
            <w:vMerge w:val="restart"/>
            <w:shd w:val="clear" w:color="auto" w:fill="auto"/>
            <w:vAlign w:val="center"/>
          </w:tcPr>
          <w:p w14:paraId="5E7D1A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站名</w:t>
            </w:r>
          </w:p>
        </w:tc>
        <w:tc>
          <w:tcPr>
            <w:tcW w:w="600" w:type="pct"/>
            <w:vMerge w:val="restart"/>
            <w:shd w:val="clear" w:color="auto" w:fill="auto"/>
            <w:vAlign w:val="center"/>
          </w:tcPr>
          <w:p w14:paraId="14A3909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涂料名称</w:t>
            </w:r>
          </w:p>
        </w:tc>
        <w:tc>
          <w:tcPr>
            <w:tcW w:w="548" w:type="pct"/>
            <w:vMerge w:val="restart"/>
            <w:shd w:val="clear" w:color="auto" w:fill="auto"/>
            <w:vAlign w:val="center"/>
          </w:tcPr>
          <w:p w14:paraId="4B225A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颜色或种类数量</w:t>
            </w:r>
          </w:p>
        </w:tc>
        <w:tc>
          <w:tcPr>
            <w:tcW w:w="825" w:type="pct"/>
            <w:vMerge w:val="restart"/>
            <w:shd w:val="clear" w:color="auto" w:fill="auto"/>
            <w:vAlign w:val="center"/>
          </w:tcPr>
          <w:p w14:paraId="2906527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施工体积固体份（%v）</w:t>
            </w:r>
          </w:p>
        </w:tc>
        <w:tc>
          <w:tcPr>
            <w:tcW w:w="990" w:type="pct"/>
            <w:gridSpan w:val="2"/>
            <w:shd w:val="clear" w:color="auto" w:fill="auto"/>
            <w:vAlign w:val="center"/>
          </w:tcPr>
          <w:p w14:paraId="4DB3279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膜厚（μm）</w:t>
            </w:r>
          </w:p>
        </w:tc>
        <w:tc>
          <w:tcPr>
            <w:tcW w:w="541" w:type="pct"/>
            <w:vMerge w:val="restart"/>
            <w:shd w:val="clear" w:color="auto" w:fill="auto"/>
            <w:vAlign w:val="center"/>
          </w:tcPr>
          <w:p w14:paraId="0E87565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施工黏度</w:t>
            </w:r>
          </w:p>
        </w:tc>
        <w:tc>
          <w:tcPr>
            <w:tcW w:w="553" w:type="pct"/>
            <w:vMerge w:val="restart"/>
            <w:shd w:val="clear" w:color="auto" w:fill="auto"/>
            <w:vAlign w:val="center"/>
          </w:tcPr>
          <w:p w14:paraId="617AEA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涂料性质</w:t>
            </w:r>
          </w:p>
        </w:tc>
        <w:tc>
          <w:tcPr>
            <w:tcW w:w="536" w:type="pct"/>
            <w:vMerge w:val="restart"/>
            <w:shd w:val="clear" w:color="auto" w:fill="auto"/>
            <w:noWrap/>
            <w:vAlign w:val="center"/>
          </w:tcPr>
          <w:p w14:paraId="3F91AE5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施工温度</w:t>
            </w:r>
          </w:p>
        </w:tc>
      </w:tr>
      <w:tr w14:paraId="2136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04" w:type="pct"/>
            <w:vMerge w:val="continue"/>
            <w:vAlign w:val="center"/>
          </w:tcPr>
          <w:p w14:paraId="7471D206">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600" w:type="pct"/>
            <w:vMerge w:val="continue"/>
            <w:vAlign w:val="center"/>
          </w:tcPr>
          <w:p w14:paraId="1CB625B2">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48" w:type="pct"/>
            <w:vMerge w:val="continue"/>
            <w:shd w:val="clear" w:color="auto" w:fill="auto"/>
            <w:vAlign w:val="center"/>
          </w:tcPr>
          <w:p w14:paraId="6237545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825" w:type="pct"/>
            <w:vMerge w:val="continue"/>
            <w:vAlign w:val="center"/>
          </w:tcPr>
          <w:p w14:paraId="1B3A2F35">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488" w:type="pct"/>
            <w:shd w:val="clear" w:color="auto" w:fill="auto"/>
            <w:vAlign w:val="center"/>
          </w:tcPr>
          <w:p w14:paraId="4D2CEBB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素色漆外表面</w:t>
            </w:r>
          </w:p>
        </w:tc>
        <w:tc>
          <w:tcPr>
            <w:tcW w:w="502" w:type="pct"/>
            <w:shd w:val="clear" w:color="auto" w:fill="auto"/>
            <w:vAlign w:val="center"/>
          </w:tcPr>
          <w:p w14:paraId="64CE6A9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金属漆外表面</w:t>
            </w:r>
          </w:p>
        </w:tc>
        <w:tc>
          <w:tcPr>
            <w:tcW w:w="541" w:type="pct"/>
            <w:vMerge w:val="continue"/>
            <w:vAlign w:val="center"/>
          </w:tcPr>
          <w:p w14:paraId="2B622282">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53" w:type="pct"/>
            <w:vMerge w:val="continue"/>
            <w:vAlign w:val="center"/>
          </w:tcPr>
          <w:p w14:paraId="34B77223">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36" w:type="pct"/>
            <w:vMerge w:val="continue"/>
            <w:vAlign w:val="center"/>
          </w:tcPr>
          <w:p w14:paraId="6CB5CB23">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r>
      <w:tr w14:paraId="206FE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04" w:type="pct"/>
            <w:shd w:val="clear" w:color="auto" w:fill="auto"/>
            <w:vAlign w:val="center"/>
          </w:tcPr>
          <w:p w14:paraId="6EEBD06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B1站</w:t>
            </w:r>
          </w:p>
        </w:tc>
        <w:tc>
          <w:tcPr>
            <w:tcW w:w="600" w:type="pct"/>
            <w:shd w:val="clear" w:color="auto" w:fill="auto"/>
            <w:vAlign w:val="center"/>
          </w:tcPr>
          <w:p w14:paraId="290E88C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底漆</w:t>
            </w:r>
          </w:p>
        </w:tc>
        <w:tc>
          <w:tcPr>
            <w:tcW w:w="548" w:type="pct"/>
            <w:shd w:val="clear" w:color="auto" w:fill="auto"/>
            <w:vAlign w:val="center"/>
          </w:tcPr>
          <w:p w14:paraId="67599F7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2</w:t>
            </w:r>
          </w:p>
        </w:tc>
        <w:tc>
          <w:tcPr>
            <w:tcW w:w="825" w:type="pct"/>
            <w:shd w:val="clear" w:color="auto" w:fill="auto"/>
            <w:vAlign w:val="center"/>
          </w:tcPr>
          <w:p w14:paraId="6D69E93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38～40</w:t>
            </w:r>
          </w:p>
        </w:tc>
        <w:tc>
          <w:tcPr>
            <w:tcW w:w="488" w:type="pct"/>
            <w:shd w:val="clear" w:color="auto" w:fill="auto"/>
            <w:vAlign w:val="center"/>
          </w:tcPr>
          <w:p w14:paraId="5448B9D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15～22</w:t>
            </w:r>
          </w:p>
        </w:tc>
        <w:tc>
          <w:tcPr>
            <w:tcW w:w="502" w:type="pct"/>
            <w:shd w:val="clear" w:color="auto" w:fill="auto"/>
            <w:vAlign w:val="center"/>
          </w:tcPr>
          <w:p w14:paraId="36C2A4B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15～22</w:t>
            </w:r>
          </w:p>
        </w:tc>
        <w:tc>
          <w:tcPr>
            <w:tcW w:w="541" w:type="pct"/>
            <w:shd w:val="clear" w:color="auto" w:fill="auto"/>
            <w:vAlign w:val="center"/>
          </w:tcPr>
          <w:p w14:paraId="5EB6D36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50±10s</w:t>
            </w:r>
          </w:p>
        </w:tc>
        <w:tc>
          <w:tcPr>
            <w:tcW w:w="553" w:type="pct"/>
            <w:shd w:val="clear" w:color="auto" w:fill="auto"/>
            <w:vAlign w:val="center"/>
          </w:tcPr>
          <w:p w14:paraId="0EFE96F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WB (水性)</w:t>
            </w:r>
          </w:p>
        </w:tc>
        <w:tc>
          <w:tcPr>
            <w:tcW w:w="536" w:type="pct"/>
            <w:shd w:val="clear" w:color="auto" w:fill="auto"/>
            <w:noWrap/>
            <w:vAlign w:val="center"/>
          </w:tcPr>
          <w:p w14:paraId="6750E9D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20～35</w:t>
            </w:r>
          </w:p>
        </w:tc>
      </w:tr>
      <w:tr w14:paraId="51778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04" w:type="pct"/>
            <w:vMerge w:val="restart"/>
            <w:shd w:val="clear" w:color="auto" w:fill="auto"/>
            <w:vAlign w:val="center"/>
          </w:tcPr>
          <w:p w14:paraId="5587223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B2站</w:t>
            </w:r>
          </w:p>
        </w:tc>
        <w:tc>
          <w:tcPr>
            <w:tcW w:w="600" w:type="pct"/>
            <w:vMerge w:val="restart"/>
            <w:shd w:val="clear" w:color="auto" w:fill="auto"/>
            <w:vAlign w:val="center"/>
          </w:tcPr>
          <w:p w14:paraId="5F6ED8F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色漆</w:t>
            </w:r>
          </w:p>
        </w:tc>
        <w:tc>
          <w:tcPr>
            <w:tcW w:w="548" w:type="pct"/>
            <w:vMerge w:val="restart"/>
            <w:shd w:val="clear" w:color="auto" w:fill="auto"/>
            <w:vAlign w:val="center"/>
          </w:tcPr>
          <w:p w14:paraId="20DABF7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5</w:t>
            </w:r>
          </w:p>
        </w:tc>
        <w:tc>
          <w:tcPr>
            <w:tcW w:w="825" w:type="pct"/>
            <w:vMerge w:val="restart"/>
            <w:shd w:val="clear" w:color="auto" w:fill="auto"/>
            <w:vAlign w:val="center"/>
          </w:tcPr>
          <w:p w14:paraId="47A31AEB">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r>
              <w:rPr>
                <w:rFonts w:hint="eastAsia" w:ascii="宋体" w:hAnsi="宋体" w:eastAsia="宋体" w:cs="宋体"/>
                <w:kern w:val="0"/>
                <w:sz w:val="24"/>
                <w:szCs w:val="24"/>
              </w:rPr>
              <w:t>金属：18～28；素色：40±5</w:t>
            </w:r>
          </w:p>
        </w:tc>
        <w:tc>
          <w:tcPr>
            <w:tcW w:w="488" w:type="pct"/>
            <w:vMerge w:val="restart"/>
            <w:shd w:val="clear" w:color="auto" w:fill="auto"/>
            <w:vAlign w:val="center"/>
          </w:tcPr>
          <w:p w14:paraId="3B557AD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15～40</w:t>
            </w:r>
          </w:p>
        </w:tc>
        <w:tc>
          <w:tcPr>
            <w:tcW w:w="502" w:type="pct"/>
            <w:vMerge w:val="restart"/>
            <w:shd w:val="clear" w:color="auto" w:fill="auto"/>
            <w:vAlign w:val="center"/>
          </w:tcPr>
          <w:p w14:paraId="0A3B8C1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10～</w:t>
            </w:r>
            <w:r>
              <w:rPr>
                <w:rFonts w:hint="eastAsia" w:ascii="宋体" w:hAnsi="宋体" w:eastAsia="宋体" w:cs="宋体"/>
                <w:kern w:val="0"/>
                <w:sz w:val="24"/>
                <w:szCs w:val="24"/>
                <w:lang w:val="en-US" w:eastAsia="zh-CN"/>
              </w:rPr>
              <w:t>20</w:t>
            </w:r>
          </w:p>
        </w:tc>
        <w:tc>
          <w:tcPr>
            <w:tcW w:w="541" w:type="pct"/>
            <w:vMerge w:val="restart"/>
            <w:shd w:val="clear" w:color="auto" w:fill="auto"/>
            <w:vAlign w:val="center"/>
          </w:tcPr>
          <w:p w14:paraId="52EB3F7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28～55s</w:t>
            </w:r>
          </w:p>
        </w:tc>
        <w:tc>
          <w:tcPr>
            <w:tcW w:w="553" w:type="pct"/>
            <w:vMerge w:val="restart"/>
            <w:shd w:val="clear" w:color="auto" w:fill="auto"/>
            <w:vAlign w:val="center"/>
          </w:tcPr>
          <w:p w14:paraId="7F7F6A4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WB (水性)</w:t>
            </w:r>
          </w:p>
        </w:tc>
        <w:tc>
          <w:tcPr>
            <w:tcW w:w="536" w:type="pct"/>
            <w:vMerge w:val="restart"/>
            <w:shd w:val="clear" w:color="auto" w:fill="auto"/>
            <w:noWrap/>
            <w:vAlign w:val="center"/>
          </w:tcPr>
          <w:p w14:paraId="6D8BB83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20～35</w:t>
            </w:r>
          </w:p>
        </w:tc>
      </w:tr>
      <w:tr w14:paraId="23C2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04" w:type="pct"/>
            <w:vMerge w:val="continue"/>
            <w:vAlign w:val="center"/>
          </w:tcPr>
          <w:p w14:paraId="2BC68556">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600" w:type="pct"/>
            <w:vMerge w:val="continue"/>
            <w:vAlign w:val="center"/>
          </w:tcPr>
          <w:p w14:paraId="386744F5">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48" w:type="pct"/>
            <w:vMerge w:val="continue"/>
            <w:vAlign w:val="center"/>
          </w:tcPr>
          <w:p w14:paraId="1AD71F9D">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825" w:type="pct"/>
            <w:vMerge w:val="continue"/>
            <w:vAlign w:val="center"/>
          </w:tcPr>
          <w:p w14:paraId="0A2374F3">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488" w:type="pct"/>
            <w:vMerge w:val="continue"/>
            <w:vAlign w:val="center"/>
          </w:tcPr>
          <w:p w14:paraId="168727DA">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02" w:type="pct"/>
            <w:vMerge w:val="continue"/>
            <w:vAlign w:val="center"/>
          </w:tcPr>
          <w:p w14:paraId="2695F217">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41" w:type="pct"/>
            <w:vMerge w:val="continue"/>
            <w:vAlign w:val="center"/>
          </w:tcPr>
          <w:p w14:paraId="19507C2F">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53" w:type="pct"/>
            <w:vMerge w:val="continue"/>
            <w:vAlign w:val="center"/>
          </w:tcPr>
          <w:p w14:paraId="54B849DD">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c>
          <w:tcPr>
            <w:tcW w:w="536" w:type="pct"/>
            <w:vMerge w:val="continue"/>
            <w:vAlign w:val="center"/>
          </w:tcPr>
          <w:p w14:paraId="01AB143A">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kern w:val="0"/>
                <w:sz w:val="24"/>
                <w:szCs w:val="24"/>
              </w:rPr>
            </w:pPr>
          </w:p>
        </w:tc>
      </w:tr>
      <w:tr w14:paraId="086F4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404" w:type="pct"/>
            <w:shd w:val="clear" w:color="auto" w:fill="auto"/>
            <w:vAlign w:val="center"/>
          </w:tcPr>
          <w:p w14:paraId="5E905B7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CC站</w:t>
            </w:r>
          </w:p>
        </w:tc>
        <w:tc>
          <w:tcPr>
            <w:tcW w:w="600" w:type="pct"/>
            <w:shd w:val="clear" w:color="auto" w:fill="auto"/>
            <w:vAlign w:val="center"/>
          </w:tcPr>
          <w:p w14:paraId="6DBA072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清漆</w:t>
            </w:r>
          </w:p>
        </w:tc>
        <w:tc>
          <w:tcPr>
            <w:tcW w:w="548" w:type="pct"/>
            <w:shd w:val="clear" w:color="auto" w:fill="auto"/>
            <w:vAlign w:val="center"/>
          </w:tcPr>
          <w:p w14:paraId="65B7AA8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w:t>
            </w:r>
          </w:p>
        </w:tc>
        <w:tc>
          <w:tcPr>
            <w:tcW w:w="825" w:type="pct"/>
            <w:shd w:val="clear" w:color="auto" w:fill="auto"/>
            <w:vAlign w:val="center"/>
          </w:tcPr>
          <w:p w14:paraId="388168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40±5</w:t>
            </w:r>
          </w:p>
        </w:tc>
        <w:tc>
          <w:tcPr>
            <w:tcW w:w="488" w:type="pct"/>
            <w:shd w:val="clear" w:color="auto" w:fill="auto"/>
            <w:vAlign w:val="center"/>
          </w:tcPr>
          <w:p w14:paraId="7D005E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40～65</w:t>
            </w:r>
          </w:p>
        </w:tc>
        <w:tc>
          <w:tcPr>
            <w:tcW w:w="502" w:type="pct"/>
            <w:shd w:val="clear" w:color="auto" w:fill="auto"/>
            <w:vAlign w:val="center"/>
          </w:tcPr>
          <w:p w14:paraId="29C8DFC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40～65</w:t>
            </w:r>
          </w:p>
        </w:tc>
        <w:tc>
          <w:tcPr>
            <w:tcW w:w="541" w:type="pct"/>
            <w:shd w:val="clear" w:color="auto" w:fill="auto"/>
            <w:vAlign w:val="center"/>
          </w:tcPr>
          <w:p w14:paraId="0228C47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75～85s</w:t>
            </w:r>
          </w:p>
        </w:tc>
        <w:tc>
          <w:tcPr>
            <w:tcW w:w="553" w:type="pct"/>
            <w:shd w:val="clear" w:color="auto" w:fill="auto"/>
            <w:vAlign w:val="center"/>
          </w:tcPr>
          <w:p w14:paraId="5087009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SB (2K)</w:t>
            </w:r>
          </w:p>
        </w:tc>
        <w:tc>
          <w:tcPr>
            <w:tcW w:w="536" w:type="pct"/>
            <w:shd w:val="clear" w:color="auto" w:fill="auto"/>
            <w:noWrap/>
            <w:vAlign w:val="center"/>
          </w:tcPr>
          <w:p w14:paraId="6F2D650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20～35</w:t>
            </w:r>
          </w:p>
        </w:tc>
      </w:tr>
      <w:tr w14:paraId="6D13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04" w:type="pct"/>
            <w:shd w:val="clear" w:color="auto" w:fill="auto"/>
            <w:vAlign w:val="center"/>
          </w:tcPr>
          <w:p w14:paraId="288ADAC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溶剂</w:t>
            </w:r>
          </w:p>
        </w:tc>
        <w:tc>
          <w:tcPr>
            <w:tcW w:w="600" w:type="pct"/>
            <w:shd w:val="clear" w:color="auto" w:fill="auto"/>
            <w:vAlign w:val="center"/>
          </w:tcPr>
          <w:p w14:paraId="13B3E87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溶剂</w:t>
            </w:r>
          </w:p>
        </w:tc>
        <w:tc>
          <w:tcPr>
            <w:tcW w:w="548" w:type="pct"/>
            <w:shd w:val="clear" w:color="auto" w:fill="auto"/>
            <w:vAlign w:val="center"/>
          </w:tcPr>
          <w:p w14:paraId="003852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p>
        </w:tc>
        <w:tc>
          <w:tcPr>
            <w:tcW w:w="825" w:type="pct"/>
            <w:shd w:val="clear" w:color="auto" w:fill="auto"/>
            <w:vAlign w:val="center"/>
          </w:tcPr>
          <w:p w14:paraId="3685266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88" w:type="pct"/>
            <w:shd w:val="clear" w:color="auto" w:fill="auto"/>
            <w:vAlign w:val="center"/>
          </w:tcPr>
          <w:p w14:paraId="35A9A8B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502" w:type="pct"/>
            <w:shd w:val="clear" w:color="auto" w:fill="auto"/>
            <w:vAlign w:val="center"/>
          </w:tcPr>
          <w:p w14:paraId="7B52EC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　</w:t>
            </w:r>
          </w:p>
        </w:tc>
        <w:tc>
          <w:tcPr>
            <w:tcW w:w="541" w:type="pct"/>
            <w:shd w:val="clear" w:color="auto" w:fill="auto"/>
            <w:vAlign w:val="center"/>
          </w:tcPr>
          <w:p w14:paraId="01B7AB5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553" w:type="pct"/>
            <w:shd w:val="clear" w:color="auto" w:fill="auto"/>
            <w:vAlign w:val="center"/>
          </w:tcPr>
          <w:p w14:paraId="2795379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水性/溶剂型</w:t>
            </w:r>
          </w:p>
        </w:tc>
        <w:tc>
          <w:tcPr>
            <w:tcW w:w="536" w:type="pct"/>
            <w:shd w:val="clear" w:color="auto" w:fill="auto"/>
            <w:noWrap/>
            <w:vAlign w:val="center"/>
          </w:tcPr>
          <w:p w14:paraId="7A9D177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r>
    </w:tbl>
    <w:p w14:paraId="7BF80A5F">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sz w:val="21"/>
          <w:szCs w:val="21"/>
        </w:rPr>
      </w:pPr>
    </w:p>
    <w:p w14:paraId="209CDB53">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节距与链速</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821"/>
        <w:gridCol w:w="2214"/>
        <w:gridCol w:w="1259"/>
        <w:gridCol w:w="2360"/>
      </w:tblGrid>
      <w:tr w14:paraId="16D0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1" w:hRule="atLeast"/>
          <w:jc w:val="center"/>
        </w:trPr>
        <w:tc>
          <w:tcPr>
            <w:tcW w:w="1978" w:type="pct"/>
            <w:shd w:val="clear" w:color="auto" w:fill="auto"/>
            <w:vAlign w:val="center"/>
          </w:tcPr>
          <w:p w14:paraId="10FA20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室体</w:t>
            </w:r>
          </w:p>
        </w:tc>
        <w:tc>
          <w:tcPr>
            <w:tcW w:w="1146" w:type="pct"/>
            <w:shd w:val="clear" w:color="auto" w:fill="auto"/>
            <w:vAlign w:val="center"/>
          </w:tcPr>
          <w:p w14:paraId="7B5F5D9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节距(m)</w:t>
            </w:r>
          </w:p>
        </w:tc>
        <w:tc>
          <w:tcPr>
            <w:tcW w:w="652" w:type="pct"/>
            <w:shd w:val="clear" w:color="auto" w:fill="auto"/>
            <w:vAlign w:val="center"/>
          </w:tcPr>
          <w:p w14:paraId="652C7AB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JPH</w:t>
            </w:r>
          </w:p>
        </w:tc>
        <w:tc>
          <w:tcPr>
            <w:tcW w:w="1222" w:type="pct"/>
            <w:shd w:val="clear" w:color="auto" w:fill="auto"/>
            <w:vAlign w:val="center"/>
          </w:tcPr>
          <w:p w14:paraId="50B4FBF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小车位移时间</w:t>
            </w:r>
          </w:p>
        </w:tc>
      </w:tr>
      <w:tr w14:paraId="7C20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 w:hRule="atLeast"/>
          <w:jc w:val="center"/>
        </w:trPr>
        <w:tc>
          <w:tcPr>
            <w:tcW w:w="1978" w:type="pct"/>
            <w:tcBorders>
              <w:top w:val="single" w:color="auto" w:sz="4" w:space="0"/>
              <w:left w:val="single" w:color="auto" w:sz="4" w:space="0"/>
              <w:bottom w:val="single" w:color="auto" w:sz="4" w:space="0"/>
              <w:right w:val="single" w:color="auto" w:sz="4" w:space="0"/>
            </w:tcBorders>
            <w:shd w:val="clear" w:color="auto" w:fill="auto"/>
            <w:vAlign w:val="center"/>
          </w:tcPr>
          <w:p w14:paraId="5E629D9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面漆线（一期）</w:t>
            </w:r>
          </w:p>
        </w:tc>
        <w:tc>
          <w:tcPr>
            <w:tcW w:w="1146" w:type="pct"/>
            <w:tcBorders>
              <w:top w:val="single" w:color="auto" w:sz="4" w:space="0"/>
              <w:left w:val="single" w:color="auto" w:sz="4" w:space="0"/>
              <w:bottom w:val="single" w:color="auto" w:sz="4" w:space="0"/>
              <w:right w:val="single" w:color="auto" w:sz="4" w:space="0"/>
            </w:tcBorders>
            <w:shd w:val="clear" w:color="auto" w:fill="auto"/>
            <w:vAlign w:val="center"/>
          </w:tcPr>
          <w:p w14:paraId="652CF1D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7.5</w:t>
            </w:r>
          </w:p>
        </w:tc>
        <w:tc>
          <w:tcPr>
            <w:tcW w:w="652" w:type="pct"/>
            <w:tcBorders>
              <w:top w:val="single" w:color="auto" w:sz="4" w:space="0"/>
              <w:left w:val="single" w:color="auto" w:sz="4" w:space="0"/>
              <w:bottom w:val="single" w:color="auto" w:sz="4" w:space="0"/>
              <w:right w:val="single" w:color="auto" w:sz="4" w:space="0"/>
            </w:tcBorders>
            <w:shd w:val="clear" w:color="auto" w:fill="auto"/>
            <w:vAlign w:val="center"/>
          </w:tcPr>
          <w:p w14:paraId="1E971F0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1222" w:type="pct"/>
            <w:tcBorders>
              <w:top w:val="single" w:color="auto" w:sz="4" w:space="0"/>
              <w:left w:val="single" w:color="auto" w:sz="4" w:space="0"/>
              <w:bottom w:val="single" w:color="auto" w:sz="4" w:space="0"/>
              <w:right w:val="single" w:color="auto" w:sz="4" w:space="0"/>
            </w:tcBorders>
            <w:shd w:val="clear" w:color="auto" w:fill="auto"/>
            <w:vAlign w:val="center"/>
          </w:tcPr>
          <w:p w14:paraId="668D482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连续式</w:t>
            </w:r>
          </w:p>
        </w:tc>
      </w:tr>
    </w:tbl>
    <w:p w14:paraId="40809A50">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喷房数据要求</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1"/>
        <w:gridCol w:w="2027"/>
        <w:gridCol w:w="2570"/>
        <w:gridCol w:w="3302"/>
      </w:tblGrid>
      <w:tr w14:paraId="0300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trPr>
        <w:tc>
          <w:tcPr>
            <w:tcW w:w="907" w:type="pct"/>
            <w:vAlign w:val="center"/>
          </w:tcPr>
          <w:p w14:paraId="089B40A8">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站名称</w:t>
            </w:r>
          </w:p>
        </w:tc>
        <w:tc>
          <w:tcPr>
            <w:tcW w:w="1050" w:type="pct"/>
            <w:vAlign w:val="center"/>
          </w:tcPr>
          <w:p w14:paraId="0939F3C9">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长×宽×高</w:t>
            </w:r>
          </w:p>
          <w:p w14:paraId="63504ECC">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单位：m</w:t>
            </w:r>
          </w:p>
        </w:tc>
        <w:tc>
          <w:tcPr>
            <w:tcW w:w="1331" w:type="pct"/>
            <w:vAlign w:val="center"/>
          </w:tcPr>
          <w:p w14:paraId="2865F675">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输送形式</w:t>
            </w:r>
          </w:p>
        </w:tc>
        <w:tc>
          <w:tcPr>
            <w:tcW w:w="1710" w:type="pct"/>
            <w:vAlign w:val="center"/>
          </w:tcPr>
          <w:p w14:paraId="50B98EC9">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备注</w:t>
            </w:r>
          </w:p>
        </w:tc>
      </w:tr>
      <w:tr w14:paraId="5765B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07" w:type="pct"/>
            <w:vAlign w:val="center"/>
          </w:tcPr>
          <w:p w14:paraId="35BAF99E">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离子风</w:t>
            </w:r>
          </w:p>
        </w:tc>
        <w:tc>
          <w:tcPr>
            <w:tcW w:w="1050" w:type="pct"/>
            <w:vAlign w:val="center"/>
          </w:tcPr>
          <w:p w14:paraId="4690AF23">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p>
        </w:tc>
        <w:tc>
          <w:tcPr>
            <w:tcW w:w="1331" w:type="pct"/>
            <w:vAlign w:val="center"/>
          </w:tcPr>
          <w:p w14:paraId="77E291EB">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采用辊床形式或者双链形式都可以</w:t>
            </w:r>
          </w:p>
        </w:tc>
        <w:tc>
          <w:tcPr>
            <w:tcW w:w="1710" w:type="pct"/>
            <w:vAlign w:val="center"/>
          </w:tcPr>
          <w:p w14:paraId="335FB8AF">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p>
        </w:tc>
      </w:tr>
      <w:tr w14:paraId="593C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7" w:type="pct"/>
            <w:vAlign w:val="center"/>
          </w:tcPr>
          <w:p w14:paraId="28604F1D">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自动内喷站</w:t>
            </w:r>
          </w:p>
        </w:tc>
        <w:tc>
          <w:tcPr>
            <w:tcW w:w="1050" w:type="pct"/>
            <w:vAlign w:val="center"/>
          </w:tcPr>
          <w:p w14:paraId="4805A123">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12×5.5×5</w:t>
            </w:r>
          </w:p>
        </w:tc>
        <w:tc>
          <w:tcPr>
            <w:tcW w:w="1331" w:type="pct"/>
            <w:vAlign w:val="center"/>
          </w:tcPr>
          <w:p w14:paraId="022279A0">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采用辊床模式，机器人定喷</w:t>
            </w:r>
          </w:p>
        </w:tc>
        <w:tc>
          <w:tcPr>
            <w:tcW w:w="1710" w:type="pct"/>
            <w:vAlign w:val="center"/>
          </w:tcPr>
          <w:p w14:paraId="16787654">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内喷喷房先后为快速辊床</w:t>
            </w:r>
          </w:p>
        </w:tc>
      </w:tr>
      <w:tr w14:paraId="58CC4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07" w:type="pct"/>
            <w:vAlign w:val="center"/>
          </w:tcPr>
          <w:p w14:paraId="5D14C9A1">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B1外喷站</w:t>
            </w:r>
          </w:p>
        </w:tc>
        <w:tc>
          <w:tcPr>
            <w:tcW w:w="1050" w:type="pct"/>
            <w:vAlign w:val="center"/>
          </w:tcPr>
          <w:p w14:paraId="34732F22">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11×5.5×5（预留后期扩展至10JPH空间）</w:t>
            </w:r>
          </w:p>
        </w:tc>
        <w:tc>
          <w:tcPr>
            <w:tcW w:w="1331" w:type="pct"/>
            <w:vAlign w:val="center"/>
          </w:tcPr>
          <w:p w14:paraId="1D2B743D">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采用双链动喷模式</w:t>
            </w:r>
          </w:p>
        </w:tc>
        <w:tc>
          <w:tcPr>
            <w:tcW w:w="1710" w:type="pct"/>
            <w:vAlign w:val="center"/>
          </w:tcPr>
          <w:p w14:paraId="58FBA83B">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动喷前后都需要是双链，且前后要有一个滑橇的距离，防止双链切换不稳定</w:t>
            </w:r>
          </w:p>
        </w:tc>
      </w:tr>
      <w:tr w14:paraId="7849C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07" w:type="pct"/>
            <w:vAlign w:val="center"/>
          </w:tcPr>
          <w:p w14:paraId="0E0DD1C9">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B2外喷站</w:t>
            </w:r>
          </w:p>
        </w:tc>
        <w:tc>
          <w:tcPr>
            <w:tcW w:w="1050" w:type="pct"/>
            <w:vAlign w:val="center"/>
          </w:tcPr>
          <w:p w14:paraId="6FACD7AC">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15×5.5×5（预留后期扩展至10JPH空间）</w:t>
            </w:r>
          </w:p>
        </w:tc>
        <w:tc>
          <w:tcPr>
            <w:tcW w:w="1331" w:type="pct"/>
            <w:vAlign w:val="center"/>
          </w:tcPr>
          <w:p w14:paraId="15C16F2D">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采用双链动喷模式</w:t>
            </w:r>
          </w:p>
        </w:tc>
        <w:tc>
          <w:tcPr>
            <w:tcW w:w="1710" w:type="pct"/>
            <w:vAlign w:val="center"/>
          </w:tcPr>
          <w:p w14:paraId="318D94C6">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动喷前后都需要是双链，且前后要有一个滑橇的距离，防止双链切换不稳定</w:t>
            </w:r>
          </w:p>
        </w:tc>
      </w:tr>
      <w:tr w14:paraId="4BD8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907" w:type="pct"/>
            <w:vAlign w:val="center"/>
          </w:tcPr>
          <w:p w14:paraId="14CBE553">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CC外喷站</w:t>
            </w:r>
          </w:p>
        </w:tc>
        <w:tc>
          <w:tcPr>
            <w:tcW w:w="1050" w:type="pct"/>
            <w:vAlign w:val="center"/>
          </w:tcPr>
          <w:p w14:paraId="4B6C9597">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11×5.5×5（预留</w:t>
            </w:r>
            <w:r>
              <w:rPr>
                <w:rFonts w:hint="eastAsia" w:ascii="宋体" w:hAnsi="宋体" w:eastAsia="宋体" w:cs="宋体"/>
                <w:kern w:val="0"/>
                <w:sz w:val="24"/>
                <w:szCs w:val="24"/>
                <w:highlight w:val="none"/>
              </w:rPr>
              <w:t>后期扩展至10JPH空间）</w:t>
            </w:r>
          </w:p>
        </w:tc>
        <w:tc>
          <w:tcPr>
            <w:tcW w:w="1331" w:type="pct"/>
            <w:vAlign w:val="center"/>
          </w:tcPr>
          <w:p w14:paraId="1AF321E0">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采用双链动喷模式</w:t>
            </w:r>
          </w:p>
        </w:tc>
        <w:tc>
          <w:tcPr>
            <w:tcW w:w="1710" w:type="pct"/>
            <w:vAlign w:val="center"/>
          </w:tcPr>
          <w:p w14:paraId="522B5AC9">
            <w:pPr>
              <w:pStyle w:val="9"/>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动喷前后都需要是双链，且前后要有一个滑橇的距离，防止双链切换不稳定</w:t>
            </w:r>
          </w:p>
        </w:tc>
      </w:tr>
    </w:tbl>
    <w:p w14:paraId="2336E308">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b/>
          <w:bCs/>
        </w:rPr>
        <w:t>备注：</w:t>
      </w:r>
      <w:r>
        <w:rPr>
          <w:rFonts w:hint="eastAsia" w:ascii="宋体" w:hAnsi="宋体" w:eastAsia="宋体" w:cs="宋体"/>
        </w:rPr>
        <w:t>以上室体尺寸需要在详细设计阶段进行确认。</w:t>
      </w:r>
    </w:p>
    <w:p w14:paraId="30D54717">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压缩空气质量要求：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497"/>
        <w:gridCol w:w="6157"/>
      </w:tblGrid>
      <w:tr w14:paraId="25D39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 w:hRule="atLeast"/>
          <w:jc w:val="center"/>
        </w:trPr>
        <w:tc>
          <w:tcPr>
            <w:tcW w:w="1811" w:type="pct"/>
            <w:shd w:val="clear" w:color="auto" w:fill="auto"/>
            <w:vAlign w:val="center"/>
          </w:tcPr>
          <w:p w14:paraId="1984194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3188" w:type="pct"/>
            <w:shd w:val="clear" w:color="auto" w:fill="auto"/>
            <w:vAlign w:val="center"/>
          </w:tcPr>
          <w:p w14:paraId="7D0CD3E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需求</w:t>
            </w:r>
          </w:p>
        </w:tc>
      </w:tr>
      <w:tr w14:paraId="676F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 w:hRule="atLeast"/>
          <w:jc w:val="center"/>
        </w:trPr>
        <w:tc>
          <w:tcPr>
            <w:tcW w:w="1811" w:type="pct"/>
            <w:shd w:val="clear" w:color="auto" w:fill="auto"/>
            <w:vAlign w:val="center"/>
          </w:tcPr>
          <w:p w14:paraId="56681D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压缩空气</w:t>
            </w:r>
          </w:p>
        </w:tc>
        <w:tc>
          <w:tcPr>
            <w:tcW w:w="3188" w:type="pct"/>
            <w:shd w:val="clear" w:color="auto" w:fill="auto"/>
            <w:vAlign w:val="center"/>
          </w:tcPr>
          <w:p w14:paraId="7E40B33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≥6bar, dynamic/动态</w:t>
            </w:r>
          </w:p>
        </w:tc>
      </w:tr>
      <w:tr w14:paraId="4F3F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811" w:type="pct"/>
            <w:shd w:val="clear" w:color="auto" w:fill="auto"/>
            <w:vAlign w:val="center"/>
          </w:tcPr>
          <w:p w14:paraId="78F1C29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露点</w:t>
            </w:r>
          </w:p>
        </w:tc>
        <w:tc>
          <w:tcPr>
            <w:tcW w:w="3188" w:type="pct"/>
            <w:shd w:val="clear" w:color="auto" w:fill="auto"/>
            <w:vAlign w:val="center"/>
          </w:tcPr>
          <w:p w14:paraId="034C910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﹤-20℃ at atmospheric pressure</w:t>
            </w:r>
          </w:p>
        </w:tc>
      </w:tr>
      <w:tr w14:paraId="27494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 w:hRule="atLeast"/>
          <w:jc w:val="center"/>
        </w:trPr>
        <w:tc>
          <w:tcPr>
            <w:tcW w:w="1811" w:type="pct"/>
            <w:shd w:val="clear" w:color="auto" w:fill="auto"/>
            <w:vAlign w:val="center"/>
          </w:tcPr>
          <w:p w14:paraId="7FA1ABE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含油量</w:t>
            </w:r>
          </w:p>
        </w:tc>
        <w:tc>
          <w:tcPr>
            <w:tcW w:w="3188" w:type="pct"/>
            <w:shd w:val="clear" w:color="auto" w:fill="auto"/>
            <w:vAlign w:val="center"/>
          </w:tcPr>
          <w:p w14:paraId="26C583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﹤0.01 mg/Nm</w:t>
            </w:r>
            <w:r>
              <w:rPr>
                <w:rFonts w:hint="eastAsia" w:ascii="宋体" w:hAnsi="宋体" w:eastAsia="宋体" w:cs="宋体"/>
                <w:color w:val="auto"/>
                <w:sz w:val="24"/>
                <w:szCs w:val="24"/>
                <w:vertAlign w:val="superscript"/>
              </w:rPr>
              <w:t>3</w:t>
            </w:r>
          </w:p>
        </w:tc>
      </w:tr>
      <w:tr w14:paraId="4250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 w:hRule="atLeast"/>
          <w:jc w:val="center"/>
        </w:trPr>
        <w:tc>
          <w:tcPr>
            <w:tcW w:w="1811" w:type="pct"/>
            <w:shd w:val="clear" w:color="auto" w:fill="auto"/>
            <w:vAlign w:val="center"/>
          </w:tcPr>
          <w:p w14:paraId="25AC20B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颗粒度</w:t>
            </w:r>
          </w:p>
        </w:tc>
        <w:tc>
          <w:tcPr>
            <w:tcW w:w="3188" w:type="pct"/>
            <w:shd w:val="clear" w:color="auto" w:fill="auto"/>
            <w:noWrap/>
            <w:vAlign w:val="center"/>
          </w:tcPr>
          <w:p w14:paraId="5B6A4DA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﹤0.1 µm</w:t>
            </w:r>
          </w:p>
        </w:tc>
      </w:tr>
      <w:tr w14:paraId="5AE32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8" w:hRule="atLeast"/>
          <w:jc w:val="center"/>
        </w:trPr>
        <w:tc>
          <w:tcPr>
            <w:tcW w:w="1811" w:type="pct"/>
            <w:shd w:val="clear" w:color="auto" w:fill="auto"/>
            <w:vAlign w:val="center"/>
          </w:tcPr>
          <w:p w14:paraId="672F4C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固体含量</w:t>
            </w:r>
          </w:p>
        </w:tc>
        <w:tc>
          <w:tcPr>
            <w:tcW w:w="3188" w:type="pct"/>
            <w:shd w:val="clear" w:color="auto" w:fill="auto"/>
            <w:noWrap/>
            <w:vAlign w:val="center"/>
          </w:tcPr>
          <w:p w14:paraId="25C0B1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＜0.1 mg/Nm</w:t>
            </w:r>
            <w:r>
              <w:rPr>
                <w:rFonts w:hint="eastAsia" w:ascii="宋体" w:hAnsi="宋体" w:eastAsia="宋体" w:cs="宋体"/>
                <w:color w:val="auto"/>
                <w:sz w:val="24"/>
                <w:szCs w:val="24"/>
                <w:vertAlign w:val="superscript"/>
              </w:rPr>
              <w:t>3</w:t>
            </w:r>
          </w:p>
        </w:tc>
      </w:tr>
      <w:tr w14:paraId="36696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811" w:type="pct"/>
            <w:shd w:val="clear" w:color="auto" w:fill="auto"/>
            <w:vAlign w:val="center"/>
          </w:tcPr>
          <w:p w14:paraId="3CAE720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缩空气温度</w:t>
            </w:r>
          </w:p>
        </w:tc>
        <w:tc>
          <w:tcPr>
            <w:tcW w:w="3188" w:type="pct"/>
            <w:shd w:val="clear" w:color="auto" w:fill="auto"/>
            <w:noWrap/>
            <w:vAlign w:val="center"/>
          </w:tcPr>
          <w:p w14:paraId="41635A3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Room temperature 室温</w:t>
            </w:r>
          </w:p>
        </w:tc>
      </w:tr>
    </w:tbl>
    <w:p w14:paraId="29E53DC8">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备注：如果提供的压缩空气为动态6bar，</w:t>
      </w:r>
      <w:bookmarkStart w:id="137" w:name="_Toc392611692"/>
      <w:r>
        <w:rPr>
          <w:rFonts w:hint="eastAsia" w:ascii="宋体" w:hAnsi="宋体" w:cs="宋体"/>
          <w:lang w:eastAsia="zh-CN"/>
        </w:rPr>
        <w:t>投标人</w:t>
      </w:r>
      <w:r>
        <w:rPr>
          <w:rFonts w:hint="eastAsia" w:ascii="宋体" w:hAnsi="宋体" w:eastAsia="宋体" w:cs="宋体"/>
        </w:rPr>
        <w:t>为旋杯雾化器配置增压装置，将压缩空气升至8bar。</w:t>
      </w:r>
    </w:p>
    <w:bookmarkEnd w:id="137"/>
    <w:p w14:paraId="4CE16571">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涂料和溶剂要求：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57" w:type="dxa"/>
          <w:bottom w:w="0" w:type="dxa"/>
          <w:right w:w="57" w:type="dxa"/>
        </w:tblCellMar>
      </w:tblPr>
      <w:tblGrid>
        <w:gridCol w:w="1621"/>
        <w:gridCol w:w="2643"/>
        <w:gridCol w:w="2643"/>
        <w:gridCol w:w="2645"/>
      </w:tblGrid>
      <w:tr w14:paraId="529E8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1" w:hRule="atLeast"/>
          <w:tblHeader/>
          <w:jc w:val="center"/>
        </w:trPr>
        <w:tc>
          <w:tcPr>
            <w:tcW w:w="848" w:type="pct"/>
            <w:shd w:val="clear" w:color="auto" w:fill="auto"/>
            <w:vAlign w:val="center"/>
          </w:tcPr>
          <w:p w14:paraId="5002B32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sv-SE"/>
              </w:rPr>
            </w:pPr>
            <w:r>
              <w:rPr>
                <w:rFonts w:hint="eastAsia" w:ascii="宋体" w:hAnsi="宋体" w:eastAsia="宋体" w:cs="宋体"/>
                <w:color w:val="auto"/>
              </w:rPr>
              <w:t>项目</w:t>
            </w:r>
          </w:p>
        </w:tc>
        <w:tc>
          <w:tcPr>
            <w:tcW w:w="1383" w:type="pct"/>
            <w:shd w:val="clear" w:color="auto" w:fill="auto"/>
            <w:vAlign w:val="center"/>
          </w:tcPr>
          <w:p w14:paraId="0B24E00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溶剂型油漆</w:t>
            </w:r>
          </w:p>
        </w:tc>
        <w:tc>
          <w:tcPr>
            <w:tcW w:w="1383" w:type="pct"/>
            <w:shd w:val="clear" w:color="auto" w:fill="auto"/>
            <w:vAlign w:val="center"/>
          </w:tcPr>
          <w:p w14:paraId="2C066EE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水性油漆</w:t>
            </w:r>
          </w:p>
        </w:tc>
        <w:tc>
          <w:tcPr>
            <w:tcW w:w="1384" w:type="pct"/>
            <w:shd w:val="clear" w:color="auto" w:fill="auto"/>
            <w:vAlign w:val="center"/>
          </w:tcPr>
          <w:p w14:paraId="7A3FE81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清洗溶剂</w:t>
            </w:r>
          </w:p>
        </w:tc>
      </w:tr>
      <w:tr w14:paraId="45E1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87" w:hRule="atLeast"/>
          <w:jc w:val="center"/>
        </w:trPr>
        <w:tc>
          <w:tcPr>
            <w:tcW w:w="848" w:type="pct"/>
            <w:shd w:val="clear" w:color="auto" w:fill="auto"/>
            <w:vAlign w:val="center"/>
          </w:tcPr>
          <w:p w14:paraId="557F88C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压力①</w:t>
            </w:r>
          </w:p>
        </w:tc>
        <w:tc>
          <w:tcPr>
            <w:tcW w:w="1383" w:type="pct"/>
            <w:shd w:val="clear" w:color="auto" w:fill="auto"/>
            <w:vAlign w:val="center"/>
          </w:tcPr>
          <w:p w14:paraId="6AD5B12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6 bar (±2%)</w:t>
            </w:r>
          </w:p>
        </w:tc>
        <w:tc>
          <w:tcPr>
            <w:tcW w:w="1383" w:type="pct"/>
            <w:shd w:val="clear" w:color="auto" w:fill="auto"/>
            <w:vAlign w:val="center"/>
          </w:tcPr>
          <w:p w14:paraId="129BAF9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8 bar (±2%)</w:t>
            </w:r>
          </w:p>
        </w:tc>
        <w:tc>
          <w:tcPr>
            <w:tcW w:w="1384" w:type="pct"/>
            <w:shd w:val="clear" w:color="auto" w:fill="auto"/>
            <w:vAlign w:val="center"/>
          </w:tcPr>
          <w:p w14:paraId="47C09E9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8 bar (±5%)</w:t>
            </w:r>
          </w:p>
        </w:tc>
      </w:tr>
      <w:tr w14:paraId="5640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jc w:val="center"/>
        </w:trPr>
        <w:tc>
          <w:tcPr>
            <w:tcW w:w="848" w:type="pct"/>
            <w:shd w:val="clear" w:color="auto" w:fill="auto"/>
            <w:vAlign w:val="center"/>
          </w:tcPr>
          <w:p w14:paraId="6B989C3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流量</w:t>
            </w:r>
          </w:p>
        </w:tc>
        <w:tc>
          <w:tcPr>
            <w:tcW w:w="1383" w:type="pct"/>
            <w:shd w:val="clear" w:color="auto" w:fill="auto"/>
            <w:vAlign w:val="center"/>
          </w:tcPr>
          <w:p w14:paraId="37B8628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1000cc/min×6kg/cm</w:t>
            </w:r>
            <w:r>
              <w:rPr>
                <w:rFonts w:hint="eastAsia" w:ascii="宋体" w:hAnsi="宋体" w:eastAsia="宋体" w:cs="宋体"/>
                <w:color w:val="auto"/>
                <w:vertAlign w:val="superscript"/>
              </w:rPr>
              <w:t>2</w:t>
            </w:r>
            <w:r>
              <w:rPr>
                <w:rFonts w:hint="eastAsia" w:ascii="宋体" w:hAnsi="宋体" w:eastAsia="宋体" w:cs="宋体"/>
                <w:color w:val="auto"/>
              </w:rPr>
              <w:t xml:space="preserve"> /每个机器人</w:t>
            </w:r>
          </w:p>
        </w:tc>
        <w:tc>
          <w:tcPr>
            <w:tcW w:w="1383" w:type="pct"/>
            <w:shd w:val="clear" w:color="auto" w:fill="auto"/>
            <w:vAlign w:val="center"/>
          </w:tcPr>
          <w:p w14:paraId="2DAC841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1000cc/min×8kg/cm</w:t>
            </w:r>
            <w:r>
              <w:rPr>
                <w:rFonts w:hint="eastAsia" w:ascii="宋体" w:hAnsi="宋体" w:eastAsia="宋体" w:cs="宋体"/>
                <w:color w:val="auto"/>
                <w:vertAlign w:val="superscript"/>
              </w:rPr>
              <w:t>2</w:t>
            </w:r>
            <w:r>
              <w:rPr>
                <w:rFonts w:hint="eastAsia" w:ascii="宋体" w:hAnsi="宋体" w:eastAsia="宋体" w:cs="宋体"/>
                <w:color w:val="auto"/>
              </w:rPr>
              <w:t>/每个机器人</w:t>
            </w:r>
          </w:p>
        </w:tc>
        <w:tc>
          <w:tcPr>
            <w:tcW w:w="1384" w:type="pct"/>
            <w:shd w:val="clear" w:color="auto" w:fill="auto"/>
            <w:vAlign w:val="center"/>
          </w:tcPr>
          <w:p w14:paraId="67CF93D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2000cc/min×8kg/cm</w:t>
            </w:r>
            <w:r>
              <w:rPr>
                <w:rFonts w:hint="eastAsia" w:ascii="宋体" w:hAnsi="宋体" w:eastAsia="宋体" w:cs="宋体"/>
                <w:color w:val="auto"/>
                <w:vertAlign w:val="superscript"/>
              </w:rPr>
              <w:t>2</w:t>
            </w:r>
            <w:r>
              <w:rPr>
                <w:rFonts w:hint="eastAsia" w:ascii="宋体" w:hAnsi="宋体" w:eastAsia="宋体" w:cs="宋体"/>
                <w:color w:val="auto"/>
              </w:rPr>
              <w:t xml:space="preserve"> /每个机器人</w:t>
            </w:r>
          </w:p>
        </w:tc>
      </w:tr>
      <w:tr w14:paraId="3E17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5" w:hRule="atLeast"/>
          <w:jc w:val="center"/>
        </w:trPr>
        <w:tc>
          <w:tcPr>
            <w:tcW w:w="848" w:type="pct"/>
            <w:shd w:val="clear" w:color="auto" w:fill="auto"/>
            <w:vAlign w:val="center"/>
          </w:tcPr>
          <w:p w14:paraId="0EE36E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粘度</w:t>
            </w:r>
          </w:p>
        </w:tc>
        <w:tc>
          <w:tcPr>
            <w:tcW w:w="1383" w:type="pct"/>
            <w:shd w:val="clear" w:color="auto" w:fill="auto"/>
            <w:vAlign w:val="center"/>
          </w:tcPr>
          <w:p w14:paraId="3C45C7B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0.05～0.20 Pa·s</w:t>
            </w:r>
          </w:p>
        </w:tc>
        <w:tc>
          <w:tcPr>
            <w:tcW w:w="1383" w:type="pct"/>
            <w:shd w:val="clear" w:color="auto" w:fill="auto"/>
            <w:vAlign w:val="center"/>
          </w:tcPr>
          <w:p w14:paraId="18E68E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0.1～3.0 Pa·s③</w:t>
            </w:r>
          </w:p>
        </w:tc>
        <w:tc>
          <w:tcPr>
            <w:tcW w:w="1384" w:type="pct"/>
            <w:shd w:val="clear" w:color="auto" w:fill="auto"/>
            <w:vAlign w:val="center"/>
          </w:tcPr>
          <w:p w14:paraId="0A5F551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6E5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57" w:type="dxa"/>
            <w:bottom w:w="0" w:type="dxa"/>
            <w:right w:w="57" w:type="dxa"/>
          </w:tblCellMar>
        </w:tblPrEx>
        <w:trPr>
          <w:jc w:val="center"/>
        </w:trPr>
        <w:tc>
          <w:tcPr>
            <w:tcW w:w="848" w:type="pct"/>
            <w:shd w:val="clear" w:color="auto" w:fill="auto"/>
            <w:vAlign w:val="center"/>
          </w:tcPr>
          <w:p w14:paraId="1A8CB93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油漆电阻②</w:t>
            </w:r>
          </w:p>
        </w:tc>
        <w:tc>
          <w:tcPr>
            <w:tcW w:w="1383" w:type="pct"/>
            <w:shd w:val="clear" w:color="auto" w:fill="auto"/>
            <w:vAlign w:val="center"/>
          </w:tcPr>
          <w:p w14:paraId="3FA059F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0.3～1MΩ/R.P.T.</w:t>
            </w:r>
          </w:p>
        </w:tc>
        <w:tc>
          <w:tcPr>
            <w:tcW w:w="1383" w:type="pct"/>
            <w:shd w:val="clear" w:color="auto" w:fill="auto"/>
            <w:vAlign w:val="center"/>
          </w:tcPr>
          <w:p w14:paraId="3B2A720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384" w:type="pct"/>
            <w:shd w:val="clear" w:color="auto" w:fill="auto"/>
            <w:vAlign w:val="center"/>
          </w:tcPr>
          <w:p w14:paraId="5805D72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≥0.3MΩ/R.P.T.(for solvent ed)</w:t>
            </w:r>
          </w:p>
          <w:p w14:paraId="13996CC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溶解力强，引火点弱的溶剂</w:t>
            </w:r>
          </w:p>
        </w:tc>
      </w:tr>
      <w:tr w14:paraId="6893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18" w:hRule="atLeast"/>
          <w:jc w:val="center"/>
        </w:trPr>
        <w:tc>
          <w:tcPr>
            <w:tcW w:w="848" w:type="pct"/>
            <w:shd w:val="clear" w:color="auto" w:fill="auto"/>
            <w:vAlign w:val="center"/>
          </w:tcPr>
          <w:p w14:paraId="7C6B42B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sv-SE"/>
              </w:rPr>
            </w:pPr>
            <w:r>
              <w:rPr>
                <w:rFonts w:hint="eastAsia" w:ascii="宋体" w:hAnsi="宋体" w:eastAsia="宋体" w:cs="宋体"/>
                <w:color w:val="auto"/>
              </w:rPr>
              <w:t>温度范围</w:t>
            </w:r>
          </w:p>
        </w:tc>
        <w:tc>
          <w:tcPr>
            <w:tcW w:w="1383" w:type="pct"/>
            <w:shd w:val="clear" w:color="auto" w:fill="auto"/>
            <w:vAlign w:val="center"/>
          </w:tcPr>
          <w:p w14:paraId="4E6199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sv-SE"/>
              </w:rPr>
            </w:pPr>
            <w:r>
              <w:rPr>
                <w:rFonts w:hint="eastAsia" w:ascii="宋体" w:hAnsi="宋体" w:eastAsia="宋体" w:cs="宋体"/>
                <w:color w:val="auto"/>
                <w:lang w:val="sv-SE"/>
              </w:rPr>
              <w:t>23</w:t>
            </w:r>
            <w:r>
              <w:rPr>
                <w:rFonts w:hint="eastAsia" w:ascii="宋体" w:hAnsi="宋体" w:eastAsia="宋体" w:cs="宋体"/>
                <w:color w:val="auto"/>
                <w:lang w:val="en-US" w:eastAsia="zh-CN"/>
              </w:rPr>
              <w:t>℃</w:t>
            </w:r>
            <w:r>
              <w:rPr>
                <w:rFonts w:hint="eastAsia" w:ascii="宋体" w:hAnsi="宋体" w:eastAsia="宋体" w:cs="宋体"/>
                <w:color w:val="auto"/>
                <w:lang w:val="sv-SE"/>
              </w:rPr>
              <w:t xml:space="preserve"> ± 1</w:t>
            </w:r>
            <w:r>
              <w:rPr>
                <w:rFonts w:hint="eastAsia" w:ascii="宋体" w:hAnsi="宋体" w:eastAsia="宋体" w:cs="宋体"/>
                <w:color w:val="auto"/>
                <w:lang w:val="en-US" w:eastAsia="zh-CN"/>
              </w:rPr>
              <w:t>℃</w:t>
            </w:r>
          </w:p>
        </w:tc>
        <w:tc>
          <w:tcPr>
            <w:tcW w:w="1383" w:type="pct"/>
            <w:shd w:val="clear" w:color="auto" w:fill="auto"/>
            <w:vAlign w:val="center"/>
          </w:tcPr>
          <w:p w14:paraId="6A2CA29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sv-SE"/>
              </w:rPr>
            </w:pPr>
            <w:r>
              <w:rPr>
                <w:rFonts w:hint="eastAsia" w:ascii="宋体" w:hAnsi="宋体" w:eastAsia="宋体" w:cs="宋体"/>
                <w:color w:val="auto"/>
                <w:lang w:val="sv-SE"/>
              </w:rPr>
              <w:t>23</w:t>
            </w:r>
            <w:r>
              <w:rPr>
                <w:rFonts w:hint="eastAsia" w:ascii="宋体" w:hAnsi="宋体" w:eastAsia="宋体" w:cs="宋体"/>
                <w:color w:val="auto"/>
                <w:lang w:val="en-US" w:eastAsia="zh-CN"/>
              </w:rPr>
              <w:t>℃</w:t>
            </w:r>
            <w:r>
              <w:rPr>
                <w:rFonts w:hint="eastAsia" w:ascii="宋体" w:hAnsi="宋体" w:eastAsia="宋体" w:cs="宋体"/>
                <w:color w:val="auto"/>
                <w:lang w:val="sv-SE"/>
              </w:rPr>
              <w:t xml:space="preserve"> ± 1</w:t>
            </w:r>
            <w:r>
              <w:rPr>
                <w:rFonts w:hint="eastAsia" w:ascii="宋体" w:hAnsi="宋体" w:eastAsia="宋体" w:cs="宋体"/>
                <w:color w:val="auto"/>
                <w:lang w:val="en-US" w:eastAsia="zh-CN"/>
              </w:rPr>
              <w:t>℃</w:t>
            </w:r>
          </w:p>
        </w:tc>
        <w:tc>
          <w:tcPr>
            <w:tcW w:w="1384" w:type="pct"/>
            <w:shd w:val="clear" w:color="auto" w:fill="auto"/>
            <w:vAlign w:val="center"/>
          </w:tcPr>
          <w:p w14:paraId="5D8672A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sv-SE"/>
              </w:rPr>
            </w:pPr>
            <w:r>
              <w:rPr>
                <w:rFonts w:hint="eastAsia" w:ascii="宋体" w:hAnsi="宋体" w:eastAsia="宋体" w:cs="宋体"/>
                <w:color w:val="auto"/>
                <w:lang w:val="sv-SE"/>
              </w:rPr>
              <w:t>23</w:t>
            </w:r>
            <w:r>
              <w:rPr>
                <w:rFonts w:hint="eastAsia" w:ascii="宋体" w:hAnsi="宋体" w:eastAsia="宋体" w:cs="宋体"/>
                <w:color w:val="auto"/>
                <w:lang w:val="en-US" w:eastAsia="zh-CN"/>
              </w:rPr>
              <w:t xml:space="preserve">℃ </w:t>
            </w:r>
            <w:r>
              <w:rPr>
                <w:rFonts w:hint="eastAsia" w:ascii="宋体" w:hAnsi="宋体" w:eastAsia="宋体" w:cs="宋体"/>
                <w:color w:val="auto"/>
                <w:lang w:val="sv-SE"/>
              </w:rPr>
              <w:t xml:space="preserve">± 1 </w:t>
            </w:r>
            <w:r>
              <w:rPr>
                <w:rFonts w:hint="eastAsia" w:ascii="宋体" w:hAnsi="宋体" w:eastAsia="宋体" w:cs="宋体"/>
                <w:color w:val="auto"/>
                <w:lang w:val="en-US" w:eastAsia="zh-CN"/>
              </w:rPr>
              <w:t>℃</w:t>
            </w:r>
          </w:p>
        </w:tc>
      </w:tr>
    </w:tbl>
    <w:p w14:paraId="3FAF132C">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中涂B1、色漆B2 均使用水性涂料，为单组份涂料。清漆为溶剂型涂料，双组份，具备清漆涂料可切换成单组份功能。</w:t>
      </w:r>
    </w:p>
    <w:p w14:paraId="576490AD">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val="0"/>
          <w:bCs w:val="0"/>
        </w:rPr>
      </w:pPr>
      <w:r>
        <w:rPr>
          <w:rFonts w:hint="eastAsia" w:ascii="宋体" w:hAnsi="宋体" w:eastAsia="宋体" w:cs="宋体"/>
          <w:b w:val="0"/>
          <w:bCs w:val="0"/>
        </w:rPr>
        <w:t>备注：</w:t>
      </w:r>
    </w:p>
    <w:p w14:paraId="580B6A09">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lang w:val="en-US" w:eastAsia="zh-CN"/>
        </w:rPr>
        <w:t>①</w:t>
      </w:r>
      <w:r>
        <w:rPr>
          <w:rFonts w:hint="eastAsia" w:ascii="宋体" w:hAnsi="宋体" w:eastAsia="宋体" w:cs="宋体"/>
        </w:rPr>
        <w:t>该压力值是指在机器人后壁接口处的动态压力值。</w:t>
      </w:r>
    </w:p>
    <w:p w14:paraId="2842FA8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lang w:val="en-US" w:eastAsia="zh-CN"/>
        </w:rPr>
        <w:t>②</w:t>
      </w:r>
      <w:r>
        <w:rPr>
          <w:rFonts w:hint="eastAsia" w:ascii="宋体" w:hAnsi="宋体" w:eastAsia="宋体" w:cs="宋体"/>
        </w:rPr>
        <w:t xml:space="preserve">该电阻值由电阻仪测量得出。 </w:t>
      </w:r>
    </w:p>
    <w:p w14:paraId="4CD8E657">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lang w:val="en-US" w:eastAsia="zh-CN"/>
        </w:rPr>
        <w:t>③</w:t>
      </w:r>
      <w:r>
        <w:rPr>
          <w:rFonts w:hint="eastAsia" w:ascii="宋体" w:hAnsi="宋体" w:eastAsia="宋体" w:cs="宋体"/>
        </w:rPr>
        <w:t>取决于油漆材料。</w:t>
      </w:r>
    </w:p>
    <w:p w14:paraId="4F351167">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为了获得良好的清洗效果，缩短换色时间，必须要确保冲洗溶剂对该站所有的油漆均具有足够的溶解清洗能力。</w:t>
      </w:r>
    </w:p>
    <w:p w14:paraId="46DE9DEC">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电力要求</w:t>
      </w:r>
      <w:bookmarkStart w:id="138" w:name="_Toc392611694"/>
      <w:r>
        <w:rPr>
          <w:rFonts w:hint="eastAsia" w:ascii="宋体" w:hAnsi="宋体" w:eastAsia="宋体" w:cs="宋体"/>
        </w:rPr>
        <w:t>：主电压：380 VAC，3相5线制，±10%波动。供电频率: 50±2 Hz</w:t>
      </w:r>
    </w:p>
    <w:bookmarkEnd w:id="138"/>
    <w:p w14:paraId="346F14D6">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接地</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594"/>
        <w:gridCol w:w="2787"/>
        <w:gridCol w:w="3273"/>
      </w:tblGrid>
      <w:tr w14:paraId="2B14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blHeader/>
          <w:jc w:val="center"/>
        </w:trPr>
        <w:tc>
          <w:tcPr>
            <w:tcW w:w="1861" w:type="pct"/>
            <w:shd w:val="clear" w:color="auto" w:fill="auto"/>
            <w:vAlign w:val="center"/>
          </w:tcPr>
          <w:p w14:paraId="5C163B6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1443" w:type="pct"/>
            <w:shd w:val="clear" w:color="auto" w:fill="auto"/>
            <w:vAlign w:val="center"/>
          </w:tcPr>
          <w:p w14:paraId="4FA3E1E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需求</w:t>
            </w:r>
          </w:p>
        </w:tc>
        <w:tc>
          <w:tcPr>
            <w:tcW w:w="1695" w:type="pct"/>
            <w:shd w:val="clear" w:color="auto" w:fill="auto"/>
            <w:vAlign w:val="center"/>
          </w:tcPr>
          <w:p w14:paraId="0B7DEAF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5D91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861" w:type="pct"/>
            <w:shd w:val="clear" w:color="auto" w:fill="auto"/>
            <w:vAlign w:val="center"/>
          </w:tcPr>
          <w:p w14:paraId="42E4CD8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机器人</w:t>
            </w:r>
          </w:p>
        </w:tc>
        <w:tc>
          <w:tcPr>
            <w:tcW w:w="1443" w:type="pct"/>
            <w:shd w:val="clear" w:color="auto" w:fill="auto"/>
            <w:vAlign w:val="center"/>
          </w:tcPr>
          <w:p w14:paraId="4406F8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＜100 Ω</w:t>
            </w:r>
          </w:p>
        </w:tc>
        <w:tc>
          <w:tcPr>
            <w:tcW w:w="1695" w:type="pct"/>
            <w:shd w:val="clear" w:color="auto" w:fill="auto"/>
            <w:vAlign w:val="center"/>
          </w:tcPr>
          <w:p w14:paraId="3BE0678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6E5AE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861" w:type="pct"/>
            <w:shd w:val="clear" w:color="auto" w:fill="auto"/>
            <w:vAlign w:val="center"/>
          </w:tcPr>
          <w:p w14:paraId="2E33348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涂装设备（旋杯）</w:t>
            </w:r>
          </w:p>
        </w:tc>
        <w:tc>
          <w:tcPr>
            <w:tcW w:w="1443" w:type="pct"/>
            <w:shd w:val="clear" w:color="auto" w:fill="auto"/>
            <w:vAlign w:val="center"/>
          </w:tcPr>
          <w:p w14:paraId="30B8F9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 Ω</w:t>
            </w:r>
          </w:p>
        </w:tc>
        <w:tc>
          <w:tcPr>
            <w:tcW w:w="1695" w:type="pct"/>
            <w:shd w:val="clear" w:color="auto" w:fill="auto"/>
            <w:vAlign w:val="center"/>
          </w:tcPr>
          <w:p w14:paraId="6D919A3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需单独接地</w:t>
            </w:r>
          </w:p>
        </w:tc>
      </w:tr>
      <w:tr w14:paraId="220E9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61" w:type="pct"/>
            <w:shd w:val="clear" w:color="auto" w:fill="auto"/>
            <w:vAlign w:val="center"/>
          </w:tcPr>
          <w:p w14:paraId="37F372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车身</w:t>
            </w:r>
          </w:p>
        </w:tc>
        <w:tc>
          <w:tcPr>
            <w:tcW w:w="1443" w:type="pct"/>
            <w:shd w:val="clear" w:color="auto" w:fill="auto"/>
            <w:vAlign w:val="center"/>
          </w:tcPr>
          <w:p w14:paraId="46D384E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 MΩ</w:t>
            </w:r>
          </w:p>
        </w:tc>
        <w:tc>
          <w:tcPr>
            <w:tcW w:w="1695" w:type="pct"/>
            <w:shd w:val="clear" w:color="auto" w:fill="auto"/>
            <w:vAlign w:val="center"/>
          </w:tcPr>
          <w:p w14:paraId="2FBBB8F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r>
    </w:tbl>
    <w:p w14:paraId="29B548A5">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备注：</w:t>
      </w:r>
      <w:r>
        <w:rPr>
          <w:rFonts w:hint="eastAsia" w:ascii="宋体" w:hAnsi="宋体" w:cs="宋体"/>
          <w:lang w:eastAsia="zh-CN"/>
        </w:rPr>
        <w:t>招标人</w:t>
      </w:r>
      <w:r>
        <w:rPr>
          <w:rFonts w:hint="eastAsia" w:ascii="宋体" w:hAnsi="宋体" w:eastAsia="宋体" w:cs="宋体"/>
        </w:rPr>
        <w:t>在每个喷房附近提供接地点，</w:t>
      </w:r>
      <w:r>
        <w:rPr>
          <w:rFonts w:hint="eastAsia" w:ascii="宋体" w:hAnsi="宋体" w:cs="宋体"/>
          <w:lang w:eastAsia="zh-CN"/>
        </w:rPr>
        <w:t>投标人</w:t>
      </w:r>
      <w:r>
        <w:rPr>
          <w:rFonts w:hint="eastAsia" w:ascii="宋体" w:hAnsi="宋体" w:eastAsia="宋体" w:cs="宋体"/>
        </w:rPr>
        <w:t>负责从接地点到机器人的接地连接。</w:t>
      </w:r>
    </w:p>
    <w:p w14:paraId="5BFEF663">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电力连接量：</w:t>
      </w:r>
    </w:p>
    <w:p w14:paraId="0A1864F5">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39" w:name="_Toc392611697"/>
      <w:r>
        <w:rPr>
          <w:rFonts w:hint="eastAsia" w:ascii="宋体" w:hAnsi="宋体" w:cs="宋体"/>
          <w:lang w:eastAsia="zh-CN"/>
        </w:rPr>
        <w:t>招标人</w:t>
      </w:r>
      <w:r>
        <w:rPr>
          <w:rFonts w:hint="eastAsia" w:ascii="宋体" w:hAnsi="宋体" w:eastAsia="宋体" w:cs="宋体"/>
        </w:rPr>
        <w:t>将动力电源提供至附近电源柜，</w:t>
      </w:r>
      <w:r>
        <w:rPr>
          <w:rFonts w:hint="eastAsia" w:ascii="宋体" w:hAnsi="宋体" w:cs="宋体"/>
          <w:lang w:eastAsia="zh-CN"/>
        </w:rPr>
        <w:t>投标人</w:t>
      </w:r>
      <w:r>
        <w:rPr>
          <w:rFonts w:hint="eastAsia" w:ascii="宋体" w:hAnsi="宋体" w:eastAsia="宋体" w:cs="宋体"/>
        </w:rPr>
        <w:t>负责从电源柜到机器人的电缆连接。</w:t>
      </w:r>
    </w:p>
    <w:bookmarkEnd w:id="139"/>
    <w:p w14:paraId="3F4FBE31">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压缩空气连接量：</w:t>
      </w:r>
    </w:p>
    <w:p w14:paraId="51DE7C25">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分别在喷涂机器人附近提供气源点，</w:t>
      </w:r>
      <w:r>
        <w:rPr>
          <w:rFonts w:hint="eastAsia" w:ascii="宋体" w:hAnsi="宋体" w:cs="宋体"/>
          <w:lang w:eastAsia="zh-CN"/>
        </w:rPr>
        <w:t>投标人</w:t>
      </w:r>
      <w:r>
        <w:rPr>
          <w:rFonts w:hint="eastAsia" w:ascii="宋体" w:hAnsi="宋体" w:eastAsia="宋体" w:cs="宋体"/>
        </w:rPr>
        <w:t>负责从压缩空气预留最近的气源点引入，接入的阀门和转换接头由</w:t>
      </w:r>
      <w:r>
        <w:rPr>
          <w:rFonts w:hint="eastAsia" w:ascii="宋体" w:hAnsi="宋体" w:cs="宋体"/>
          <w:lang w:eastAsia="zh-CN"/>
        </w:rPr>
        <w:t>投标人</w:t>
      </w:r>
      <w:r>
        <w:rPr>
          <w:rFonts w:hint="eastAsia" w:ascii="宋体" w:hAnsi="宋体" w:eastAsia="宋体" w:cs="宋体"/>
        </w:rPr>
        <w:t>提供，材质为304不锈钢。</w:t>
      </w:r>
      <w:bookmarkStart w:id="140" w:name="_Toc278490486"/>
      <w:bookmarkEnd w:id="140"/>
      <w:bookmarkStart w:id="141" w:name="_Toc278490459"/>
      <w:bookmarkEnd w:id="141"/>
      <w:bookmarkStart w:id="142" w:name="_Toc278490460"/>
      <w:bookmarkEnd w:id="142"/>
    </w:p>
    <w:p w14:paraId="5AEE52B1">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换色时间与溶剂、涂料耗量</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2486"/>
        <w:gridCol w:w="1901"/>
        <w:gridCol w:w="2047"/>
        <w:gridCol w:w="1611"/>
        <w:gridCol w:w="1609"/>
      </w:tblGrid>
      <w:tr w14:paraId="4EA3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11" w:hRule="atLeast"/>
        </w:trPr>
        <w:tc>
          <w:tcPr>
            <w:tcW w:w="1287" w:type="pct"/>
            <w:shd w:val="clear" w:color="auto" w:fill="auto"/>
            <w:vAlign w:val="center"/>
          </w:tcPr>
          <w:p w14:paraId="313953A7">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w:t>
            </w:r>
          </w:p>
        </w:tc>
        <w:tc>
          <w:tcPr>
            <w:tcW w:w="2044" w:type="pct"/>
            <w:gridSpan w:val="2"/>
            <w:shd w:val="clear" w:color="auto" w:fill="auto"/>
            <w:vAlign w:val="center"/>
          </w:tcPr>
          <w:p w14:paraId="252415F3">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杯头</w:t>
            </w:r>
            <w:r>
              <w:rPr>
                <w:rFonts w:hint="eastAsia" w:ascii="宋体" w:hAnsi="宋体" w:eastAsia="宋体" w:cs="宋体"/>
                <w:color w:val="auto"/>
                <w:sz w:val="24"/>
                <w:szCs w:val="24"/>
              </w:rPr>
              <w:t>清洗</w:t>
            </w:r>
          </w:p>
        </w:tc>
        <w:tc>
          <w:tcPr>
            <w:tcW w:w="1667" w:type="pct"/>
            <w:gridSpan w:val="2"/>
            <w:shd w:val="clear" w:color="auto" w:fill="auto"/>
            <w:vAlign w:val="center"/>
          </w:tcPr>
          <w:p w14:paraId="6DEBC965">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换色清洗</w:t>
            </w:r>
          </w:p>
        </w:tc>
      </w:tr>
      <w:tr w14:paraId="36971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9" w:hRule="atLeast"/>
        </w:trPr>
        <w:tc>
          <w:tcPr>
            <w:tcW w:w="1287" w:type="pct"/>
            <w:shd w:val="clear" w:color="auto" w:fill="auto"/>
            <w:vAlign w:val="center"/>
          </w:tcPr>
          <w:p w14:paraId="434BD5B3">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984" w:type="pct"/>
            <w:shd w:val="clear" w:color="auto" w:fill="auto"/>
            <w:vAlign w:val="center"/>
          </w:tcPr>
          <w:p w14:paraId="3EB960F2">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1K</w:t>
            </w:r>
          </w:p>
        </w:tc>
        <w:tc>
          <w:tcPr>
            <w:tcW w:w="1060" w:type="pct"/>
            <w:shd w:val="clear" w:color="auto" w:fill="auto"/>
            <w:vAlign w:val="center"/>
          </w:tcPr>
          <w:p w14:paraId="65642879">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2K</w:t>
            </w:r>
          </w:p>
        </w:tc>
        <w:tc>
          <w:tcPr>
            <w:tcW w:w="834" w:type="pct"/>
            <w:shd w:val="clear" w:color="auto" w:fill="auto"/>
            <w:vAlign w:val="center"/>
          </w:tcPr>
          <w:p w14:paraId="63096C0D">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1K</w:t>
            </w:r>
          </w:p>
        </w:tc>
        <w:tc>
          <w:tcPr>
            <w:tcW w:w="833" w:type="pct"/>
            <w:shd w:val="clear" w:color="auto" w:fill="auto"/>
            <w:vAlign w:val="center"/>
          </w:tcPr>
          <w:p w14:paraId="60CFB7E8">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2K</w:t>
            </w:r>
          </w:p>
        </w:tc>
      </w:tr>
      <w:tr w14:paraId="59EDA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5" w:hRule="atLeast"/>
        </w:trPr>
        <w:tc>
          <w:tcPr>
            <w:tcW w:w="1287" w:type="pct"/>
            <w:shd w:val="clear" w:color="auto" w:fill="auto"/>
            <w:vAlign w:val="center"/>
          </w:tcPr>
          <w:p w14:paraId="7426EFFC">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换色清洗时间（s）</w:t>
            </w:r>
          </w:p>
        </w:tc>
        <w:tc>
          <w:tcPr>
            <w:tcW w:w="984" w:type="pct"/>
            <w:shd w:val="clear" w:color="auto" w:fill="auto"/>
            <w:vAlign w:val="center"/>
          </w:tcPr>
          <w:p w14:paraId="5CC0939A">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3～4</w:t>
            </w:r>
          </w:p>
        </w:tc>
        <w:tc>
          <w:tcPr>
            <w:tcW w:w="1060" w:type="pct"/>
            <w:shd w:val="clear" w:color="auto" w:fill="auto"/>
            <w:vAlign w:val="center"/>
          </w:tcPr>
          <w:p w14:paraId="42C581EF">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15～20</w:t>
            </w:r>
          </w:p>
        </w:tc>
        <w:tc>
          <w:tcPr>
            <w:tcW w:w="834" w:type="pct"/>
            <w:shd w:val="clear" w:color="auto" w:fill="auto"/>
            <w:vAlign w:val="center"/>
          </w:tcPr>
          <w:p w14:paraId="46E5AB91">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12～15</w:t>
            </w:r>
          </w:p>
        </w:tc>
        <w:tc>
          <w:tcPr>
            <w:tcW w:w="833" w:type="pct"/>
            <w:shd w:val="clear" w:color="auto" w:fill="auto"/>
            <w:vAlign w:val="center"/>
          </w:tcPr>
          <w:p w14:paraId="2AE719BC">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40～45</w:t>
            </w:r>
          </w:p>
        </w:tc>
      </w:tr>
      <w:tr w14:paraId="5D84B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9" w:hRule="atLeast"/>
        </w:trPr>
        <w:tc>
          <w:tcPr>
            <w:tcW w:w="1287" w:type="pct"/>
            <w:shd w:val="clear" w:color="auto" w:fill="auto"/>
            <w:vAlign w:val="center"/>
          </w:tcPr>
          <w:p w14:paraId="3998B2C6">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溶剂耗量（cc）</w:t>
            </w:r>
          </w:p>
        </w:tc>
        <w:tc>
          <w:tcPr>
            <w:tcW w:w="984" w:type="pct"/>
            <w:shd w:val="clear" w:color="auto" w:fill="auto"/>
            <w:vAlign w:val="center"/>
          </w:tcPr>
          <w:p w14:paraId="7D024A52">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12～15</w:t>
            </w:r>
          </w:p>
        </w:tc>
        <w:tc>
          <w:tcPr>
            <w:tcW w:w="1060" w:type="pct"/>
            <w:shd w:val="clear" w:color="auto" w:fill="auto"/>
            <w:vAlign w:val="center"/>
          </w:tcPr>
          <w:p w14:paraId="355478B4">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50～100</w:t>
            </w:r>
          </w:p>
        </w:tc>
        <w:tc>
          <w:tcPr>
            <w:tcW w:w="834" w:type="pct"/>
            <w:shd w:val="clear" w:color="auto" w:fill="auto"/>
            <w:vAlign w:val="center"/>
          </w:tcPr>
          <w:p w14:paraId="4B22E3DB">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180</w:t>
            </w:r>
          </w:p>
        </w:tc>
        <w:tc>
          <w:tcPr>
            <w:tcW w:w="833" w:type="pct"/>
            <w:shd w:val="clear" w:color="auto" w:fill="auto"/>
            <w:vAlign w:val="center"/>
          </w:tcPr>
          <w:p w14:paraId="0BB863BF">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400</w:t>
            </w:r>
          </w:p>
        </w:tc>
      </w:tr>
      <w:tr w14:paraId="5C89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9" w:hRule="atLeast"/>
        </w:trPr>
        <w:tc>
          <w:tcPr>
            <w:tcW w:w="1287" w:type="pct"/>
            <w:shd w:val="clear" w:color="auto" w:fill="auto"/>
            <w:vAlign w:val="center"/>
          </w:tcPr>
          <w:p w14:paraId="6E508A64">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涂料耗量（cc）</w:t>
            </w:r>
          </w:p>
        </w:tc>
        <w:tc>
          <w:tcPr>
            <w:tcW w:w="984" w:type="pct"/>
            <w:shd w:val="clear" w:color="auto" w:fill="auto"/>
            <w:vAlign w:val="center"/>
          </w:tcPr>
          <w:p w14:paraId="274A4693">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0</w:t>
            </w:r>
          </w:p>
        </w:tc>
        <w:tc>
          <w:tcPr>
            <w:tcW w:w="1060" w:type="pct"/>
            <w:shd w:val="clear" w:color="auto" w:fill="auto"/>
            <w:vAlign w:val="center"/>
          </w:tcPr>
          <w:p w14:paraId="4732422D">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0</w:t>
            </w:r>
          </w:p>
        </w:tc>
        <w:tc>
          <w:tcPr>
            <w:tcW w:w="834" w:type="pct"/>
            <w:shd w:val="clear" w:color="auto" w:fill="auto"/>
            <w:vAlign w:val="center"/>
          </w:tcPr>
          <w:p w14:paraId="7F53879A">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50</w:t>
            </w:r>
          </w:p>
        </w:tc>
        <w:tc>
          <w:tcPr>
            <w:tcW w:w="833" w:type="pct"/>
            <w:shd w:val="clear" w:color="auto" w:fill="auto"/>
            <w:vAlign w:val="center"/>
          </w:tcPr>
          <w:p w14:paraId="5967522A">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50～60</w:t>
            </w:r>
          </w:p>
        </w:tc>
      </w:tr>
    </w:tbl>
    <w:p w14:paraId="5B854339">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43" w:name="_Toc299468735"/>
      <w:bookmarkStart w:id="144" w:name="_Toc270325722"/>
      <w:bookmarkStart w:id="145" w:name="_Toc460270468"/>
      <w:bookmarkStart w:id="146" w:name="_Toc490236246"/>
      <w:r>
        <w:rPr>
          <w:rFonts w:hint="eastAsia" w:ascii="宋体" w:hAnsi="宋体" w:eastAsia="宋体" w:cs="宋体"/>
        </w:rPr>
        <w:t>喷涂机器人载荷参数</w:t>
      </w:r>
      <w:bookmarkEnd w:id="143"/>
      <w:bookmarkEnd w:id="144"/>
      <w:bookmarkEnd w:id="145"/>
      <w:bookmarkEnd w:id="146"/>
      <w:r>
        <w:rPr>
          <w:rFonts w:hint="eastAsia" w:ascii="宋体" w:hAnsi="宋体" w:eastAsia="宋体" w:cs="宋体"/>
        </w:rPr>
        <w:t>，最终的地基载荷要求需要在联合设计时确定。</w:t>
      </w:r>
    </w:p>
    <w:p w14:paraId="09E02D0D">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47" w:name="_Toc392611700"/>
      <w:bookmarkStart w:id="148" w:name="_Toc270325723"/>
      <w:bookmarkStart w:id="149" w:name="_Toc490236247"/>
      <w:r>
        <w:rPr>
          <w:rFonts w:hint="eastAsia" w:ascii="宋体" w:hAnsi="宋体" w:eastAsia="宋体" w:cs="宋体"/>
        </w:rPr>
        <w:t>输送链允许公差</w:t>
      </w:r>
      <w:bookmarkEnd w:id="147"/>
      <w:bookmarkEnd w:id="148"/>
      <w:bookmarkEnd w:id="149"/>
      <w:r>
        <w:rPr>
          <w:rFonts w:hint="eastAsia" w:ascii="宋体" w:hAnsi="宋体" w:eastAsia="宋体" w:cs="宋体"/>
        </w:rPr>
        <w:t>：</w:t>
      </w:r>
    </w:p>
    <w:p w14:paraId="50F931DC">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对于车身外表面喷涂：晃动误差 ≤ ± 10.0mm</w:t>
      </w:r>
    </w:p>
    <w:p w14:paraId="6B87CA2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对于车身外表面涂胶：晃动误差 ≤ ± 5.0mm</w:t>
      </w:r>
      <w:bookmarkStart w:id="150" w:name="_Toc278490490"/>
      <w:bookmarkEnd w:id="150"/>
    </w:p>
    <w:p w14:paraId="3E012F34">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底座 </w:t>
      </w:r>
    </w:p>
    <w:p w14:paraId="0C0C544F">
      <w:pPr>
        <w:pStyle w:val="17"/>
        <w:pageBreakBefore w:val="0"/>
        <w:numPr>
          <w:ilvl w:val="0"/>
          <w:numId w:val="17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提供机器人安装基础的动静载荷、安装位置和尺寸要求，</w:t>
      </w:r>
      <w:r>
        <w:rPr>
          <w:rFonts w:hint="eastAsia" w:ascii="宋体" w:hAnsi="宋体" w:cs="宋体"/>
          <w:lang w:eastAsia="zh-CN"/>
        </w:rPr>
        <w:t>投标人</w:t>
      </w:r>
      <w:r>
        <w:rPr>
          <w:rFonts w:hint="eastAsia" w:ascii="宋体" w:hAnsi="宋体" w:eastAsia="宋体" w:cs="宋体"/>
        </w:rPr>
        <w:t xml:space="preserve">负责设计、制造、安装该机器人安装基础，并确认设计方案及安装（仅限于位置尺寸）是否满足要求。 </w:t>
      </w:r>
    </w:p>
    <w:p w14:paraId="28A7B391">
      <w:pPr>
        <w:pStyle w:val="17"/>
        <w:pageBreakBefore w:val="0"/>
        <w:numPr>
          <w:ilvl w:val="0"/>
          <w:numId w:val="17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喷房内部裸露底座须设置防护设施，以便于清洁。</w:t>
      </w:r>
    </w:p>
    <w:p w14:paraId="2EE3B527">
      <w:pPr>
        <w:pStyle w:val="17"/>
        <w:pageBreakBefore w:val="0"/>
        <w:numPr>
          <w:ilvl w:val="0"/>
          <w:numId w:val="17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喷房壁板的开洞密封由机器人供应商负责。</w:t>
      </w:r>
    </w:p>
    <w:p w14:paraId="436A265B">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防尘服</w:t>
      </w:r>
    </w:p>
    <w:p w14:paraId="57CB6713">
      <w:pPr>
        <w:pStyle w:val="17"/>
        <w:pageBreakBefore w:val="0"/>
        <w:numPr>
          <w:ilvl w:val="0"/>
          <w:numId w:val="17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防尘服在使用过程中不得有静电产生。</w:t>
      </w:r>
    </w:p>
    <w:p w14:paraId="488281C7">
      <w:pPr>
        <w:pStyle w:val="17"/>
        <w:pageBreakBefore w:val="0"/>
        <w:numPr>
          <w:ilvl w:val="0"/>
          <w:numId w:val="17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款式设计须方便脱/穿，并且美观大方。</w:t>
      </w:r>
    </w:p>
    <w:p w14:paraId="70EEAE23">
      <w:pPr>
        <w:pStyle w:val="17"/>
        <w:pageBreakBefore w:val="0"/>
        <w:numPr>
          <w:ilvl w:val="0"/>
          <w:numId w:val="17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材料选择须能耐溶剂腐蚀、不易掉毛等性能。</w:t>
      </w:r>
    </w:p>
    <w:p w14:paraId="3EE760AA">
      <w:pPr>
        <w:pStyle w:val="17"/>
        <w:pageBreakBefore w:val="0"/>
        <w:numPr>
          <w:ilvl w:val="0"/>
          <w:numId w:val="17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每台机器人2套。</w:t>
      </w:r>
    </w:p>
    <w:p w14:paraId="3C4F457D">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旋杯</w:t>
      </w:r>
    </w:p>
    <w:p w14:paraId="02705DC1">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所有旋杯在指定油漆粘度下均能做到良好雾化效果。保证漆膜平整均匀无色差，满足</w:t>
      </w:r>
      <w:r>
        <w:rPr>
          <w:rFonts w:hint="eastAsia" w:ascii="宋体" w:hAnsi="宋体" w:cs="宋体"/>
          <w:lang w:eastAsia="zh-CN"/>
        </w:rPr>
        <w:t>招标人</w:t>
      </w:r>
      <w:r>
        <w:rPr>
          <w:rFonts w:hint="eastAsia" w:ascii="宋体" w:hAnsi="宋体" w:eastAsia="宋体" w:cs="宋体"/>
        </w:rPr>
        <w:t>工艺要求。</w:t>
      </w:r>
    </w:p>
    <w:p w14:paraId="7DA03B9C">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4大旋杯参数（包括：转速、吐出量、高压、成形空气）均可通过人机界面控制，同时人机界面可显示上述参数的设定值和实际值。</w:t>
      </w:r>
    </w:p>
    <w:p w14:paraId="2106933D">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雾化器内部管路可实现自动清洗功能及旋杯口外侧自动短清洗。换色或清洗点及频次可任意设定，允许设定频率最短至每车换色一次。</w:t>
      </w:r>
    </w:p>
    <w:p w14:paraId="45F26DC5">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旋转速度：≥60,000 rpm (空载时＞70,000 rpm)，并能持续正常工作。</w:t>
      </w:r>
    </w:p>
    <w:p w14:paraId="6DCB7DCF">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转速控制精度应控制在±500rpm以内，若超出输出范围±5%，并在5秒钟内未能恢复正常，即应产生相应高速或低速报警。若超出输出范围±10%，并在5秒钟内未能恢复正常，即应产生相应高速或低速故障报警。</w:t>
      </w:r>
    </w:p>
    <w:p w14:paraId="21C9D93C">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每一个空气马达应保证最小无故障时间不低于4500小时，旋杯至少保证旋杯头1500小时，集成换色阀3000小时。</w:t>
      </w:r>
    </w:p>
    <w:p w14:paraId="316BB8E1">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气动轴承具有安全防护、防涂料粘附措施，便于清洗和维护，方便更换。</w:t>
      </w:r>
    </w:p>
    <w:p w14:paraId="5F864DF2">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杯头须采用高耐磨、耐腐蚀钛合金材质。</w:t>
      </w:r>
    </w:p>
    <w:p w14:paraId="0DA5C63F">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51" w:name="OLE_LINK4"/>
      <w:r>
        <w:rPr>
          <w:rFonts w:hint="eastAsia" w:ascii="宋体" w:hAnsi="宋体" w:eastAsia="宋体" w:cs="宋体"/>
        </w:rPr>
        <w:t>采用伺服电机带动齿轮泵精确供给油漆，并保证控制精度在±2.5%以内。每杯最大流量：720 cc/min。</w:t>
      </w:r>
      <w:bookmarkEnd w:id="151"/>
    </w:p>
    <w:p w14:paraId="210E1970">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清漆涂料混溶精确配比装置使用双齿轮泵。</w:t>
      </w:r>
    </w:p>
    <w:p w14:paraId="3B0B0F64">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高压发生器可提供最高100kV的电压，正常使用时70kV控制精度在±2%以内。同时高压发生装置在开启、故障、关闭状态下均有指示灯指示。</w:t>
      </w:r>
    </w:p>
    <w:p w14:paraId="7C8E46E0">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机器人的雾化器配有旋杯快拆装置，可实现快速、便捷卸下旋杯。</w:t>
      </w:r>
    </w:p>
    <w:p w14:paraId="66376F11">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旋杯可提供最高100kV的电压（溶剂型内部上电），或者500μA电流（水性漆外部上电）控制精度在±2%以内。同时高压发生装置在开启、故障、关闭状态下均有指示灯指示。</w:t>
      </w:r>
    </w:p>
    <w:p w14:paraId="68C9B09E">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旋杯喷涂相关监控参数</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9"/>
        <w:gridCol w:w="1416"/>
        <w:gridCol w:w="2030"/>
        <w:gridCol w:w="980"/>
        <w:gridCol w:w="1081"/>
        <w:gridCol w:w="1293"/>
        <w:gridCol w:w="1555"/>
      </w:tblGrid>
      <w:tr w14:paraId="3387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81" w:type="pct"/>
            <w:shd w:val="clear" w:color="auto" w:fill="auto"/>
            <w:vAlign w:val="center"/>
          </w:tcPr>
          <w:p w14:paraId="6D774E0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工艺参数产品特性</w:t>
            </w:r>
          </w:p>
        </w:tc>
        <w:tc>
          <w:tcPr>
            <w:tcW w:w="681" w:type="pct"/>
            <w:shd w:val="clear" w:color="auto" w:fill="auto"/>
            <w:vAlign w:val="center"/>
          </w:tcPr>
          <w:p w14:paraId="65C4753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参数指令范围</w:t>
            </w:r>
          </w:p>
        </w:tc>
        <w:tc>
          <w:tcPr>
            <w:tcW w:w="1059" w:type="pct"/>
            <w:shd w:val="clear" w:color="auto" w:fill="auto"/>
            <w:vAlign w:val="center"/>
          </w:tcPr>
          <w:p w14:paraId="131DEF5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检测设备或跟踪</w:t>
            </w:r>
          </w:p>
          <w:p w14:paraId="56238FC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方法</w:t>
            </w:r>
          </w:p>
        </w:tc>
        <w:tc>
          <w:tcPr>
            <w:tcW w:w="516" w:type="pct"/>
            <w:shd w:val="clear" w:color="auto" w:fill="auto"/>
            <w:vAlign w:val="center"/>
          </w:tcPr>
          <w:p w14:paraId="2EEBDB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参数采集方式</w:t>
            </w:r>
          </w:p>
        </w:tc>
        <w:tc>
          <w:tcPr>
            <w:tcW w:w="568" w:type="pct"/>
            <w:shd w:val="clear" w:color="auto" w:fill="auto"/>
            <w:vAlign w:val="center"/>
          </w:tcPr>
          <w:p w14:paraId="0707B5F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采集参数类型</w:t>
            </w:r>
          </w:p>
        </w:tc>
        <w:tc>
          <w:tcPr>
            <w:tcW w:w="677" w:type="pct"/>
            <w:shd w:val="clear" w:color="auto" w:fill="auto"/>
            <w:vAlign w:val="center"/>
          </w:tcPr>
          <w:p w14:paraId="31DE280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容许误差</w:t>
            </w:r>
          </w:p>
        </w:tc>
        <w:tc>
          <w:tcPr>
            <w:tcW w:w="813" w:type="pct"/>
            <w:shd w:val="clear" w:color="auto" w:fill="auto"/>
            <w:vAlign w:val="center"/>
          </w:tcPr>
          <w:p w14:paraId="713B1D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检测中总体最大误差</w:t>
            </w:r>
          </w:p>
        </w:tc>
      </w:tr>
      <w:tr w14:paraId="7C90B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681" w:type="pct"/>
            <w:shd w:val="clear" w:color="auto" w:fill="auto"/>
            <w:vAlign w:val="center"/>
          </w:tcPr>
          <w:p w14:paraId="1A93D6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整形空气压力</w:t>
            </w:r>
          </w:p>
        </w:tc>
        <w:tc>
          <w:tcPr>
            <w:tcW w:w="681" w:type="pct"/>
            <w:shd w:val="clear" w:color="auto" w:fill="auto"/>
            <w:vAlign w:val="center"/>
          </w:tcPr>
          <w:p w14:paraId="7EF1A7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0～1000ml/min</w:t>
            </w:r>
          </w:p>
        </w:tc>
        <w:tc>
          <w:tcPr>
            <w:tcW w:w="1059" w:type="pct"/>
            <w:shd w:val="clear" w:color="auto" w:fill="auto"/>
            <w:vAlign w:val="center"/>
          </w:tcPr>
          <w:p w14:paraId="68E467F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数字型</w:t>
            </w:r>
          </w:p>
          <w:p w14:paraId="4138F89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压力计</w:t>
            </w:r>
          </w:p>
        </w:tc>
        <w:tc>
          <w:tcPr>
            <w:tcW w:w="516" w:type="pct"/>
            <w:shd w:val="clear" w:color="auto" w:fill="auto"/>
            <w:vAlign w:val="center"/>
          </w:tcPr>
          <w:p w14:paraId="68000D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自动</w:t>
            </w:r>
          </w:p>
        </w:tc>
        <w:tc>
          <w:tcPr>
            <w:tcW w:w="568" w:type="pct"/>
            <w:shd w:val="clear" w:color="auto" w:fill="auto"/>
            <w:vAlign w:val="center"/>
          </w:tcPr>
          <w:p w14:paraId="57A775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数字型</w:t>
            </w:r>
          </w:p>
        </w:tc>
        <w:tc>
          <w:tcPr>
            <w:tcW w:w="677" w:type="pct"/>
            <w:shd w:val="clear" w:color="auto" w:fill="auto"/>
            <w:vAlign w:val="center"/>
          </w:tcPr>
          <w:p w14:paraId="405C253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 2%</w:t>
            </w:r>
          </w:p>
        </w:tc>
        <w:tc>
          <w:tcPr>
            <w:tcW w:w="813" w:type="pct"/>
            <w:shd w:val="clear" w:color="auto" w:fill="auto"/>
            <w:vAlign w:val="center"/>
          </w:tcPr>
          <w:p w14:paraId="31025B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 0.25%</w:t>
            </w:r>
          </w:p>
        </w:tc>
      </w:tr>
      <w:tr w14:paraId="1977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681" w:type="pct"/>
            <w:vMerge w:val="restart"/>
            <w:shd w:val="clear" w:color="auto" w:fill="auto"/>
            <w:vAlign w:val="center"/>
          </w:tcPr>
          <w:p w14:paraId="7F95E2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车身材料耗量</w:t>
            </w:r>
          </w:p>
        </w:tc>
        <w:tc>
          <w:tcPr>
            <w:tcW w:w="681" w:type="pct"/>
            <w:vMerge w:val="restart"/>
            <w:shd w:val="clear" w:color="auto" w:fill="auto"/>
            <w:vAlign w:val="center"/>
          </w:tcPr>
          <w:p w14:paraId="1BF6C8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0～720cc/min</w:t>
            </w:r>
          </w:p>
        </w:tc>
        <w:tc>
          <w:tcPr>
            <w:tcW w:w="1059" w:type="pct"/>
            <w:vMerge w:val="restart"/>
            <w:shd w:val="clear" w:color="auto" w:fill="auto"/>
            <w:vAlign w:val="center"/>
          </w:tcPr>
          <w:p w14:paraId="1819AD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人机界面</w:t>
            </w:r>
          </w:p>
        </w:tc>
        <w:tc>
          <w:tcPr>
            <w:tcW w:w="516" w:type="pct"/>
            <w:vMerge w:val="restart"/>
            <w:shd w:val="clear" w:color="auto" w:fill="auto"/>
            <w:vAlign w:val="center"/>
          </w:tcPr>
          <w:p w14:paraId="4647234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自动</w:t>
            </w:r>
          </w:p>
        </w:tc>
        <w:tc>
          <w:tcPr>
            <w:tcW w:w="568" w:type="pct"/>
            <w:vMerge w:val="restart"/>
            <w:shd w:val="clear" w:color="auto" w:fill="auto"/>
            <w:vAlign w:val="center"/>
          </w:tcPr>
          <w:p w14:paraId="7BBF83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数字型</w:t>
            </w:r>
          </w:p>
        </w:tc>
        <w:tc>
          <w:tcPr>
            <w:tcW w:w="677" w:type="pct"/>
            <w:vMerge w:val="restart"/>
            <w:shd w:val="clear" w:color="auto" w:fill="auto"/>
            <w:vAlign w:val="center"/>
          </w:tcPr>
          <w:p w14:paraId="13C88D9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813" w:type="pct"/>
            <w:vMerge w:val="restart"/>
            <w:shd w:val="clear" w:color="auto" w:fill="auto"/>
            <w:vAlign w:val="center"/>
          </w:tcPr>
          <w:p w14:paraId="085B66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±1cc</w:t>
            </w:r>
          </w:p>
        </w:tc>
      </w:tr>
      <w:tr w14:paraId="168AA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81" w:type="pct"/>
            <w:vMerge w:val="continue"/>
            <w:vAlign w:val="center"/>
          </w:tcPr>
          <w:p w14:paraId="3C64CA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681" w:type="pct"/>
            <w:vMerge w:val="continue"/>
            <w:vAlign w:val="center"/>
          </w:tcPr>
          <w:p w14:paraId="2FF29F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1059" w:type="pct"/>
            <w:vMerge w:val="continue"/>
            <w:vAlign w:val="center"/>
          </w:tcPr>
          <w:p w14:paraId="35E1FB1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516" w:type="pct"/>
            <w:vMerge w:val="continue"/>
            <w:vAlign w:val="center"/>
          </w:tcPr>
          <w:p w14:paraId="41D285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568" w:type="pct"/>
            <w:vMerge w:val="continue"/>
            <w:vAlign w:val="center"/>
          </w:tcPr>
          <w:p w14:paraId="26948DF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677" w:type="pct"/>
            <w:vMerge w:val="continue"/>
            <w:vAlign w:val="center"/>
          </w:tcPr>
          <w:p w14:paraId="6DDCBD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813" w:type="pct"/>
            <w:vMerge w:val="continue"/>
            <w:vAlign w:val="center"/>
          </w:tcPr>
          <w:p w14:paraId="2423360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71A02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81" w:type="pct"/>
            <w:vMerge w:val="restart"/>
            <w:shd w:val="clear" w:color="auto" w:fill="auto"/>
            <w:vAlign w:val="center"/>
          </w:tcPr>
          <w:p w14:paraId="566FCBF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喷杯的转速</w:t>
            </w:r>
          </w:p>
        </w:tc>
        <w:tc>
          <w:tcPr>
            <w:tcW w:w="681" w:type="pct"/>
            <w:vMerge w:val="restart"/>
            <w:shd w:val="clear" w:color="auto" w:fill="auto"/>
            <w:vAlign w:val="center"/>
          </w:tcPr>
          <w:p w14:paraId="3C1D33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 ～ 60 KTrs/min</w:t>
            </w:r>
          </w:p>
        </w:tc>
        <w:tc>
          <w:tcPr>
            <w:tcW w:w="1059" w:type="pct"/>
            <w:vMerge w:val="restart"/>
            <w:shd w:val="clear" w:color="auto" w:fill="auto"/>
            <w:vAlign w:val="center"/>
          </w:tcPr>
          <w:p w14:paraId="6D118C2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速度</w:t>
            </w:r>
          </w:p>
          <w:p w14:paraId="5867C88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调整器</w:t>
            </w:r>
          </w:p>
        </w:tc>
        <w:tc>
          <w:tcPr>
            <w:tcW w:w="516" w:type="pct"/>
            <w:vMerge w:val="restart"/>
            <w:shd w:val="clear" w:color="auto" w:fill="auto"/>
            <w:vAlign w:val="center"/>
          </w:tcPr>
          <w:p w14:paraId="48669D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自动</w:t>
            </w:r>
          </w:p>
        </w:tc>
        <w:tc>
          <w:tcPr>
            <w:tcW w:w="568" w:type="pct"/>
            <w:vMerge w:val="restart"/>
            <w:shd w:val="clear" w:color="auto" w:fill="auto"/>
            <w:vAlign w:val="center"/>
          </w:tcPr>
          <w:p w14:paraId="1B269B0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数字型</w:t>
            </w:r>
          </w:p>
        </w:tc>
        <w:tc>
          <w:tcPr>
            <w:tcW w:w="677" w:type="pct"/>
            <w:vMerge w:val="restart"/>
            <w:shd w:val="clear" w:color="auto" w:fill="auto"/>
            <w:vAlign w:val="center"/>
          </w:tcPr>
          <w:p w14:paraId="1586AF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 KTrs/min</w:t>
            </w:r>
          </w:p>
        </w:tc>
        <w:tc>
          <w:tcPr>
            <w:tcW w:w="813" w:type="pct"/>
            <w:vMerge w:val="restart"/>
            <w:shd w:val="clear" w:color="auto" w:fill="auto"/>
            <w:vAlign w:val="center"/>
          </w:tcPr>
          <w:p w14:paraId="77641D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250 Trs/min</w:t>
            </w:r>
          </w:p>
        </w:tc>
      </w:tr>
      <w:tr w14:paraId="3CF42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81" w:type="pct"/>
            <w:vMerge w:val="continue"/>
            <w:vAlign w:val="center"/>
          </w:tcPr>
          <w:p w14:paraId="30A532C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681" w:type="pct"/>
            <w:vMerge w:val="continue"/>
            <w:vAlign w:val="center"/>
          </w:tcPr>
          <w:p w14:paraId="231F1E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1059" w:type="pct"/>
            <w:vMerge w:val="continue"/>
            <w:vAlign w:val="center"/>
          </w:tcPr>
          <w:p w14:paraId="7C850D7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516" w:type="pct"/>
            <w:vMerge w:val="continue"/>
            <w:vAlign w:val="center"/>
          </w:tcPr>
          <w:p w14:paraId="74E78A8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568" w:type="pct"/>
            <w:vMerge w:val="continue"/>
            <w:vAlign w:val="center"/>
          </w:tcPr>
          <w:p w14:paraId="33DAEE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677" w:type="pct"/>
            <w:vMerge w:val="continue"/>
            <w:vAlign w:val="center"/>
          </w:tcPr>
          <w:p w14:paraId="7C0D3AB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813" w:type="pct"/>
            <w:vMerge w:val="continue"/>
            <w:vAlign w:val="center"/>
          </w:tcPr>
          <w:p w14:paraId="67A104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7897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81" w:type="pct"/>
            <w:shd w:val="clear" w:color="auto" w:fill="auto"/>
            <w:vAlign w:val="center"/>
          </w:tcPr>
          <w:p w14:paraId="322B442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高压时电压</w:t>
            </w:r>
          </w:p>
        </w:tc>
        <w:tc>
          <w:tcPr>
            <w:tcW w:w="681" w:type="pct"/>
            <w:shd w:val="clear" w:color="auto" w:fill="auto"/>
            <w:vAlign w:val="center"/>
          </w:tcPr>
          <w:p w14:paraId="09F048C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0～100kV</w:t>
            </w:r>
          </w:p>
        </w:tc>
        <w:tc>
          <w:tcPr>
            <w:tcW w:w="1059" w:type="pct"/>
            <w:shd w:val="clear" w:color="auto" w:fill="auto"/>
            <w:vAlign w:val="center"/>
          </w:tcPr>
          <w:p w14:paraId="5956F3E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高压</w:t>
            </w:r>
          </w:p>
          <w:p w14:paraId="4B97BFE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检测仪</w:t>
            </w:r>
          </w:p>
        </w:tc>
        <w:tc>
          <w:tcPr>
            <w:tcW w:w="516" w:type="pct"/>
            <w:shd w:val="clear" w:color="auto" w:fill="auto"/>
            <w:vAlign w:val="center"/>
          </w:tcPr>
          <w:p w14:paraId="4D49BD5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自动</w:t>
            </w:r>
          </w:p>
        </w:tc>
        <w:tc>
          <w:tcPr>
            <w:tcW w:w="568" w:type="pct"/>
            <w:shd w:val="clear" w:color="auto" w:fill="auto"/>
            <w:vAlign w:val="center"/>
          </w:tcPr>
          <w:p w14:paraId="36D557C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数字型</w:t>
            </w:r>
          </w:p>
        </w:tc>
        <w:tc>
          <w:tcPr>
            <w:tcW w:w="677" w:type="pct"/>
            <w:shd w:val="clear" w:color="auto" w:fill="auto"/>
            <w:vAlign w:val="center"/>
          </w:tcPr>
          <w:p w14:paraId="7A6A406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 kV</w:t>
            </w:r>
          </w:p>
        </w:tc>
        <w:tc>
          <w:tcPr>
            <w:tcW w:w="813" w:type="pct"/>
            <w:shd w:val="clear" w:color="auto" w:fill="auto"/>
            <w:vAlign w:val="center"/>
          </w:tcPr>
          <w:p w14:paraId="69F85BE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0.2 kV</w:t>
            </w:r>
          </w:p>
        </w:tc>
      </w:tr>
      <w:tr w14:paraId="67C9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81" w:type="pct"/>
            <w:shd w:val="clear" w:color="auto" w:fill="auto"/>
            <w:vAlign w:val="center"/>
          </w:tcPr>
          <w:p w14:paraId="365A30E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高压时电流</w:t>
            </w:r>
          </w:p>
        </w:tc>
        <w:tc>
          <w:tcPr>
            <w:tcW w:w="681" w:type="pct"/>
            <w:shd w:val="clear" w:color="auto" w:fill="auto"/>
            <w:vAlign w:val="center"/>
          </w:tcPr>
          <w:p w14:paraId="573D54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0～500µA</w:t>
            </w:r>
          </w:p>
        </w:tc>
        <w:tc>
          <w:tcPr>
            <w:tcW w:w="1059" w:type="pct"/>
            <w:shd w:val="clear" w:color="auto" w:fill="auto"/>
            <w:vAlign w:val="center"/>
          </w:tcPr>
          <w:p w14:paraId="20D03AA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电流</w:t>
            </w:r>
          </w:p>
          <w:p w14:paraId="41A750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测量仪</w:t>
            </w:r>
          </w:p>
        </w:tc>
        <w:tc>
          <w:tcPr>
            <w:tcW w:w="516" w:type="pct"/>
            <w:shd w:val="clear" w:color="auto" w:fill="auto"/>
            <w:vAlign w:val="center"/>
          </w:tcPr>
          <w:p w14:paraId="206618F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自动</w:t>
            </w:r>
          </w:p>
        </w:tc>
        <w:tc>
          <w:tcPr>
            <w:tcW w:w="568" w:type="pct"/>
            <w:shd w:val="clear" w:color="auto" w:fill="auto"/>
            <w:vAlign w:val="center"/>
          </w:tcPr>
          <w:p w14:paraId="47E69E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数字型</w:t>
            </w:r>
          </w:p>
        </w:tc>
        <w:tc>
          <w:tcPr>
            <w:tcW w:w="677" w:type="pct"/>
            <w:shd w:val="clear" w:color="auto" w:fill="auto"/>
            <w:vAlign w:val="center"/>
          </w:tcPr>
          <w:p w14:paraId="115908A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 20 µA</w:t>
            </w:r>
          </w:p>
        </w:tc>
        <w:tc>
          <w:tcPr>
            <w:tcW w:w="813" w:type="pct"/>
            <w:shd w:val="clear" w:color="auto" w:fill="auto"/>
            <w:vAlign w:val="center"/>
          </w:tcPr>
          <w:p w14:paraId="247AAD9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5µA</w:t>
            </w:r>
          </w:p>
        </w:tc>
      </w:tr>
    </w:tbl>
    <w:p w14:paraId="3F7F07BF">
      <w:pPr>
        <w:pageBreakBefore w:val="0"/>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napToGrid w:val="0"/>
          <w:kern w:val="0"/>
          <w:szCs w:val="21"/>
        </w:rPr>
      </w:pPr>
    </w:p>
    <w:p w14:paraId="57595482">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为保证喷涂设备运行状况处于可监控状态，供应商在设备调试时同时必须提供相应的检测设备及检测方法，包括以下几种必备的仪器：高压检测仪，转速仪，整形气压检测，流量检测。检测完成交付检测报告，并将检测设备仪器交于</w:t>
      </w:r>
      <w:r>
        <w:rPr>
          <w:rFonts w:hint="eastAsia" w:ascii="宋体" w:hAnsi="宋体" w:cs="宋体"/>
          <w:lang w:eastAsia="zh-CN"/>
        </w:rPr>
        <w:t>招标人</w:t>
      </w:r>
      <w:r>
        <w:rPr>
          <w:rFonts w:hint="eastAsia" w:ascii="宋体" w:hAnsi="宋体" w:eastAsia="宋体" w:cs="宋体"/>
        </w:rPr>
        <w:t>。</w:t>
      </w:r>
    </w:p>
    <w:p w14:paraId="736CD9F1">
      <w:pPr>
        <w:pStyle w:val="17"/>
        <w:pageBreakBefore w:val="0"/>
        <w:numPr>
          <w:ilvl w:val="0"/>
          <w:numId w:val="17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机器人的雾化器配有旋杯快拆装置，实现快速、便捷卸下旋杯。</w:t>
      </w:r>
    </w:p>
    <w:p w14:paraId="1380F8A7">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换色阀</w:t>
      </w:r>
    </w:p>
    <w:p w14:paraId="4EA9DDE1">
      <w:pPr>
        <w:pStyle w:val="17"/>
        <w:pageBreakBefore w:val="0"/>
        <w:numPr>
          <w:ilvl w:val="0"/>
          <w:numId w:val="17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换色阀须具有模块式结构，允许添加或拆除附加的阀组，并方便操作者对其进行维修或更换。每台机器人安装的模块组数须能满足本机器人所处位置的油漆颜色种类要求。 </w:t>
      </w:r>
    </w:p>
    <w:p w14:paraId="472BD4BF">
      <w:pPr>
        <w:pStyle w:val="17"/>
        <w:pageBreakBefore w:val="0"/>
        <w:numPr>
          <w:ilvl w:val="0"/>
          <w:numId w:val="17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安装位置须尽最大可能靠近旋杯，以减少每次清洗或换色时所消耗的溶剂及油漆。</w:t>
      </w:r>
    </w:p>
    <w:p w14:paraId="16B87F0A">
      <w:pPr>
        <w:pStyle w:val="17"/>
        <w:pageBreakBefore w:val="0"/>
        <w:numPr>
          <w:ilvl w:val="0"/>
          <w:numId w:val="17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换色阀须能使每一组颜色的油漆进行连续循环。</w:t>
      </w:r>
    </w:p>
    <w:p w14:paraId="7FC09DC9">
      <w:pPr>
        <w:pStyle w:val="17"/>
        <w:pageBreakBefore w:val="0"/>
        <w:numPr>
          <w:ilvl w:val="0"/>
          <w:numId w:val="17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换色阀换色响应时间＜0.5s，换色阀寿命大于75000次。</w:t>
      </w:r>
    </w:p>
    <w:p w14:paraId="52B1E470">
      <w:pPr>
        <w:pStyle w:val="17"/>
        <w:pageBreakBefore w:val="0"/>
        <w:numPr>
          <w:ilvl w:val="0"/>
          <w:numId w:val="17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所有阀均应有可见的用于诊断目的的状态指示，并可手工进行激活以进行必要的测试及维护、维修过程。</w:t>
      </w:r>
    </w:p>
    <w:p w14:paraId="690D1592">
      <w:pPr>
        <w:pStyle w:val="17"/>
        <w:pageBreakBefore w:val="0"/>
        <w:numPr>
          <w:ilvl w:val="0"/>
          <w:numId w:val="17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电磁阀的控制必须防止窜色。</w:t>
      </w:r>
    </w:p>
    <w:p w14:paraId="6D547C35">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每台机器人喷涂装置应包括完整的硬件及软件，它应保证整个自动喷涂系统达到涂装工艺要求。所有喷涂装置应满足喷漆室环境中的设备要求，符合国家标准，其中包括防火、防爆等项目。</w:t>
      </w:r>
    </w:p>
    <w:p w14:paraId="1DCE9CC8">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性能要求</w:t>
      </w:r>
    </w:p>
    <w:p w14:paraId="1891AA52">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应提供与车间控制、工序系统相适应的完全自动化的喷涂系统，喷涂系统须能够达到95%或更高正常运行时间。在进行常规维护的条件下，其主要结构部件最短使用寿命为15年。</w:t>
      </w:r>
    </w:p>
    <w:p w14:paraId="69717E7F">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负责所有喷漆线的喷涂机器人平面布置尺寸设计确保机器人工作位置尺寸，维护空间尺寸、喷涂面积、喷涂时间等分配最合理，每台机器人喷涂覆盖面最佳。</w:t>
      </w:r>
    </w:p>
    <w:p w14:paraId="5027C4B9">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喷漆线机器人对所有车身外表面进行全面喷涂。高压静电自动喷涂机器人的喷涂遵循先喷侧面后喷顶部的原则，采用横向轨迹喷涂。</w:t>
      </w:r>
    </w:p>
    <w:p w14:paraId="003116C5">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要求每台车身可以分为多个喷涂区域，每个区域里的所有喷涂参数，都可以根据不同要求进行改动。喷漆线要求每台喷涂机器人在喷涂行程期间，每个雾化器的开关枪点，都可以自由编程。</w:t>
      </w:r>
    </w:p>
    <w:p w14:paraId="292ADF2D">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喷漆过程中，多个参数的更改可以在线修改和保存。对于油漆量、整形空气、转速、高压值、雾化装置的开关点等参数可以在各喷漆曲面内相互独立的进行调节。其参数给定可以各自根据车型、喷漆区域、油漆颜色、油漆生产商和雾化装置的不同而进行独立调节。</w:t>
      </w:r>
    </w:p>
    <w:p w14:paraId="58678DE5">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涂料线上漆率大于75%；长、短清洗使用的溶剂量和油漆量降到最低。</w:t>
      </w:r>
    </w:p>
    <w:p w14:paraId="5A31CAF1">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实现在线编程、监控、模拟，离线编程、模拟、仿真，颜色指示、车型识别等功能。</w:t>
      </w:r>
    </w:p>
    <w:p w14:paraId="225A1357">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操作台实现手动、自动、模拟、清洁、维护等运行模式。</w:t>
      </w:r>
    </w:p>
    <w:p w14:paraId="26C41105">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必须实现自动或半自动识别车型，并针对不同车型信息进行提前准备作业内容（在人机界面上具备线浏览功能，包括车型、颜色、天窗、非天窗等信息，并且根据需要可以在车身进入机器人喷涂区域前某个位置更改车身的车型、颜色参数）。</w:t>
      </w:r>
    </w:p>
    <w:p w14:paraId="1FEFAC17">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控制系统须能具有车型信息识别能力 ，识别系统应具有自动和手动两种工作模式。在自动模式下,工件进入系统之前可以识别工件的车型及颜色等信息。在手动状态下，操作者可以人工输入车型信息。如果一个不能被识别的工件进入作业区，控制柜将发出报警信号，此时，系统允许控制台或手动操作台的操作员将正确车型信息输入控制系统。</w:t>
      </w:r>
    </w:p>
    <w:p w14:paraId="7E9831B9">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系统可以识别空载的输送设备，并自动调整至非喷涂状态。系统数据库内需设置空橇或不作业车型信息，并可以通过自动或半自动模式自行识别。</w:t>
      </w:r>
    </w:p>
    <w:p w14:paraId="16DAD906">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系统须能实现识别进入作业区的是人还是车，当设备处于自动运行状态时，人员进入作业区，设备须立刻停止，并伴有声光报警。</w:t>
      </w:r>
    </w:p>
    <w:p w14:paraId="6149C2D4">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实现检测橇体滑移功能，喷漆线每条输送链上均安装有即时跟踪采集工件位置信息的增量式编码器，当橇体在输送链上实际行进距离与机器人计数计算距离超出一定范围时，系统报警并停止作业与输送，以防止产生作业不良或撞车等后果。</w:t>
      </w:r>
    </w:p>
    <w:p w14:paraId="6D740DBF">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系统须能实现防撞功能。即当有意外发生时，设备不得与车身或车身与设备相撞。</w:t>
      </w:r>
    </w:p>
    <w:p w14:paraId="2E1C4FAC">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系统须能实现生产中断。即生产过程中，当输送装置停止时，自动喷涂设备会继续进行喷涂，直至喷杯运行到下一个没有喷涂交叉点的位置为止。当输送装置再次运转时，喷涂设备将于上次停止的位置恢复工作。</w:t>
      </w:r>
    </w:p>
    <w:p w14:paraId="7FCF1CC2">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系统须能实现突然断电、断气保护功能。即当系统发生突然断电或断气情况下，系统须能保证软件、硬件及数据信息的完好。</w:t>
      </w:r>
    </w:p>
    <w:p w14:paraId="370C7219">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系统须具有断电后的恢复能力。在无需任何形式重新校正，手动加载程序及数据的情况下，系统应有能力继续其正常功能。且所需的恢复时间不得超过5分钟。</w:t>
      </w:r>
    </w:p>
    <w:p w14:paraId="360988BB">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所有人员安全保护装置上都有醒目的警示标语和标志。在机器人工作区域的入口和出口处均设有安全光栅，在合适的高度上均安装有高压警示灯。机器人站室体的门上，均设有检测装置，当设备处于自动运行状态时，人员触动机器人区域仿形门进入机器人作业区，设备须立刻停止，并伴有声光报警。</w:t>
      </w:r>
    </w:p>
    <w:p w14:paraId="181E10B1">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上位机放置在喷漆室的外面，同时保证可以从该处看到工作区域。可以通过各种按钮实现运行模式的改变、每个独立机器人的运行和退出运行、站点的运行和退出运行、紧停、运行状态的观察（如灯亮、灯灭和闪烁等）、故障清除、输送链运行停止等。故障的显示可以及时提醒操作人员（如通过声音报警或信号灯等）。</w:t>
      </w:r>
    </w:p>
    <w:p w14:paraId="71622199">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上位机控制面板的屏幕必须具备直观的人机界面，所有的人机界面要求汉化（中英文对照）。所有与喷涂相关的信息（如链速、车型、车身位置、颜色、油漆流量、喷杯转速、整形空气压力或流量、高压静电值、电流值及机器人循环时间、机器人各轴的运动位置等）都能自动在界面上监控，对于不能识别或错误的车身信息以及有特殊要求的车身，根据需要，可以在上游或在操作者控制面板上对车身信息进行手动修改，如更改车型、颜色、天窗、非天窗喷涂参数及选择喷与不喷，上位机实现车身局部喷涂选择功能画面。可以在手动模式下通过控制面板控制机器人，手动修改后实现所有自动模式下的动作。具有参数（轨迹参数+喷涂参数）的修改、保存、复制、导入、导出等功能，所有车型、颜色等的喷涂轨迹相应编程的集中保存功能。并能实现机器人轨迹参数与喷涂参数的分类管理（如界面分开但互相链接、设立更改权限等）。</w:t>
      </w:r>
    </w:p>
    <w:p w14:paraId="2AB3AE9B">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显示正在发生的故障及查看历史故障记录，对所有自动监控的信息，均能实现故障显示。能查看和导出每台机器人、每种车型、每种颜色任一时段的单车油漆消耗及汇总消耗。这些故障记录、产量统计、油漆消耗数据可以自动保存在PC机的硬盘内，并可以根据车型、颜色、时间的需要手工导出为EXCEL以及PDF格式的文件，具有保存时间段设置功能，数据保存期限至少3个月。</w:t>
      </w:r>
    </w:p>
    <w:p w14:paraId="6F0D39E1">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操作站及示教器须能设置不同权限等级，实现不同权限用户对操作站进行的操作有所限制。权限分为：操作工、维修工、工艺员、工程师等。</w:t>
      </w:r>
    </w:p>
    <w:p w14:paraId="316ABF3A">
      <w:pPr>
        <w:pStyle w:val="17"/>
        <w:pageBreakBefore w:val="0"/>
        <w:numPr>
          <w:ilvl w:val="0"/>
          <w:numId w:val="17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喷漆线每一个机器人站区域，</w:t>
      </w:r>
      <w:r>
        <w:rPr>
          <w:rFonts w:hint="eastAsia" w:ascii="宋体" w:hAnsi="宋体" w:cs="宋体"/>
          <w:lang w:eastAsia="zh-CN"/>
        </w:rPr>
        <w:t>投标人</w:t>
      </w:r>
      <w:r>
        <w:rPr>
          <w:rFonts w:hint="eastAsia" w:ascii="宋体" w:hAnsi="宋体" w:eastAsia="宋体" w:cs="宋体"/>
        </w:rPr>
        <w:t>需设有一个带分格、带提手、带铰链和密封盖的不锈钢容器，此容器密封良好，而且要保证接地良好。在不生产时，将旋杯放置于充满溶剂的容器里以保护旋杯。</w:t>
      </w:r>
    </w:p>
    <w:p w14:paraId="2EA7F5A4">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通用部分</w:t>
      </w:r>
    </w:p>
    <w:p w14:paraId="1319D56B">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设备能力应满足涂装工艺的需求，并保证性能稳定可靠，使用、维护、维修方便，造型美观。</w:t>
      </w:r>
    </w:p>
    <w:p w14:paraId="4072C3BA">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设备须具有良好的安全性能，且保证异常时能及时停止并报警。</w:t>
      </w:r>
    </w:p>
    <w:p w14:paraId="22BA28B2">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设备的操作和功能上的设计必须保证对操作者、相邻室体、设备及其它相关的人员固有安全。</w:t>
      </w:r>
    </w:p>
    <w:p w14:paraId="47517124">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设备工作中产生的废弃物不得污染车身、环境及危害人身健康。</w:t>
      </w:r>
    </w:p>
    <w:p w14:paraId="4FA5BB62">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所有安装的设备或配件中不得含有硅酮成份。不得在设备的制造和安装过程中使用任何含有硅酮的材料或润滑剂。</w:t>
      </w:r>
    </w:p>
    <w:p w14:paraId="4F3858EB">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所有喷漆室内的用于设备上的原材料都必须对所使用的油漆、溶剂、清洗剂和稀释剂具有耐溶剂腐蚀性，不仅指接触油漆的内部件，而且包括所有的外部件，包括机械和电气的所有部件及电缆等。</w:t>
      </w:r>
    </w:p>
    <w:p w14:paraId="5FE312AE">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所有的电缆束、软管和管路等集成在机器人手臂内，以获得最佳清理条件。电气和油漆管路的安装，必需相互隔开。各阀组及连接位置须有良好的密封性，保证油漆、溶剂、空气不得泄露或流串。</w:t>
      </w:r>
    </w:p>
    <w:p w14:paraId="516F2F5D">
      <w:pPr>
        <w:pStyle w:val="17"/>
        <w:pageBreakBefore w:val="0"/>
        <w:numPr>
          <w:ilvl w:val="0"/>
          <w:numId w:val="17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安装的所有零件、管路、线缆应有鉴别标牌，标牌应耐溶剂腐蚀，并能牢固地固定在零件上。所有按扭、指示灯、监视器、操作站、电器柜等都应有白底黑字的标牌。</w:t>
      </w:r>
    </w:p>
    <w:p w14:paraId="20D9D930">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电气部分</w:t>
      </w:r>
    </w:p>
    <w:p w14:paraId="319ABC3B">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系统须能与输调漆系统、输送系统、供排风系统、消防系统等相互连锁。</w:t>
      </w:r>
    </w:p>
    <w:p w14:paraId="75D60909">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系统须能与车间中控室、AVI系统等实现数据传输。</w:t>
      </w:r>
    </w:p>
    <w:p w14:paraId="5CC854E2">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系统可以自动识别和人工手动输入喷涂车身的车型、颜色等信息，将该信息与数据库中或滑橇载码体的车身信息进行比较，确认符合后将喷涂参数传递给机器人进行喷涂作业。 </w:t>
      </w:r>
    </w:p>
    <w:p w14:paraId="1F3DEE3A">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机器人自带车身识别系统，实现二次车型、颜色、天窗、非天窗校验功能，设置专用的软件，在上位机设置可视化画面能够编辑识别的偏差。系统</w:t>
      </w:r>
      <w:r>
        <w:rPr>
          <w:rFonts w:hint="eastAsia" w:ascii="宋体" w:hAnsi="宋体" w:eastAsia="宋体" w:cs="宋体"/>
          <w:lang w:val="en-US" w:eastAsia="zh-CN"/>
        </w:rPr>
        <w:t>采用光电</w:t>
      </w:r>
      <w:r>
        <w:rPr>
          <w:rFonts w:hint="eastAsia" w:ascii="宋体" w:hAnsi="宋体" w:eastAsia="宋体" w:cs="宋体"/>
        </w:rPr>
        <w:t>检测。同时配置有人工代码输入台。设置上位机，车身轮廓设置专用软件进行编辑保存，设置范围至少20种车型（能设置天窗、非天窗）。</w:t>
      </w:r>
    </w:p>
    <w:p w14:paraId="10E7707D">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机器人系统在正常生产模式下（自动、手动）可以识别空撬，并自动调整至非喷涂或非生产状态。</w:t>
      </w:r>
    </w:p>
    <w:p w14:paraId="3052A6E5">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信息传递：车间AVI系统将进入喷房的车型信息队列通过RFID总线形式传给机器人系统，机器人系统将来自AVI的信息与数据库生产计划信息比较，最后经过拍照、光电、超声波等选其一方式识别车型，验证符合后，将车身携带的车型、颜色、天窗、非天窗及附加信息传至该区域内的车身信息栏内，同时将颜色信息传给机器人系统，车型信息依次传递。提供识别比对的程序源程序提交1份电子档和纸文档给</w:t>
      </w:r>
      <w:r>
        <w:rPr>
          <w:rFonts w:hint="eastAsia" w:ascii="宋体" w:hAnsi="宋体" w:cs="宋体"/>
          <w:lang w:eastAsia="zh-CN"/>
        </w:rPr>
        <w:t>招标人</w:t>
      </w:r>
      <w:r>
        <w:rPr>
          <w:rFonts w:hint="eastAsia" w:ascii="宋体" w:hAnsi="宋体" w:eastAsia="宋体" w:cs="宋体"/>
        </w:rPr>
        <w:t>。MES系统通过读取载码体信息进行比对。</w:t>
      </w:r>
    </w:p>
    <w:p w14:paraId="101C33CF">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自动化喷涂工位（UBS、UBC、B1、B2、CC工位）入口安装RFID读写设备，待喷车辆进入工位后，通过RFID设备读取当前车辆的喷涂数据，机器人喷漆系统将工位读取的数据与队列数据、MES数据及外部设备识别信息进行对比无误后，机器人开始按照要求进行喷涂。</w:t>
      </w:r>
    </w:p>
    <w:p w14:paraId="0066FA86">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站读车身信息数据，进行车辆跟踪，机器人自身识别系统进行参考比对，同时将车身信息上传至监控系统进行信息记录。如果车身数据与机器人自身识别系统数据不一致，产生报警信息，提示操作人员修改。提供修改操作面板，按照20种车型和颜色设置面板的操作按钮，套色按照1种颜色计算，冗余按钮</w:t>
      </w:r>
      <w:r>
        <w:rPr>
          <w:rFonts w:hint="eastAsia" w:ascii="宋体" w:hAnsi="宋体" w:cs="宋体"/>
          <w:lang w:eastAsia="zh-CN"/>
        </w:rPr>
        <w:t>投标人</w:t>
      </w:r>
      <w:r>
        <w:rPr>
          <w:rFonts w:hint="eastAsia" w:ascii="宋体" w:hAnsi="宋体" w:eastAsia="宋体" w:cs="宋体"/>
        </w:rPr>
        <w:t>通过程序调整或者增加硬件按钮实现。</w:t>
      </w:r>
    </w:p>
    <w:p w14:paraId="32F9B517">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自动喷涂装置站区室体门上须设置安全联锁开关，以保证维护人员人身安全。</w:t>
      </w:r>
    </w:p>
    <w:p w14:paraId="46DB4AEF">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自动喷涂装置站区出入口位置须设置传感器，以识别进入站区内的是人还是车。</w:t>
      </w:r>
    </w:p>
    <w:p w14:paraId="7436BC20">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系统控制程序及参数须能够备份及重新载入。当发生系统崩溃时，系统重装后可以载入备份，恢复到正常生产的状态（这包括操作系统，应用软件，仿形程序等）。</w:t>
      </w:r>
    </w:p>
    <w:p w14:paraId="45CF9FA8">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所有输送高压的管路或软管都必需针对喷漆室墙壁有足够的绝缘保护。所有机器人与控制柜之间的电缆连接，均采用快插接口（带插头插座），方便安装及维护。</w:t>
      </w:r>
    </w:p>
    <w:p w14:paraId="47A5D56D">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设计、安装时必须将动力电缆和通讯电缆分开，若不可避免在同一个线槽内，必须用隔板隔开，从而屏蔽电磁干扰。通讯电缆一定要屏蔽，且要做好相关的接地工作。</w:t>
      </w:r>
    </w:p>
    <w:p w14:paraId="6EE1A352">
      <w:pPr>
        <w:pStyle w:val="17"/>
        <w:pageBreakBefore w:val="0"/>
        <w:numPr>
          <w:ilvl w:val="0"/>
          <w:numId w:val="17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电器柜应有良好的通风、防尘、防震和空调温控装置，且具备抗高次谐波干扰功能。</w:t>
      </w:r>
    </w:p>
    <w:p w14:paraId="4D81695F">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设备要求</w:t>
      </w:r>
    </w:p>
    <w:p w14:paraId="50722D2F">
      <w:pPr>
        <w:pStyle w:val="17"/>
        <w:pageBreakBefore w:val="0"/>
        <w:numPr>
          <w:ilvl w:val="0"/>
          <w:numId w:val="18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机器人本体部分</w:t>
      </w:r>
    </w:p>
    <w:p w14:paraId="037931E5">
      <w:pPr>
        <w:pStyle w:val="17"/>
        <w:pageBreakBefore w:val="0"/>
        <w:numPr>
          <w:ilvl w:val="0"/>
          <w:numId w:val="18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所有喷涂机器人具备喷涂区域防爆等级要求，及防护等级要求。</w:t>
      </w:r>
    </w:p>
    <w:p w14:paraId="39496707">
      <w:pPr>
        <w:pStyle w:val="17"/>
        <w:pageBreakBefore w:val="0"/>
        <w:numPr>
          <w:ilvl w:val="0"/>
          <w:numId w:val="18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本体所有表面应光滑洁净。同时能够较容易地进行擦拭或清洗，并保证擦拭或清洗溶剂不会污染或损害内部元件。</w:t>
      </w:r>
    </w:p>
    <w:p w14:paraId="2CEB24DE">
      <w:pPr>
        <w:pStyle w:val="17"/>
        <w:pageBreakBefore w:val="0"/>
        <w:numPr>
          <w:ilvl w:val="0"/>
          <w:numId w:val="18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最高移动速度不得低于1200mm/s。并且在发生异常时须在0.5s内停止运动。当移去电源时，所有刹车系统应默认处于“ON”（使用）状态。通过相应按钮或示教器控制可以释放相应轴的抱闸（考虑安全问题，2、3 轴不能释放）。</w:t>
      </w:r>
    </w:p>
    <w:p w14:paraId="3B0B4804">
      <w:pPr>
        <w:pStyle w:val="17"/>
        <w:pageBreakBefore w:val="0"/>
        <w:numPr>
          <w:ilvl w:val="0"/>
          <w:numId w:val="18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轴关节要求</w:t>
      </w:r>
    </w:p>
    <w:p w14:paraId="5509F816">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所有轴关节处均为密封结构，以避免漆雾或擦拭溶剂污染轴关节内部或由此滴出油脂而污染车身。其它任何需要润滑的点应维护方便。</w:t>
      </w:r>
    </w:p>
    <w:p w14:paraId="2E01D632">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轴关节内部不得对贯穿的管路、线束等有磨损情况。</w:t>
      </w:r>
    </w:p>
    <w:p w14:paraId="72D404E6">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轴均应由伺服电机提供动力。这些电机应遵循完全封闭及自冷的原则。同时，其设计应保证不得干扰通讯系统信息。伺服系统应设计具有保护及警告电路，可以保护机器人及伺服电机免于遭受过电压、过电流、不正确操作及浪涌能量的损害。</w:t>
      </w:r>
    </w:p>
    <w:p w14:paraId="5B0D88D9">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各轴联动定位精度不得高于0.1mm，路径精度不得高于3mm。</w:t>
      </w:r>
    </w:p>
    <w:p w14:paraId="661B7ED5">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所有的轴均应含有可设定的软极限位置，以限制机器人操作超行程。在超行程运行时机器人切断驱动电源停止运动。</w:t>
      </w:r>
    </w:p>
    <w:p w14:paraId="0466AF85">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除手腕轴外，机器人各主要运动轴上均配有自动零点校准功能，一旦机器人失去零点，可通过示教板操作很方便地将机器人归零，提供调零工具。</w:t>
      </w:r>
    </w:p>
    <w:p w14:paraId="7E0787F8">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体各主要部件之间的电缆或软管（例如，垂直臂，水平臂，腕部等）必须进行编号/设标记且须满足防水要求，以方便拆卸且避免短路并防止腐蚀。同时所有电缆或软管均应安置于机器人内部（至少4至6轴不得有任何外露管线），并且设计结构须能保证在喷涂作业时管线所受的最大扭矩和弯曲应力在额定范围以内，此外不允许出现任何擦碰。管线正常使用寿命不得低于2年。</w:t>
      </w:r>
    </w:p>
    <w:p w14:paraId="2A15BE2C">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所有标准润滑点均应使用永久性标签进行清楚地标识。当机器人处于预定的润滑姿势时，使用标准润滑工具，即可轻松进入。 </w:t>
      </w:r>
    </w:p>
    <w:p w14:paraId="72F15B81">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所有润滑油脂不得泄露到生产过程当中。</w:t>
      </w:r>
    </w:p>
    <w:p w14:paraId="79FFCDE1">
      <w:pPr>
        <w:pStyle w:val="17"/>
        <w:pageBreakBefore w:val="0"/>
        <w:numPr>
          <w:ilvl w:val="0"/>
          <w:numId w:val="18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本体应设有良好的接地，接地电阻不得高于100Ω。</w:t>
      </w:r>
    </w:p>
    <w:p w14:paraId="10E5691D">
      <w:pPr>
        <w:pStyle w:val="17"/>
        <w:pageBreakBefore w:val="0"/>
        <w:numPr>
          <w:ilvl w:val="0"/>
          <w:numId w:val="18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示教器</w:t>
      </w:r>
    </w:p>
    <w:p w14:paraId="575347CE">
      <w:pPr>
        <w:pStyle w:val="17"/>
        <w:pageBreakBefore w:val="0"/>
        <w:numPr>
          <w:ilvl w:val="0"/>
          <w:numId w:val="18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符合CE标准。</w:t>
      </w:r>
    </w:p>
    <w:p w14:paraId="3813D004">
      <w:pPr>
        <w:pStyle w:val="17"/>
        <w:pageBreakBefore w:val="0"/>
        <w:numPr>
          <w:ilvl w:val="0"/>
          <w:numId w:val="18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作为单体与机器人可以实现方便拆卸。</w:t>
      </w:r>
    </w:p>
    <w:p w14:paraId="76479B27">
      <w:pPr>
        <w:pStyle w:val="17"/>
        <w:pageBreakBefore w:val="0"/>
        <w:numPr>
          <w:ilvl w:val="0"/>
          <w:numId w:val="18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电缆长度应能满足示教使用并留有余量，示教器电缆长度能够到达示教车身任意位置。</w:t>
      </w:r>
    </w:p>
    <w:p w14:paraId="21DF780C">
      <w:pPr>
        <w:pStyle w:val="17"/>
        <w:pageBreakBefore w:val="0"/>
        <w:numPr>
          <w:ilvl w:val="0"/>
          <w:numId w:val="18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示教盘及管线均应耐溶剂腐蚀，且便于清洁。</w:t>
      </w:r>
    </w:p>
    <w:p w14:paraId="5D0C30BC">
      <w:pPr>
        <w:pStyle w:val="17"/>
        <w:pageBreakBefore w:val="0"/>
        <w:numPr>
          <w:ilvl w:val="0"/>
          <w:numId w:val="18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示教盘及管线应统一设置盘挂点，确保美观大方、一致性。</w:t>
      </w:r>
    </w:p>
    <w:p w14:paraId="2FF9E81F">
      <w:pPr>
        <w:pStyle w:val="17"/>
        <w:pageBreakBefore w:val="0"/>
        <w:numPr>
          <w:ilvl w:val="0"/>
          <w:numId w:val="18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操作简单方便，语言采用英文/中文。</w:t>
      </w:r>
    </w:p>
    <w:p w14:paraId="62D9200F">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离子风站：</w:t>
      </w:r>
      <w:r>
        <w:rPr>
          <w:rFonts w:hint="eastAsia" w:ascii="宋体" w:hAnsi="宋体" w:eastAsia="宋体" w:cs="宋体"/>
          <w:color w:val="auto"/>
          <w:lang w:val="en-US" w:eastAsia="zh-CN"/>
        </w:rPr>
        <w:t>1</w:t>
      </w:r>
      <w:r>
        <w:rPr>
          <w:rFonts w:hint="eastAsia" w:ascii="宋体" w:hAnsi="宋体" w:eastAsia="宋体" w:cs="宋体"/>
          <w:color w:val="auto"/>
        </w:rPr>
        <w:t>个</w:t>
      </w:r>
      <w:r>
        <w:rPr>
          <w:rFonts w:hint="eastAsia" w:ascii="宋体" w:hAnsi="宋体" w:eastAsia="宋体" w:cs="宋体"/>
        </w:rPr>
        <w:t>离子风站，安装在中涂B1喷房入口处。</w:t>
      </w:r>
    </w:p>
    <w:tbl>
      <w:tblPr>
        <w:tblStyle w:val="45"/>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253"/>
        <w:gridCol w:w="2554"/>
        <w:gridCol w:w="2410"/>
        <w:gridCol w:w="2433"/>
      </w:tblGrid>
      <w:tr w14:paraId="62831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167" w:type="pct"/>
            <w:vAlign w:val="center"/>
          </w:tcPr>
          <w:p w14:paraId="12546EA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序号</w:t>
            </w:r>
          </w:p>
        </w:tc>
        <w:tc>
          <w:tcPr>
            <w:tcW w:w="1323" w:type="pct"/>
            <w:vAlign w:val="center"/>
          </w:tcPr>
          <w:p w14:paraId="365D61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设备</w:t>
            </w:r>
          </w:p>
        </w:tc>
        <w:tc>
          <w:tcPr>
            <w:tcW w:w="1248" w:type="pct"/>
            <w:vAlign w:val="center"/>
          </w:tcPr>
          <w:p w14:paraId="5B6535F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数量</w:t>
            </w:r>
          </w:p>
        </w:tc>
        <w:tc>
          <w:tcPr>
            <w:tcW w:w="1260" w:type="pct"/>
            <w:vAlign w:val="center"/>
          </w:tcPr>
          <w:p w14:paraId="6A9FB3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备注</w:t>
            </w:r>
          </w:p>
        </w:tc>
      </w:tr>
      <w:tr w14:paraId="606B2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7" w:hRule="atLeast"/>
        </w:trPr>
        <w:tc>
          <w:tcPr>
            <w:tcW w:w="1167" w:type="pct"/>
            <w:vAlign w:val="center"/>
          </w:tcPr>
          <w:p w14:paraId="27D71EC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1</w:t>
            </w:r>
          </w:p>
        </w:tc>
        <w:tc>
          <w:tcPr>
            <w:tcW w:w="1323" w:type="pct"/>
            <w:vAlign w:val="center"/>
          </w:tcPr>
          <w:p w14:paraId="46AC6A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龙门架</w:t>
            </w:r>
          </w:p>
        </w:tc>
        <w:tc>
          <w:tcPr>
            <w:tcW w:w="1248" w:type="pct"/>
            <w:vAlign w:val="center"/>
          </w:tcPr>
          <w:p w14:paraId="08A758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1</w:t>
            </w:r>
          </w:p>
        </w:tc>
        <w:tc>
          <w:tcPr>
            <w:tcW w:w="1260" w:type="pct"/>
            <w:vAlign w:val="center"/>
          </w:tcPr>
          <w:p w14:paraId="66A98E9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p>
        </w:tc>
      </w:tr>
      <w:tr w14:paraId="31746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9" w:hRule="atLeast"/>
        </w:trPr>
        <w:tc>
          <w:tcPr>
            <w:tcW w:w="1167" w:type="pct"/>
            <w:vAlign w:val="center"/>
          </w:tcPr>
          <w:p w14:paraId="5E2112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2</w:t>
            </w:r>
          </w:p>
        </w:tc>
        <w:tc>
          <w:tcPr>
            <w:tcW w:w="1323" w:type="pct"/>
            <w:vAlign w:val="center"/>
          </w:tcPr>
          <w:p w14:paraId="4DFA945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离子风电气设备</w:t>
            </w:r>
          </w:p>
        </w:tc>
        <w:tc>
          <w:tcPr>
            <w:tcW w:w="1248" w:type="pct"/>
            <w:vAlign w:val="center"/>
          </w:tcPr>
          <w:p w14:paraId="4AC28F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1</w:t>
            </w:r>
          </w:p>
        </w:tc>
        <w:tc>
          <w:tcPr>
            <w:tcW w:w="1260" w:type="pct"/>
            <w:vAlign w:val="center"/>
          </w:tcPr>
          <w:p w14:paraId="39B429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p>
        </w:tc>
      </w:tr>
      <w:tr w14:paraId="594E8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3" w:hRule="atLeast"/>
        </w:trPr>
        <w:tc>
          <w:tcPr>
            <w:tcW w:w="1167" w:type="pct"/>
            <w:vAlign w:val="center"/>
          </w:tcPr>
          <w:p w14:paraId="1FD7A95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3</w:t>
            </w:r>
          </w:p>
        </w:tc>
        <w:tc>
          <w:tcPr>
            <w:tcW w:w="1323" w:type="pct"/>
            <w:vAlign w:val="center"/>
          </w:tcPr>
          <w:p w14:paraId="790727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kern w:val="0"/>
                <w:sz w:val="24"/>
              </w:rPr>
              <w:t>离子风刀</w:t>
            </w:r>
          </w:p>
        </w:tc>
        <w:tc>
          <w:tcPr>
            <w:tcW w:w="1248" w:type="pct"/>
            <w:vAlign w:val="center"/>
          </w:tcPr>
          <w:p w14:paraId="5D4BE2B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r>
              <w:rPr>
                <w:rFonts w:hint="eastAsia" w:ascii="宋体" w:hAnsi="宋体" w:eastAsia="宋体" w:cs="宋体"/>
                <w:snapToGrid w:val="0"/>
                <w:color w:val="auto"/>
                <w:kern w:val="0"/>
                <w:sz w:val="24"/>
              </w:rPr>
              <w:t>3</w:t>
            </w:r>
          </w:p>
        </w:tc>
        <w:tc>
          <w:tcPr>
            <w:tcW w:w="1260" w:type="pct"/>
            <w:vAlign w:val="center"/>
          </w:tcPr>
          <w:p w14:paraId="240938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napToGrid w:val="0"/>
                <w:kern w:val="0"/>
                <w:sz w:val="24"/>
              </w:rPr>
            </w:pPr>
          </w:p>
        </w:tc>
      </w:tr>
    </w:tbl>
    <w:p w14:paraId="3266B020">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sz w:val="21"/>
          <w:szCs w:val="21"/>
        </w:rPr>
      </w:pPr>
    </w:p>
    <w:p w14:paraId="4ACE4E3F">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B0货箱内喷站：1台喷涂的机器人</w:t>
      </w:r>
    </w:p>
    <w:tbl>
      <w:tblPr>
        <w:tblStyle w:val="520"/>
        <w:tblW w:w="951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921"/>
        <w:gridCol w:w="1770"/>
        <w:gridCol w:w="4450"/>
        <w:gridCol w:w="1097"/>
        <w:gridCol w:w="1279"/>
      </w:tblGrid>
      <w:tr w14:paraId="502366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atLeast"/>
          <w:jc w:val="center"/>
        </w:trPr>
        <w:tc>
          <w:tcPr>
            <w:tcW w:w="921" w:type="dxa"/>
            <w:vAlign w:val="center"/>
          </w:tcPr>
          <w:p w14:paraId="66B0473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序号</w:t>
            </w:r>
          </w:p>
        </w:tc>
        <w:tc>
          <w:tcPr>
            <w:tcW w:w="1770" w:type="dxa"/>
            <w:vAlign w:val="center"/>
          </w:tcPr>
          <w:p w14:paraId="4DB36A3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设备</w:t>
            </w:r>
          </w:p>
        </w:tc>
        <w:tc>
          <w:tcPr>
            <w:tcW w:w="4450" w:type="dxa"/>
            <w:vAlign w:val="center"/>
          </w:tcPr>
          <w:p w14:paraId="5D3B249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详细内容</w:t>
            </w:r>
          </w:p>
        </w:tc>
        <w:tc>
          <w:tcPr>
            <w:tcW w:w="1097" w:type="dxa"/>
            <w:vAlign w:val="center"/>
          </w:tcPr>
          <w:p w14:paraId="3CB2221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数量</w:t>
            </w:r>
          </w:p>
        </w:tc>
        <w:tc>
          <w:tcPr>
            <w:tcW w:w="1279" w:type="dxa"/>
            <w:vAlign w:val="center"/>
          </w:tcPr>
          <w:p w14:paraId="033FA74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备注</w:t>
            </w:r>
          </w:p>
        </w:tc>
      </w:tr>
      <w:tr w14:paraId="5DE85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96" w:hRule="atLeast"/>
          <w:jc w:val="center"/>
        </w:trPr>
        <w:tc>
          <w:tcPr>
            <w:tcW w:w="921" w:type="dxa"/>
            <w:vMerge w:val="restart"/>
            <w:vAlign w:val="center"/>
          </w:tcPr>
          <w:p w14:paraId="5055A5F7">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w:t>
            </w:r>
          </w:p>
        </w:tc>
        <w:tc>
          <w:tcPr>
            <w:tcW w:w="1770" w:type="dxa"/>
            <w:vMerge w:val="restart"/>
            <w:vAlign w:val="center"/>
          </w:tcPr>
          <w:p w14:paraId="0C2B2C0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机器人系统</w:t>
            </w:r>
          </w:p>
        </w:tc>
        <w:tc>
          <w:tcPr>
            <w:tcW w:w="4450" w:type="dxa"/>
            <w:vAlign w:val="center"/>
          </w:tcPr>
          <w:p w14:paraId="1CF170D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喷涂机器人本体</w:t>
            </w:r>
          </w:p>
        </w:tc>
        <w:tc>
          <w:tcPr>
            <w:tcW w:w="1097" w:type="dxa"/>
            <w:vAlign w:val="center"/>
          </w:tcPr>
          <w:p w14:paraId="4626933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1台</w:t>
            </w:r>
          </w:p>
        </w:tc>
        <w:tc>
          <w:tcPr>
            <w:tcW w:w="1279" w:type="dxa"/>
            <w:vAlign w:val="center"/>
          </w:tcPr>
          <w:p w14:paraId="13B79C2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76582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064704C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78BB3C0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29334DE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喷涂机器人控制柜</w:t>
            </w:r>
          </w:p>
        </w:tc>
        <w:tc>
          <w:tcPr>
            <w:tcW w:w="1097" w:type="dxa"/>
            <w:vAlign w:val="center"/>
          </w:tcPr>
          <w:p w14:paraId="008938A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1台</w:t>
            </w:r>
          </w:p>
        </w:tc>
        <w:tc>
          <w:tcPr>
            <w:tcW w:w="1279" w:type="dxa"/>
            <w:vAlign w:val="center"/>
          </w:tcPr>
          <w:p w14:paraId="64DD408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30AF1F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58B204F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344596B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5FD83FE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示教器</w:t>
            </w:r>
          </w:p>
        </w:tc>
        <w:tc>
          <w:tcPr>
            <w:tcW w:w="1097" w:type="dxa"/>
            <w:vAlign w:val="center"/>
          </w:tcPr>
          <w:p w14:paraId="696FD16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7F10BAA9">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2FA09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7B4BD0B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2FC1ACB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5589876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电源电缆</w:t>
            </w:r>
          </w:p>
        </w:tc>
        <w:tc>
          <w:tcPr>
            <w:tcW w:w="1097" w:type="dxa"/>
            <w:vAlign w:val="center"/>
          </w:tcPr>
          <w:p w14:paraId="236049A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2CA77699">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2878F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1A6E99C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7C48352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6CD3475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七轴电机及驱动</w:t>
            </w:r>
          </w:p>
        </w:tc>
        <w:tc>
          <w:tcPr>
            <w:tcW w:w="1097" w:type="dxa"/>
            <w:vAlign w:val="center"/>
          </w:tcPr>
          <w:p w14:paraId="2CDB607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266E5E1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4220E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6B3F719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4E457DD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2D772A6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八轴旋转轴</w:t>
            </w:r>
          </w:p>
        </w:tc>
        <w:tc>
          <w:tcPr>
            <w:tcW w:w="1097" w:type="dxa"/>
            <w:vAlign w:val="center"/>
          </w:tcPr>
          <w:p w14:paraId="19BB08D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170E571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03CCF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29AE50D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3272990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43A0B5F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九轴旋转轴</w:t>
            </w:r>
          </w:p>
        </w:tc>
        <w:tc>
          <w:tcPr>
            <w:tcW w:w="1097" w:type="dxa"/>
            <w:vAlign w:val="center"/>
          </w:tcPr>
          <w:p w14:paraId="06091F3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44AE7F4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0148B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8" w:hRule="atLeast"/>
          <w:jc w:val="center"/>
        </w:trPr>
        <w:tc>
          <w:tcPr>
            <w:tcW w:w="921" w:type="dxa"/>
            <w:vMerge w:val="continue"/>
            <w:vAlign w:val="center"/>
          </w:tcPr>
          <w:p w14:paraId="5F659C9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22A9410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71BCCE1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机器人防护服</w:t>
            </w:r>
          </w:p>
        </w:tc>
        <w:tc>
          <w:tcPr>
            <w:tcW w:w="1097" w:type="dxa"/>
            <w:vAlign w:val="center"/>
          </w:tcPr>
          <w:p w14:paraId="158437F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2套</w:t>
            </w:r>
          </w:p>
        </w:tc>
        <w:tc>
          <w:tcPr>
            <w:tcW w:w="1279" w:type="dxa"/>
            <w:vAlign w:val="center"/>
          </w:tcPr>
          <w:p w14:paraId="190E917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509E5B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8" w:hRule="atLeast"/>
          <w:jc w:val="center"/>
        </w:trPr>
        <w:tc>
          <w:tcPr>
            <w:tcW w:w="921" w:type="dxa"/>
            <w:vMerge w:val="continue"/>
            <w:vAlign w:val="center"/>
          </w:tcPr>
          <w:p w14:paraId="11912007">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13CFE3F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6BADC6C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跟踪板</w:t>
            </w:r>
          </w:p>
        </w:tc>
        <w:tc>
          <w:tcPr>
            <w:tcW w:w="1097" w:type="dxa"/>
            <w:vAlign w:val="center"/>
          </w:tcPr>
          <w:p w14:paraId="3612186D">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3D81F35D">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46928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restart"/>
            <w:vAlign w:val="center"/>
          </w:tcPr>
          <w:p w14:paraId="7E105CA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2</w:t>
            </w:r>
          </w:p>
        </w:tc>
        <w:tc>
          <w:tcPr>
            <w:tcW w:w="1770" w:type="dxa"/>
            <w:vMerge w:val="restart"/>
            <w:vAlign w:val="center"/>
          </w:tcPr>
          <w:p w14:paraId="6A2B0F4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机器人底座</w:t>
            </w:r>
          </w:p>
        </w:tc>
        <w:tc>
          <w:tcPr>
            <w:tcW w:w="4450" w:type="dxa"/>
            <w:vAlign w:val="center"/>
          </w:tcPr>
          <w:p w14:paraId="42C0022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基础架台</w:t>
            </w:r>
          </w:p>
        </w:tc>
        <w:tc>
          <w:tcPr>
            <w:tcW w:w="1097" w:type="dxa"/>
            <w:vAlign w:val="center"/>
          </w:tcPr>
          <w:p w14:paraId="0DD3B55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2套</w:t>
            </w:r>
          </w:p>
        </w:tc>
        <w:tc>
          <w:tcPr>
            <w:tcW w:w="1279" w:type="dxa"/>
            <w:vAlign w:val="center"/>
          </w:tcPr>
          <w:p w14:paraId="49B78A8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132EB2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76" w:hRule="atLeast"/>
          <w:jc w:val="center"/>
        </w:trPr>
        <w:tc>
          <w:tcPr>
            <w:tcW w:w="921" w:type="dxa"/>
            <w:vMerge w:val="continue"/>
            <w:vAlign w:val="center"/>
          </w:tcPr>
          <w:p w14:paraId="3F11DBE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6967C80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301E47BD">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内喷器人外部轴轨道</w:t>
            </w:r>
          </w:p>
        </w:tc>
        <w:tc>
          <w:tcPr>
            <w:tcW w:w="1097" w:type="dxa"/>
            <w:vAlign w:val="center"/>
          </w:tcPr>
          <w:p w14:paraId="23DBE81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7BD4FE8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4282C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77" w:hRule="atLeast"/>
          <w:jc w:val="center"/>
        </w:trPr>
        <w:tc>
          <w:tcPr>
            <w:tcW w:w="921" w:type="dxa"/>
            <w:vMerge w:val="restart"/>
            <w:vAlign w:val="center"/>
          </w:tcPr>
          <w:p w14:paraId="5899512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3</w:t>
            </w:r>
          </w:p>
        </w:tc>
        <w:tc>
          <w:tcPr>
            <w:tcW w:w="1770" w:type="dxa"/>
            <w:vMerge w:val="restart"/>
            <w:vAlign w:val="center"/>
          </w:tcPr>
          <w:p w14:paraId="118CBC7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自动喷涂设备</w:t>
            </w:r>
          </w:p>
        </w:tc>
        <w:tc>
          <w:tcPr>
            <w:tcW w:w="4450" w:type="dxa"/>
            <w:vAlign w:val="center"/>
          </w:tcPr>
          <w:p w14:paraId="48F0764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无静电双头空气喷枪</w:t>
            </w:r>
          </w:p>
        </w:tc>
        <w:tc>
          <w:tcPr>
            <w:tcW w:w="1097" w:type="dxa"/>
            <w:vAlign w:val="center"/>
          </w:tcPr>
          <w:p w14:paraId="523B067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0923A18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74AC8A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34" w:hRule="atLeast"/>
          <w:jc w:val="center"/>
        </w:trPr>
        <w:tc>
          <w:tcPr>
            <w:tcW w:w="921" w:type="dxa"/>
            <w:vMerge w:val="continue"/>
            <w:vAlign w:val="center"/>
          </w:tcPr>
          <w:p w14:paraId="1BBB773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68712B7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2CFF13C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齿轮泵6cc（带进出口压力传感器）</w:t>
            </w:r>
          </w:p>
        </w:tc>
        <w:tc>
          <w:tcPr>
            <w:tcW w:w="1097" w:type="dxa"/>
            <w:vAlign w:val="center"/>
          </w:tcPr>
          <w:p w14:paraId="09B05F4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19919AC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4CACCD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1BC1662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38E1AFE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30425CB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齿轮泵用伺服电机减速机</w:t>
            </w:r>
          </w:p>
        </w:tc>
        <w:tc>
          <w:tcPr>
            <w:tcW w:w="1097" w:type="dxa"/>
            <w:vAlign w:val="center"/>
          </w:tcPr>
          <w:p w14:paraId="513CAD8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7D6D5E7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5C491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594A896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672B7237">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71B9FF0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换色阀（</w:t>
            </w:r>
            <w:r>
              <w:rPr>
                <w:rFonts w:hint="eastAsia" w:ascii="宋体" w:hAnsi="宋体" w:eastAsia="宋体" w:cs="宋体"/>
                <w:color w:val="auto"/>
                <w:lang w:val="en-US" w:eastAsia="zh-CN"/>
              </w:rPr>
              <w:t>8</w:t>
            </w:r>
            <w:r>
              <w:rPr>
                <w:rFonts w:hint="eastAsia" w:ascii="宋体" w:hAnsi="宋体" w:eastAsia="宋体" w:cs="宋体"/>
                <w:color w:val="auto"/>
                <w:lang w:eastAsia="en-US"/>
              </w:rPr>
              <w:t>色/套）</w:t>
            </w:r>
          </w:p>
        </w:tc>
        <w:tc>
          <w:tcPr>
            <w:tcW w:w="1097" w:type="dxa"/>
            <w:vAlign w:val="center"/>
          </w:tcPr>
          <w:p w14:paraId="6EDB905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743E3FA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66521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6" w:hRule="atLeast"/>
          <w:jc w:val="center"/>
        </w:trPr>
        <w:tc>
          <w:tcPr>
            <w:tcW w:w="921" w:type="dxa"/>
            <w:vMerge w:val="continue"/>
            <w:vAlign w:val="center"/>
          </w:tcPr>
          <w:p w14:paraId="38129DF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2526ADC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5AF26F3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稳流阀</w:t>
            </w:r>
          </w:p>
        </w:tc>
        <w:tc>
          <w:tcPr>
            <w:tcW w:w="1097" w:type="dxa"/>
            <w:vAlign w:val="center"/>
          </w:tcPr>
          <w:p w14:paraId="70D8622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091A443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36B32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7" w:hRule="atLeast"/>
          <w:jc w:val="center"/>
        </w:trPr>
        <w:tc>
          <w:tcPr>
            <w:tcW w:w="921" w:type="dxa"/>
            <w:vMerge w:val="restart"/>
            <w:vAlign w:val="center"/>
          </w:tcPr>
          <w:p w14:paraId="17F1F7C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4</w:t>
            </w:r>
          </w:p>
        </w:tc>
        <w:tc>
          <w:tcPr>
            <w:tcW w:w="1770" w:type="dxa"/>
            <w:vMerge w:val="restart"/>
            <w:vAlign w:val="center"/>
          </w:tcPr>
          <w:p w14:paraId="2B10960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控制系统</w:t>
            </w:r>
          </w:p>
        </w:tc>
        <w:tc>
          <w:tcPr>
            <w:tcW w:w="4450" w:type="dxa"/>
            <w:vAlign w:val="center"/>
          </w:tcPr>
          <w:p w14:paraId="170979D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上位机操作系统</w:t>
            </w:r>
          </w:p>
        </w:tc>
        <w:tc>
          <w:tcPr>
            <w:tcW w:w="1097" w:type="dxa"/>
            <w:vAlign w:val="center"/>
          </w:tcPr>
          <w:p w14:paraId="5240989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17652D3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523F8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596D81B3">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138DEA7B">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7E005C0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气控柜（含过滤器、增压器）</w:t>
            </w:r>
          </w:p>
        </w:tc>
        <w:tc>
          <w:tcPr>
            <w:tcW w:w="1097" w:type="dxa"/>
            <w:vAlign w:val="center"/>
          </w:tcPr>
          <w:p w14:paraId="4EBC36B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0A8A972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004388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5" w:hRule="atLeast"/>
          <w:jc w:val="center"/>
        </w:trPr>
        <w:tc>
          <w:tcPr>
            <w:tcW w:w="921" w:type="dxa"/>
            <w:vMerge w:val="continue"/>
            <w:vAlign w:val="center"/>
          </w:tcPr>
          <w:p w14:paraId="278B263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52477517">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47FC638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PLC系统</w:t>
            </w:r>
          </w:p>
        </w:tc>
        <w:tc>
          <w:tcPr>
            <w:tcW w:w="1097" w:type="dxa"/>
            <w:vAlign w:val="center"/>
          </w:tcPr>
          <w:p w14:paraId="20D4164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6C07373D">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36A66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7" w:hRule="atLeast"/>
          <w:jc w:val="center"/>
        </w:trPr>
        <w:tc>
          <w:tcPr>
            <w:tcW w:w="921" w:type="dxa"/>
            <w:vMerge w:val="restart"/>
            <w:vAlign w:val="center"/>
          </w:tcPr>
          <w:p w14:paraId="469A61C2">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5</w:t>
            </w:r>
          </w:p>
        </w:tc>
        <w:tc>
          <w:tcPr>
            <w:tcW w:w="1770" w:type="dxa"/>
            <w:vMerge w:val="restart"/>
            <w:vAlign w:val="center"/>
          </w:tcPr>
          <w:p w14:paraId="60AFA98D">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启动/安全系统</w:t>
            </w:r>
          </w:p>
        </w:tc>
        <w:tc>
          <w:tcPr>
            <w:tcW w:w="4450" w:type="dxa"/>
            <w:vAlign w:val="center"/>
          </w:tcPr>
          <w:p w14:paraId="4F91821C">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启动/安全开关</w:t>
            </w:r>
          </w:p>
        </w:tc>
        <w:tc>
          <w:tcPr>
            <w:tcW w:w="1097" w:type="dxa"/>
            <w:vAlign w:val="center"/>
          </w:tcPr>
          <w:p w14:paraId="1B2CCF69">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32EDC6B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087D4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3" w:hRule="atLeast"/>
          <w:jc w:val="center"/>
        </w:trPr>
        <w:tc>
          <w:tcPr>
            <w:tcW w:w="921" w:type="dxa"/>
            <w:vMerge w:val="continue"/>
            <w:vAlign w:val="center"/>
          </w:tcPr>
          <w:p w14:paraId="7F6012D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4C6B25E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095FF09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进出口安全光幕</w:t>
            </w:r>
          </w:p>
        </w:tc>
        <w:tc>
          <w:tcPr>
            <w:tcW w:w="1097" w:type="dxa"/>
            <w:vAlign w:val="center"/>
          </w:tcPr>
          <w:p w14:paraId="725A07A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6B39CF5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5B662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67" w:hRule="atLeast"/>
          <w:jc w:val="center"/>
        </w:trPr>
        <w:tc>
          <w:tcPr>
            <w:tcW w:w="921" w:type="dxa"/>
            <w:vMerge w:val="continue"/>
            <w:vAlign w:val="center"/>
          </w:tcPr>
          <w:p w14:paraId="24254A0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770" w:type="dxa"/>
            <w:vMerge w:val="continue"/>
            <w:vAlign w:val="center"/>
          </w:tcPr>
          <w:p w14:paraId="1B5ABE35">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4450" w:type="dxa"/>
            <w:vAlign w:val="center"/>
          </w:tcPr>
          <w:p w14:paraId="4787FADF">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高压报警灯</w:t>
            </w:r>
          </w:p>
        </w:tc>
        <w:tc>
          <w:tcPr>
            <w:tcW w:w="1097" w:type="dxa"/>
            <w:vAlign w:val="center"/>
          </w:tcPr>
          <w:p w14:paraId="1538DA46">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5892FB80">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2BB04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95" w:hRule="atLeast"/>
          <w:jc w:val="center"/>
        </w:trPr>
        <w:tc>
          <w:tcPr>
            <w:tcW w:w="921" w:type="dxa"/>
            <w:vAlign w:val="center"/>
          </w:tcPr>
          <w:p w14:paraId="58AC9BD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6</w:t>
            </w:r>
          </w:p>
        </w:tc>
        <w:tc>
          <w:tcPr>
            <w:tcW w:w="1770" w:type="dxa"/>
            <w:vAlign w:val="center"/>
          </w:tcPr>
          <w:p w14:paraId="57594F1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喷枪清洗机</w:t>
            </w:r>
          </w:p>
        </w:tc>
        <w:tc>
          <w:tcPr>
            <w:tcW w:w="4450" w:type="dxa"/>
            <w:vAlign w:val="center"/>
          </w:tcPr>
          <w:p w14:paraId="47F2606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097" w:type="dxa"/>
            <w:vAlign w:val="center"/>
          </w:tcPr>
          <w:p w14:paraId="13FD0558">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2BC10AE4">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r w14:paraId="28CCD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00" w:hRule="atLeast"/>
          <w:jc w:val="center"/>
        </w:trPr>
        <w:tc>
          <w:tcPr>
            <w:tcW w:w="921" w:type="dxa"/>
            <w:vAlign w:val="center"/>
          </w:tcPr>
          <w:p w14:paraId="0F0AC6DA">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7</w:t>
            </w:r>
          </w:p>
        </w:tc>
        <w:tc>
          <w:tcPr>
            <w:tcW w:w="1770" w:type="dxa"/>
            <w:vAlign w:val="center"/>
          </w:tcPr>
          <w:p w14:paraId="49EEBE31">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废液回收盘</w:t>
            </w:r>
          </w:p>
        </w:tc>
        <w:tc>
          <w:tcPr>
            <w:tcW w:w="4450" w:type="dxa"/>
            <w:vAlign w:val="center"/>
          </w:tcPr>
          <w:p w14:paraId="27B680A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c>
          <w:tcPr>
            <w:tcW w:w="1097" w:type="dxa"/>
            <w:vAlign w:val="center"/>
          </w:tcPr>
          <w:p w14:paraId="726763AD">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r>
              <w:rPr>
                <w:rFonts w:hint="eastAsia" w:ascii="宋体" w:hAnsi="宋体" w:eastAsia="宋体" w:cs="宋体"/>
                <w:color w:val="auto"/>
                <w:lang w:eastAsia="en-US"/>
              </w:rPr>
              <w:t>1套</w:t>
            </w:r>
          </w:p>
        </w:tc>
        <w:tc>
          <w:tcPr>
            <w:tcW w:w="1279" w:type="dxa"/>
            <w:vAlign w:val="center"/>
          </w:tcPr>
          <w:p w14:paraId="3CD2B1BE">
            <w:pPr>
              <w:pStyle w:val="210"/>
              <w:keepNext w:val="0"/>
              <w:keepLines w:val="0"/>
              <w:pageBreakBefore w:val="0"/>
              <w:widowControl w:val="0"/>
              <w:kinsoku/>
              <w:wordWrap/>
              <w:overflowPunct/>
              <w:topLinePunct w:val="0"/>
              <w:autoSpaceDE w:val="0"/>
              <w:autoSpaceDN w:val="0"/>
              <w:bidi w:val="0"/>
              <w:adjustRightInd w:val="0"/>
              <w:snapToGrid w:val="0"/>
              <w:spacing w:after="200" w:afterAutospacing="0" w:line="240" w:lineRule="auto"/>
              <w:ind w:left="0" w:leftChars="0" w:firstLine="0" w:firstLineChars="0"/>
              <w:jc w:val="center"/>
              <w:textAlignment w:val="auto"/>
              <w:rPr>
                <w:rFonts w:hint="eastAsia" w:ascii="宋体" w:hAnsi="宋体" w:eastAsia="宋体" w:cs="宋体"/>
                <w:color w:val="auto"/>
                <w:lang w:eastAsia="en-US"/>
              </w:rPr>
            </w:pPr>
          </w:p>
        </w:tc>
      </w:tr>
    </w:tbl>
    <w:p w14:paraId="12797262">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sz w:val="21"/>
          <w:szCs w:val="21"/>
        </w:rPr>
      </w:pPr>
    </w:p>
    <w:tbl>
      <w:tblPr>
        <w:tblStyle w:val="44"/>
        <w:tblpPr w:leftFromText="180" w:rightFromText="180" w:vertAnchor="text" w:horzAnchor="page" w:tblpX="1333" w:tblpY="44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219"/>
        <w:gridCol w:w="2892"/>
        <w:gridCol w:w="686"/>
        <w:gridCol w:w="1924"/>
        <w:gridCol w:w="2477"/>
      </w:tblGrid>
      <w:tr w14:paraId="0C1DA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36" w:type="pct"/>
            <w:shd w:val="clear" w:color="auto" w:fill="auto"/>
            <w:vAlign w:val="center"/>
          </w:tcPr>
          <w:p w14:paraId="0285A6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序号</w:t>
            </w:r>
          </w:p>
        </w:tc>
        <w:tc>
          <w:tcPr>
            <w:tcW w:w="631" w:type="pct"/>
            <w:shd w:val="clear" w:color="auto" w:fill="auto"/>
            <w:vAlign w:val="center"/>
          </w:tcPr>
          <w:p w14:paraId="7B10C4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设备</w:t>
            </w:r>
          </w:p>
        </w:tc>
        <w:tc>
          <w:tcPr>
            <w:tcW w:w="1497" w:type="pct"/>
            <w:shd w:val="clear" w:color="auto" w:fill="auto"/>
            <w:vAlign w:val="center"/>
          </w:tcPr>
          <w:p w14:paraId="746DA63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详细内容</w:t>
            </w:r>
          </w:p>
        </w:tc>
        <w:tc>
          <w:tcPr>
            <w:tcW w:w="355" w:type="pct"/>
            <w:shd w:val="clear" w:color="auto" w:fill="auto"/>
            <w:vAlign w:val="center"/>
          </w:tcPr>
          <w:p w14:paraId="27195D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数量</w:t>
            </w:r>
          </w:p>
        </w:tc>
        <w:tc>
          <w:tcPr>
            <w:tcW w:w="996" w:type="pct"/>
            <w:shd w:val="clear" w:color="auto" w:fill="auto"/>
            <w:vAlign w:val="center"/>
          </w:tcPr>
          <w:p w14:paraId="3D5AD157">
            <w:pPr>
              <w:pStyle w:val="210"/>
              <w:pageBreakBefore w:val="0"/>
              <w:kinsoku/>
              <w:wordWrap/>
              <w:topLinePunct w:val="0"/>
              <w:bidi w:val="0"/>
              <w:adjustRightInd w:val="0"/>
              <w:snapToGrid w:val="0"/>
              <w:spacing w:afterAutospacing="0" w:line="240" w:lineRule="auto"/>
              <w:ind w:left="0" w:leftChars="0" w:firstLine="0" w:firstLineChars="0"/>
              <w:jc w:val="center"/>
            </w:pPr>
            <w:r>
              <w:rPr>
                <w:rFonts w:hint="eastAsia" w:ascii="宋体" w:hAnsi="宋体" w:eastAsia="宋体" w:cs="宋体"/>
                <w:color w:val="auto"/>
              </w:rPr>
              <w:t>品牌</w:t>
            </w:r>
          </w:p>
          <w:p w14:paraId="05B9E0F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cs="宋体"/>
                <w:color w:val="auto"/>
                <w:lang w:val="en-US" w:eastAsia="zh-CN"/>
              </w:rPr>
              <w:t>详见外购件品牌清单</w:t>
            </w:r>
          </w:p>
        </w:tc>
        <w:tc>
          <w:tcPr>
            <w:tcW w:w="1282" w:type="pct"/>
            <w:shd w:val="clear" w:color="auto" w:fill="auto"/>
            <w:vAlign w:val="center"/>
          </w:tcPr>
          <w:p w14:paraId="63BDBEB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备注</w:t>
            </w:r>
          </w:p>
        </w:tc>
      </w:tr>
      <w:tr w14:paraId="34CC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restart"/>
            <w:shd w:val="clear" w:color="auto" w:fill="auto"/>
            <w:vAlign w:val="center"/>
          </w:tcPr>
          <w:p w14:paraId="22C0266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w:t>
            </w:r>
          </w:p>
        </w:tc>
        <w:tc>
          <w:tcPr>
            <w:tcW w:w="631" w:type="pct"/>
            <w:vMerge w:val="restart"/>
            <w:shd w:val="clear" w:color="auto" w:fill="auto"/>
            <w:vAlign w:val="center"/>
          </w:tcPr>
          <w:p w14:paraId="535D191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喷涂机器人</w:t>
            </w:r>
          </w:p>
        </w:tc>
        <w:tc>
          <w:tcPr>
            <w:tcW w:w="1497" w:type="pct"/>
            <w:shd w:val="clear" w:color="auto" w:fill="auto"/>
            <w:vAlign w:val="center"/>
          </w:tcPr>
          <w:p w14:paraId="58FA58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机器人本体，防爆，壁挂式， 带工艺臂</w:t>
            </w:r>
          </w:p>
        </w:tc>
        <w:tc>
          <w:tcPr>
            <w:tcW w:w="355" w:type="pct"/>
            <w:shd w:val="clear" w:color="auto" w:fill="auto"/>
            <w:vAlign w:val="center"/>
          </w:tcPr>
          <w:p w14:paraId="0CA0806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5AE388E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7CA2B62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51068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18B7E5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75A36D3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249FC7F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机器人与机器人控制柜间专用电缆</w:t>
            </w:r>
          </w:p>
        </w:tc>
        <w:tc>
          <w:tcPr>
            <w:tcW w:w="355" w:type="pct"/>
            <w:shd w:val="clear" w:color="auto" w:fill="auto"/>
            <w:vAlign w:val="center"/>
          </w:tcPr>
          <w:p w14:paraId="22ACD6C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62E6917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717EEC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5EA0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2BB4A9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5DE99A3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0E2D1AE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机器人防爆吹扫单元</w:t>
            </w:r>
          </w:p>
        </w:tc>
        <w:tc>
          <w:tcPr>
            <w:tcW w:w="355" w:type="pct"/>
            <w:shd w:val="clear" w:color="auto" w:fill="auto"/>
            <w:vAlign w:val="center"/>
          </w:tcPr>
          <w:p w14:paraId="69FBF2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32893DC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3AB2BE0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681F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3564BD3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51231B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3B27BA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AU"/>
              </w:rPr>
              <w:t>整形1空气比例阀控制系统</w:t>
            </w:r>
          </w:p>
        </w:tc>
        <w:tc>
          <w:tcPr>
            <w:tcW w:w="355" w:type="pct"/>
            <w:shd w:val="clear" w:color="auto" w:fill="auto"/>
            <w:vAlign w:val="center"/>
          </w:tcPr>
          <w:p w14:paraId="66C2982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7C69D95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09EA048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4788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2E3D249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FE9B3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1DF1DC7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lang w:val="en-AU"/>
              </w:rPr>
              <w:t>整形2空气比例阀控制系统</w:t>
            </w:r>
          </w:p>
        </w:tc>
        <w:tc>
          <w:tcPr>
            <w:tcW w:w="355" w:type="pct"/>
            <w:shd w:val="clear" w:color="auto" w:fill="auto"/>
            <w:vAlign w:val="center"/>
          </w:tcPr>
          <w:p w14:paraId="635F635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425F1D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24CD5EB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CF9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433A717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190739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AC86F4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lang w:val="en-AU"/>
              </w:rPr>
              <w:t>空气马达驱动比例阀控制系统</w:t>
            </w:r>
          </w:p>
        </w:tc>
        <w:tc>
          <w:tcPr>
            <w:tcW w:w="355" w:type="pct"/>
            <w:shd w:val="clear" w:color="auto" w:fill="auto"/>
            <w:vAlign w:val="center"/>
          </w:tcPr>
          <w:p w14:paraId="263A60B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598B064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7B2B453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1D54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13DC3B8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55B145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7C85F21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rPr>
              <w:t>功能先导阀，用于开关枪</w:t>
            </w:r>
          </w:p>
        </w:tc>
        <w:tc>
          <w:tcPr>
            <w:tcW w:w="355" w:type="pct"/>
            <w:shd w:val="clear" w:color="auto" w:fill="auto"/>
            <w:vAlign w:val="center"/>
          </w:tcPr>
          <w:p w14:paraId="4A93958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4B982C4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3598B79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677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5FBA5E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0D96231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9A6E32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换色阀控制系统</w:t>
            </w:r>
          </w:p>
        </w:tc>
        <w:tc>
          <w:tcPr>
            <w:tcW w:w="355" w:type="pct"/>
            <w:shd w:val="clear" w:color="auto" w:fill="auto"/>
            <w:vAlign w:val="center"/>
          </w:tcPr>
          <w:p w14:paraId="3C783AE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0ACA984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0670292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FCE2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3F561D6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4CF5A7B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A1D2D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空气分配控制单元</w:t>
            </w:r>
          </w:p>
        </w:tc>
        <w:tc>
          <w:tcPr>
            <w:tcW w:w="355" w:type="pct"/>
            <w:shd w:val="clear" w:color="auto" w:fill="auto"/>
            <w:vAlign w:val="center"/>
          </w:tcPr>
          <w:p w14:paraId="67E8ADC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12FF171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7E8202B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5B6C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236" w:type="pct"/>
            <w:vMerge w:val="continue"/>
            <w:vAlign w:val="center"/>
          </w:tcPr>
          <w:p w14:paraId="79328E2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1F783C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430F3B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标准型示教器</w:t>
            </w:r>
          </w:p>
        </w:tc>
        <w:tc>
          <w:tcPr>
            <w:tcW w:w="355" w:type="pct"/>
            <w:shd w:val="clear" w:color="auto" w:fill="auto"/>
            <w:vAlign w:val="center"/>
          </w:tcPr>
          <w:p w14:paraId="610CC07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336A9FC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410792E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独立的操作系统，窗口化界面，可进行中英切换</w:t>
            </w:r>
          </w:p>
        </w:tc>
      </w:tr>
      <w:tr w14:paraId="59AB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36" w:type="pct"/>
            <w:vMerge w:val="restart"/>
            <w:vAlign w:val="center"/>
          </w:tcPr>
          <w:p w14:paraId="6715E23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w:t>
            </w:r>
          </w:p>
        </w:tc>
        <w:tc>
          <w:tcPr>
            <w:tcW w:w="631" w:type="pct"/>
            <w:vMerge w:val="restart"/>
            <w:vAlign w:val="center"/>
          </w:tcPr>
          <w:p w14:paraId="69CF13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控制柜</w:t>
            </w:r>
          </w:p>
        </w:tc>
        <w:tc>
          <w:tcPr>
            <w:tcW w:w="1497" w:type="pct"/>
            <w:shd w:val="clear" w:color="auto" w:fill="auto"/>
            <w:vAlign w:val="center"/>
          </w:tcPr>
          <w:p w14:paraId="6CCE358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机器人控制柜</w:t>
            </w:r>
          </w:p>
        </w:tc>
        <w:tc>
          <w:tcPr>
            <w:tcW w:w="355" w:type="pct"/>
            <w:shd w:val="clear" w:color="auto" w:fill="auto"/>
            <w:vAlign w:val="center"/>
          </w:tcPr>
          <w:p w14:paraId="5906FF5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76EF11B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3ECA4D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ED8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36" w:type="pct"/>
            <w:vMerge w:val="continue"/>
            <w:vAlign w:val="center"/>
          </w:tcPr>
          <w:p w14:paraId="4B38C9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76CEEE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4AD915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旋杯转速和高压控制模块</w:t>
            </w:r>
          </w:p>
        </w:tc>
        <w:tc>
          <w:tcPr>
            <w:tcW w:w="355" w:type="pct"/>
            <w:shd w:val="clear" w:color="auto" w:fill="auto"/>
            <w:vAlign w:val="center"/>
          </w:tcPr>
          <w:p w14:paraId="5337B54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488BD5B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7093798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36EF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36" w:type="pct"/>
            <w:vMerge w:val="continue"/>
            <w:vAlign w:val="center"/>
          </w:tcPr>
          <w:p w14:paraId="5F7989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6F22254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0601639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输送链跟踪单元</w:t>
            </w:r>
          </w:p>
        </w:tc>
        <w:tc>
          <w:tcPr>
            <w:tcW w:w="355" w:type="pct"/>
            <w:shd w:val="clear" w:color="auto" w:fill="auto"/>
            <w:vAlign w:val="center"/>
          </w:tcPr>
          <w:p w14:paraId="4529C1A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5FAEA0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6B60ABF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6F3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36" w:type="pct"/>
            <w:vMerge w:val="continue"/>
            <w:vAlign w:val="center"/>
          </w:tcPr>
          <w:p w14:paraId="5712763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9885F5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981CF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喷房互锁信号模块</w:t>
            </w:r>
          </w:p>
        </w:tc>
        <w:tc>
          <w:tcPr>
            <w:tcW w:w="355" w:type="pct"/>
            <w:shd w:val="clear" w:color="auto" w:fill="auto"/>
            <w:vAlign w:val="center"/>
          </w:tcPr>
          <w:p w14:paraId="4CC5184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2D3B8F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4EF3394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CD5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36" w:type="pct"/>
            <w:vMerge w:val="continue"/>
            <w:vAlign w:val="center"/>
          </w:tcPr>
          <w:p w14:paraId="60A4972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3677EBD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485B8DF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外部网络通讯（Profinet）</w:t>
            </w:r>
          </w:p>
        </w:tc>
        <w:tc>
          <w:tcPr>
            <w:tcW w:w="355" w:type="pct"/>
            <w:shd w:val="clear" w:color="auto" w:fill="auto"/>
            <w:vAlign w:val="center"/>
          </w:tcPr>
          <w:p w14:paraId="7259CFC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3C3544F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08D455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A63A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36" w:type="pct"/>
            <w:vMerge w:val="continue"/>
            <w:vAlign w:val="center"/>
          </w:tcPr>
          <w:p w14:paraId="0DC9C4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4F6D44A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2B76325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闪存 2GB</w:t>
            </w:r>
          </w:p>
        </w:tc>
        <w:tc>
          <w:tcPr>
            <w:tcW w:w="355" w:type="pct"/>
            <w:shd w:val="clear" w:color="auto" w:fill="auto"/>
            <w:vAlign w:val="center"/>
          </w:tcPr>
          <w:p w14:paraId="13A2C21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39FBDEB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1208AB9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7D75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236" w:type="pct"/>
            <w:vMerge w:val="continue"/>
            <w:vAlign w:val="center"/>
          </w:tcPr>
          <w:p w14:paraId="1F8AD50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E07A77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78F519D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工作站</w:t>
            </w:r>
          </w:p>
        </w:tc>
        <w:tc>
          <w:tcPr>
            <w:tcW w:w="355" w:type="pct"/>
            <w:shd w:val="clear" w:color="auto" w:fill="auto"/>
            <w:vAlign w:val="center"/>
          </w:tcPr>
          <w:p w14:paraId="18E45FD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1台</w:t>
            </w:r>
          </w:p>
        </w:tc>
        <w:tc>
          <w:tcPr>
            <w:tcW w:w="996" w:type="pct"/>
            <w:shd w:val="clear" w:color="auto" w:fill="auto"/>
            <w:vAlign w:val="center"/>
          </w:tcPr>
          <w:p w14:paraId="0565B17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09EA1F6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主流配置</w:t>
            </w:r>
          </w:p>
        </w:tc>
      </w:tr>
      <w:tr w14:paraId="217DF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restart"/>
            <w:shd w:val="clear" w:color="auto" w:fill="auto"/>
            <w:vAlign w:val="center"/>
          </w:tcPr>
          <w:p w14:paraId="62A4A1D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3</w:t>
            </w:r>
          </w:p>
        </w:tc>
        <w:tc>
          <w:tcPr>
            <w:tcW w:w="631" w:type="pct"/>
            <w:vMerge w:val="restart"/>
            <w:shd w:val="clear" w:color="auto" w:fill="auto"/>
            <w:vAlign w:val="center"/>
          </w:tcPr>
          <w:p w14:paraId="4605AD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喷涂工具</w:t>
            </w:r>
          </w:p>
        </w:tc>
        <w:tc>
          <w:tcPr>
            <w:tcW w:w="1497" w:type="pct"/>
            <w:shd w:val="clear" w:color="auto" w:fill="auto"/>
            <w:vAlign w:val="center"/>
          </w:tcPr>
          <w:p w14:paraId="0CEBBD5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水性静电雾化器</w:t>
            </w:r>
          </w:p>
        </w:tc>
        <w:tc>
          <w:tcPr>
            <w:tcW w:w="355" w:type="pct"/>
            <w:shd w:val="clear" w:color="auto" w:fill="auto"/>
            <w:vAlign w:val="center"/>
          </w:tcPr>
          <w:p w14:paraId="0D55867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6B673A3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16D2FD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897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6E8D25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BD0F29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25BC68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钛合金杯头</w:t>
            </w:r>
          </w:p>
        </w:tc>
        <w:tc>
          <w:tcPr>
            <w:tcW w:w="355" w:type="pct"/>
            <w:shd w:val="clear" w:color="auto" w:fill="auto"/>
            <w:vAlign w:val="center"/>
          </w:tcPr>
          <w:p w14:paraId="5080D27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2个</w:t>
            </w:r>
          </w:p>
        </w:tc>
        <w:tc>
          <w:tcPr>
            <w:tcW w:w="996" w:type="pct"/>
            <w:shd w:val="clear" w:color="auto" w:fill="auto"/>
            <w:vAlign w:val="center"/>
          </w:tcPr>
          <w:p w14:paraId="1BA32F7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790AC1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5683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48FC2EC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50E1BC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35B5C37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高电压发生器（0~100kV）</w:t>
            </w:r>
          </w:p>
        </w:tc>
        <w:tc>
          <w:tcPr>
            <w:tcW w:w="355" w:type="pct"/>
            <w:shd w:val="clear" w:color="auto" w:fill="auto"/>
            <w:vAlign w:val="center"/>
          </w:tcPr>
          <w:p w14:paraId="13A103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2件</w:t>
            </w:r>
          </w:p>
        </w:tc>
        <w:tc>
          <w:tcPr>
            <w:tcW w:w="996" w:type="pct"/>
            <w:shd w:val="clear" w:color="auto" w:fill="auto"/>
            <w:vAlign w:val="center"/>
          </w:tcPr>
          <w:p w14:paraId="0D091E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5B213E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8EBA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38C405F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7502190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34E8C5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闭环转速控制</w:t>
            </w:r>
          </w:p>
        </w:tc>
        <w:tc>
          <w:tcPr>
            <w:tcW w:w="355" w:type="pct"/>
            <w:shd w:val="clear" w:color="auto" w:fill="auto"/>
            <w:vAlign w:val="center"/>
          </w:tcPr>
          <w:p w14:paraId="4A1278C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2件</w:t>
            </w:r>
          </w:p>
        </w:tc>
        <w:tc>
          <w:tcPr>
            <w:tcW w:w="996" w:type="pct"/>
            <w:shd w:val="clear" w:color="auto" w:fill="auto"/>
            <w:vAlign w:val="center"/>
          </w:tcPr>
          <w:p w14:paraId="0C78C8C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54D56A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74CA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1793719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6EE65E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552D5FF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成型空气闭环控制</w:t>
            </w:r>
          </w:p>
        </w:tc>
        <w:tc>
          <w:tcPr>
            <w:tcW w:w="355" w:type="pct"/>
            <w:shd w:val="clear" w:color="auto" w:fill="auto"/>
            <w:vAlign w:val="center"/>
          </w:tcPr>
          <w:p w14:paraId="3CAAA71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2件</w:t>
            </w:r>
          </w:p>
        </w:tc>
        <w:tc>
          <w:tcPr>
            <w:tcW w:w="996" w:type="pct"/>
            <w:shd w:val="clear" w:color="auto" w:fill="auto"/>
            <w:vAlign w:val="center"/>
          </w:tcPr>
          <w:p w14:paraId="21EB14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0730ADC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57C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36" w:type="pct"/>
            <w:vMerge w:val="restart"/>
            <w:shd w:val="clear" w:color="auto" w:fill="auto"/>
            <w:vAlign w:val="center"/>
          </w:tcPr>
          <w:p w14:paraId="5E4B1E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w:t>
            </w:r>
          </w:p>
        </w:tc>
        <w:tc>
          <w:tcPr>
            <w:tcW w:w="631" w:type="pct"/>
            <w:vMerge w:val="restart"/>
            <w:shd w:val="clear" w:color="auto" w:fill="auto"/>
            <w:vAlign w:val="center"/>
          </w:tcPr>
          <w:p w14:paraId="3E61217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换色阀组及附件</w:t>
            </w:r>
          </w:p>
        </w:tc>
        <w:tc>
          <w:tcPr>
            <w:tcW w:w="1497" w:type="pct"/>
            <w:shd w:val="clear" w:color="auto" w:fill="auto"/>
            <w:vAlign w:val="center"/>
          </w:tcPr>
          <w:p w14:paraId="3D5878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rPr>
            </w:pPr>
            <w:r>
              <w:rPr>
                <w:rFonts w:hint="eastAsia" w:ascii="宋体" w:hAnsi="宋体" w:eastAsia="宋体" w:cs="宋体"/>
                <w:color w:val="auto"/>
              </w:rPr>
              <w:t>油漆换色阀4组，另配空气、溶剂清洗阀</w:t>
            </w:r>
          </w:p>
        </w:tc>
        <w:tc>
          <w:tcPr>
            <w:tcW w:w="355" w:type="pct"/>
            <w:vMerge w:val="restart"/>
            <w:shd w:val="clear" w:color="auto" w:fill="auto"/>
            <w:vAlign w:val="center"/>
          </w:tcPr>
          <w:p w14:paraId="60691F6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vMerge w:val="restart"/>
            <w:shd w:val="clear" w:color="auto" w:fill="auto"/>
            <w:vAlign w:val="center"/>
          </w:tcPr>
          <w:p w14:paraId="0DEA96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restart"/>
            <w:shd w:val="clear" w:color="auto" w:fill="auto"/>
            <w:vAlign w:val="center"/>
          </w:tcPr>
          <w:p w14:paraId="306E0BE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集成安装在机器人手臂上</w:t>
            </w:r>
          </w:p>
        </w:tc>
      </w:tr>
      <w:tr w14:paraId="7216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2410BD4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F4066D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1800DA4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一体式阀组</w:t>
            </w:r>
          </w:p>
        </w:tc>
        <w:tc>
          <w:tcPr>
            <w:tcW w:w="355" w:type="pct"/>
            <w:vMerge w:val="continue"/>
            <w:shd w:val="clear" w:color="auto" w:fill="auto"/>
            <w:vAlign w:val="center"/>
          </w:tcPr>
          <w:p w14:paraId="5C8A320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96" w:type="pct"/>
            <w:vMerge w:val="continue"/>
            <w:vAlign w:val="center"/>
          </w:tcPr>
          <w:p w14:paraId="5CF31CE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vAlign w:val="center"/>
          </w:tcPr>
          <w:p w14:paraId="1F8F6E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1EB10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2DF1A39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7C921BB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7D5646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涂料压力稳压器</w:t>
            </w:r>
          </w:p>
        </w:tc>
        <w:tc>
          <w:tcPr>
            <w:tcW w:w="355" w:type="pct"/>
            <w:vMerge w:val="continue"/>
            <w:shd w:val="clear" w:color="auto" w:fill="auto"/>
            <w:vAlign w:val="center"/>
          </w:tcPr>
          <w:p w14:paraId="17CB311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96" w:type="pct"/>
            <w:vMerge w:val="continue"/>
            <w:vAlign w:val="center"/>
          </w:tcPr>
          <w:p w14:paraId="38A7278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vAlign w:val="center"/>
          </w:tcPr>
          <w:p w14:paraId="3A946BD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6E0E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36" w:type="pct"/>
            <w:vMerge w:val="continue"/>
            <w:vAlign w:val="center"/>
          </w:tcPr>
          <w:p w14:paraId="5D1461D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4B6E14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3495AB6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内部清洗排泄阀</w:t>
            </w:r>
          </w:p>
        </w:tc>
        <w:tc>
          <w:tcPr>
            <w:tcW w:w="355" w:type="pct"/>
            <w:vMerge w:val="continue"/>
            <w:vAlign w:val="center"/>
          </w:tcPr>
          <w:p w14:paraId="51AA1E4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96" w:type="pct"/>
            <w:vMerge w:val="continue"/>
            <w:vAlign w:val="center"/>
          </w:tcPr>
          <w:p w14:paraId="68FCDF8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vAlign w:val="center"/>
          </w:tcPr>
          <w:p w14:paraId="482BDD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2769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36" w:type="pct"/>
            <w:vMerge w:val="restart"/>
            <w:shd w:val="clear" w:color="auto" w:fill="auto"/>
            <w:vAlign w:val="center"/>
          </w:tcPr>
          <w:p w14:paraId="4006AE6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5</w:t>
            </w:r>
          </w:p>
        </w:tc>
        <w:tc>
          <w:tcPr>
            <w:tcW w:w="631" w:type="pct"/>
            <w:vMerge w:val="restart"/>
            <w:shd w:val="clear" w:color="auto" w:fill="auto"/>
            <w:vAlign w:val="center"/>
          </w:tcPr>
          <w:p w14:paraId="1296DA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pt-BR"/>
              </w:rPr>
              <w:t>单组份齿轮泵</w:t>
            </w:r>
          </w:p>
        </w:tc>
        <w:tc>
          <w:tcPr>
            <w:tcW w:w="1497" w:type="pct"/>
            <w:shd w:val="clear" w:color="auto" w:fill="auto"/>
            <w:vAlign w:val="center"/>
          </w:tcPr>
          <w:p w14:paraId="76A3DA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油漆齿轮泵</w:t>
            </w:r>
          </w:p>
        </w:tc>
        <w:tc>
          <w:tcPr>
            <w:tcW w:w="355" w:type="pct"/>
            <w:vMerge w:val="restart"/>
            <w:shd w:val="clear" w:color="auto" w:fill="auto"/>
            <w:vAlign w:val="center"/>
          </w:tcPr>
          <w:p w14:paraId="7451372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vMerge w:val="restart"/>
            <w:shd w:val="clear" w:color="auto" w:fill="auto"/>
            <w:vAlign w:val="center"/>
          </w:tcPr>
          <w:p w14:paraId="4895B1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restart"/>
            <w:shd w:val="clear" w:color="auto" w:fill="auto"/>
            <w:vAlign w:val="center"/>
          </w:tcPr>
          <w:p w14:paraId="7BA643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集成安装在机器人手臂上,置于手臂最前端</w:t>
            </w:r>
          </w:p>
        </w:tc>
      </w:tr>
      <w:tr w14:paraId="47EC4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236" w:type="pct"/>
            <w:vMerge w:val="continue"/>
            <w:shd w:val="clear" w:color="auto" w:fill="auto"/>
            <w:vAlign w:val="center"/>
          </w:tcPr>
          <w:p w14:paraId="5C22314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shd w:val="clear" w:color="auto" w:fill="auto"/>
            <w:vAlign w:val="center"/>
          </w:tcPr>
          <w:p w14:paraId="399A489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497" w:type="pct"/>
            <w:shd w:val="clear" w:color="auto" w:fill="auto"/>
            <w:vAlign w:val="center"/>
          </w:tcPr>
          <w:p w14:paraId="4DAAD81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伺服电机、减速器、联轴器等</w:t>
            </w:r>
          </w:p>
        </w:tc>
        <w:tc>
          <w:tcPr>
            <w:tcW w:w="355" w:type="pct"/>
            <w:vMerge w:val="continue"/>
            <w:shd w:val="clear" w:color="auto" w:fill="auto"/>
            <w:vAlign w:val="center"/>
          </w:tcPr>
          <w:p w14:paraId="61AF798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96" w:type="pct"/>
            <w:vMerge w:val="continue"/>
            <w:shd w:val="clear" w:color="auto" w:fill="auto"/>
            <w:vAlign w:val="center"/>
          </w:tcPr>
          <w:p w14:paraId="11CCC06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shd w:val="clear" w:color="auto" w:fill="auto"/>
            <w:vAlign w:val="center"/>
          </w:tcPr>
          <w:p w14:paraId="751C58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E288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236" w:type="pct"/>
            <w:vMerge w:val="continue"/>
            <w:shd w:val="clear" w:color="auto" w:fill="auto"/>
            <w:vAlign w:val="center"/>
          </w:tcPr>
          <w:p w14:paraId="46DAFFC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shd w:val="clear" w:color="auto" w:fill="auto"/>
            <w:vAlign w:val="center"/>
          </w:tcPr>
          <w:p w14:paraId="573A968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497" w:type="pct"/>
            <w:shd w:val="clear" w:color="auto" w:fill="auto"/>
            <w:vAlign w:val="center"/>
          </w:tcPr>
          <w:p w14:paraId="7462327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r>
              <w:rPr>
                <w:rFonts w:hint="eastAsia" w:ascii="宋体" w:hAnsi="宋体" w:eastAsia="宋体" w:cs="宋体"/>
                <w:color w:val="auto"/>
              </w:rPr>
              <w:t>齿轮泵轴清洗单元</w:t>
            </w:r>
          </w:p>
        </w:tc>
        <w:tc>
          <w:tcPr>
            <w:tcW w:w="355" w:type="pct"/>
            <w:vMerge w:val="continue"/>
            <w:shd w:val="clear" w:color="auto" w:fill="auto"/>
            <w:vAlign w:val="center"/>
          </w:tcPr>
          <w:p w14:paraId="58BC2C1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96" w:type="pct"/>
            <w:vMerge w:val="continue"/>
            <w:shd w:val="clear" w:color="auto" w:fill="auto"/>
            <w:vAlign w:val="center"/>
          </w:tcPr>
          <w:p w14:paraId="2609841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shd w:val="clear" w:color="auto" w:fill="auto"/>
            <w:vAlign w:val="center"/>
          </w:tcPr>
          <w:p w14:paraId="2AE1474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587D7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236" w:type="pct"/>
            <w:vMerge w:val="continue"/>
            <w:shd w:val="clear" w:color="auto" w:fill="auto"/>
            <w:vAlign w:val="center"/>
          </w:tcPr>
          <w:p w14:paraId="0A82B9F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shd w:val="clear" w:color="auto" w:fill="auto"/>
            <w:vAlign w:val="center"/>
          </w:tcPr>
          <w:p w14:paraId="519BC30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497" w:type="pct"/>
            <w:shd w:val="clear" w:color="auto" w:fill="auto"/>
            <w:vAlign w:val="center"/>
          </w:tcPr>
          <w:p w14:paraId="1202CA2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计量泵进出口均需配置模拟量控制压力监控传感器</w:t>
            </w:r>
          </w:p>
        </w:tc>
        <w:tc>
          <w:tcPr>
            <w:tcW w:w="355" w:type="pct"/>
            <w:vMerge w:val="continue"/>
            <w:shd w:val="clear" w:color="auto" w:fill="auto"/>
            <w:vAlign w:val="center"/>
          </w:tcPr>
          <w:p w14:paraId="2F11EF9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96" w:type="pct"/>
            <w:vMerge w:val="continue"/>
            <w:shd w:val="clear" w:color="auto" w:fill="auto"/>
            <w:vAlign w:val="center"/>
          </w:tcPr>
          <w:p w14:paraId="578496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shd w:val="clear" w:color="auto" w:fill="auto"/>
            <w:vAlign w:val="center"/>
          </w:tcPr>
          <w:p w14:paraId="69206D4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1F142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restart"/>
            <w:shd w:val="clear" w:color="auto" w:fill="auto"/>
            <w:vAlign w:val="center"/>
          </w:tcPr>
          <w:p w14:paraId="70B8C32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6</w:t>
            </w:r>
          </w:p>
        </w:tc>
        <w:tc>
          <w:tcPr>
            <w:tcW w:w="631" w:type="pct"/>
            <w:vMerge w:val="restart"/>
            <w:shd w:val="clear" w:color="auto" w:fill="auto"/>
            <w:vAlign w:val="center"/>
          </w:tcPr>
          <w:p w14:paraId="2D6D729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周边设备及安全装置</w:t>
            </w:r>
          </w:p>
        </w:tc>
        <w:tc>
          <w:tcPr>
            <w:tcW w:w="1497" w:type="pct"/>
            <w:shd w:val="clear" w:color="auto" w:fill="auto"/>
            <w:vAlign w:val="center"/>
          </w:tcPr>
          <w:p w14:paraId="2C778F5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紧急停止按钮</w:t>
            </w:r>
          </w:p>
        </w:tc>
        <w:tc>
          <w:tcPr>
            <w:tcW w:w="355" w:type="pct"/>
            <w:shd w:val="clear" w:color="auto" w:fill="auto"/>
            <w:vAlign w:val="center"/>
          </w:tcPr>
          <w:p w14:paraId="3AA80F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96" w:type="pct"/>
            <w:vMerge w:val="restart"/>
            <w:shd w:val="clear" w:color="auto" w:fill="auto"/>
            <w:vAlign w:val="center"/>
          </w:tcPr>
          <w:p w14:paraId="2250F20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restart"/>
            <w:shd w:val="clear" w:color="auto" w:fill="auto"/>
            <w:vAlign w:val="center"/>
          </w:tcPr>
          <w:p w14:paraId="08550F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7D30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3ACFAA0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5008717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52DCD0F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安全门开关</w:t>
            </w:r>
          </w:p>
        </w:tc>
        <w:tc>
          <w:tcPr>
            <w:tcW w:w="355" w:type="pct"/>
            <w:shd w:val="clear" w:color="auto" w:fill="auto"/>
            <w:vAlign w:val="center"/>
          </w:tcPr>
          <w:p w14:paraId="1EC7109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96" w:type="pct"/>
            <w:vMerge w:val="continue"/>
            <w:shd w:val="clear" w:color="auto" w:fill="auto"/>
            <w:vAlign w:val="center"/>
          </w:tcPr>
          <w:p w14:paraId="3B52D83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shd w:val="clear" w:color="auto" w:fill="auto"/>
            <w:vAlign w:val="center"/>
          </w:tcPr>
          <w:p w14:paraId="5BFB5AD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5150A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4342572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07F78C4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11A4D9C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机器人启喷防爆开关</w:t>
            </w:r>
          </w:p>
        </w:tc>
        <w:tc>
          <w:tcPr>
            <w:tcW w:w="355" w:type="pct"/>
            <w:shd w:val="clear" w:color="auto" w:fill="auto"/>
            <w:vAlign w:val="center"/>
          </w:tcPr>
          <w:p w14:paraId="4549CC2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96" w:type="pct"/>
            <w:vMerge w:val="continue"/>
            <w:shd w:val="clear" w:color="auto" w:fill="auto"/>
            <w:vAlign w:val="center"/>
          </w:tcPr>
          <w:p w14:paraId="7F4ED9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shd w:val="clear" w:color="auto" w:fill="auto"/>
            <w:vAlign w:val="center"/>
          </w:tcPr>
          <w:p w14:paraId="2EA9AFB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588C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236" w:type="pct"/>
            <w:vMerge w:val="continue"/>
            <w:vAlign w:val="center"/>
          </w:tcPr>
          <w:p w14:paraId="32C6755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EE9FFA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34A5895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车型代码发送开关</w:t>
            </w:r>
          </w:p>
        </w:tc>
        <w:tc>
          <w:tcPr>
            <w:tcW w:w="355" w:type="pct"/>
            <w:shd w:val="clear" w:color="auto" w:fill="auto"/>
            <w:vAlign w:val="center"/>
          </w:tcPr>
          <w:p w14:paraId="2E11358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96" w:type="pct"/>
            <w:vMerge w:val="continue"/>
            <w:shd w:val="clear" w:color="auto" w:fill="auto"/>
            <w:vAlign w:val="center"/>
          </w:tcPr>
          <w:p w14:paraId="700213E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vMerge w:val="continue"/>
            <w:shd w:val="clear" w:color="auto" w:fill="auto"/>
            <w:vAlign w:val="center"/>
          </w:tcPr>
          <w:p w14:paraId="6A3DBD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311A8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33431B8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16A4D28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225E51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车身进出口人员检测安全光栅</w:t>
            </w:r>
          </w:p>
        </w:tc>
        <w:tc>
          <w:tcPr>
            <w:tcW w:w="355" w:type="pct"/>
            <w:shd w:val="clear" w:color="auto" w:fill="auto"/>
            <w:vAlign w:val="center"/>
          </w:tcPr>
          <w:p w14:paraId="1AC1F61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0CA9B42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2568997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长度1.5米</w:t>
            </w:r>
          </w:p>
        </w:tc>
      </w:tr>
      <w:tr w14:paraId="6539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464847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6247E4D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D37B86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喷房入口的车身有/无检测开关</w:t>
            </w:r>
          </w:p>
        </w:tc>
        <w:tc>
          <w:tcPr>
            <w:tcW w:w="355" w:type="pct"/>
            <w:shd w:val="clear" w:color="auto" w:fill="auto"/>
            <w:vAlign w:val="center"/>
          </w:tcPr>
          <w:p w14:paraId="64E622B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96" w:type="pct"/>
            <w:shd w:val="clear" w:color="auto" w:fill="auto"/>
            <w:vAlign w:val="center"/>
          </w:tcPr>
          <w:p w14:paraId="580930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5A02D6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CDC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2793D56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3C2BBBD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60364BF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高电压警示灯</w:t>
            </w:r>
          </w:p>
        </w:tc>
        <w:tc>
          <w:tcPr>
            <w:tcW w:w="355" w:type="pct"/>
            <w:shd w:val="clear" w:color="auto" w:fill="auto"/>
            <w:vAlign w:val="center"/>
          </w:tcPr>
          <w:p w14:paraId="1404187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96" w:type="pct"/>
            <w:shd w:val="clear" w:color="auto" w:fill="auto"/>
            <w:vAlign w:val="center"/>
          </w:tcPr>
          <w:p w14:paraId="281BFF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23684A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9B3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restart"/>
            <w:shd w:val="clear" w:color="auto" w:fill="auto"/>
            <w:vAlign w:val="center"/>
          </w:tcPr>
          <w:p w14:paraId="71F38DA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7</w:t>
            </w:r>
          </w:p>
        </w:tc>
        <w:tc>
          <w:tcPr>
            <w:tcW w:w="631" w:type="pct"/>
            <w:vMerge w:val="restart"/>
            <w:shd w:val="clear" w:color="auto" w:fill="auto"/>
            <w:vAlign w:val="center"/>
          </w:tcPr>
          <w:p w14:paraId="3A84FB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其它设备及附件</w:t>
            </w:r>
          </w:p>
        </w:tc>
        <w:tc>
          <w:tcPr>
            <w:tcW w:w="1497" w:type="pct"/>
            <w:shd w:val="clear" w:color="auto" w:fill="auto"/>
            <w:vAlign w:val="center"/>
          </w:tcPr>
          <w:p w14:paraId="52F6BCD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机器人防护服</w:t>
            </w:r>
          </w:p>
        </w:tc>
        <w:tc>
          <w:tcPr>
            <w:tcW w:w="355" w:type="pct"/>
            <w:shd w:val="clear" w:color="auto" w:fill="auto"/>
            <w:vAlign w:val="center"/>
          </w:tcPr>
          <w:p w14:paraId="2F43C0D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96" w:type="pct"/>
            <w:shd w:val="clear" w:color="auto" w:fill="auto"/>
            <w:vAlign w:val="center"/>
          </w:tcPr>
          <w:p w14:paraId="6D13F51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随机</w:t>
            </w:r>
          </w:p>
        </w:tc>
        <w:tc>
          <w:tcPr>
            <w:tcW w:w="1282" w:type="pct"/>
            <w:shd w:val="clear" w:color="auto" w:fill="auto"/>
            <w:vAlign w:val="center"/>
          </w:tcPr>
          <w:p w14:paraId="122B00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4F6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shd w:val="clear" w:color="auto" w:fill="auto"/>
            <w:vAlign w:val="center"/>
          </w:tcPr>
          <w:p w14:paraId="1C57DC3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shd w:val="clear" w:color="auto" w:fill="auto"/>
            <w:vAlign w:val="center"/>
          </w:tcPr>
          <w:p w14:paraId="3BA777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242701E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雾化器自动清洗装置</w:t>
            </w:r>
          </w:p>
        </w:tc>
        <w:tc>
          <w:tcPr>
            <w:tcW w:w="355" w:type="pct"/>
            <w:shd w:val="clear" w:color="auto" w:fill="auto"/>
            <w:vAlign w:val="center"/>
          </w:tcPr>
          <w:p w14:paraId="79A746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3A844E3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282" w:type="pct"/>
            <w:shd w:val="clear" w:color="auto" w:fill="auto"/>
            <w:vAlign w:val="center"/>
          </w:tcPr>
          <w:p w14:paraId="1B3859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6D21F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shd w:val="clear" w:color="auto" w:fill="auto"/>
            <w:vAlign w:val="center"/>
          </w:tcPr>
          <w:p w14:paraId="1BBF97C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shd w:val="clear" w:color="auto" w:fill="auto"/>
            <w:vAlign w:val="center"/>
          </w:tcPr>
          <w:p w14:paraId="55D24F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4615147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压缩空气增压装置</w:t>
            </w:r>
          </w:p>
        </w:tc>
        <w:tc>
          <w:tcPr>
            <w:tcW w:w="355" w:type="pct"/>
            <w:shd w:val="clear" w:color="auto" w:fill="auto"/>
            <w:vAlign w:val="center"/>
          </w:tcPr>
          <w:p w14:paraId="570FFAC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27E98B8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282" w:type="pct"/>
            <w:shd w:val="clear" w:color="auto" w:fill="auto"/>
            <w:vAlign w:val="center"/>
          </w:tcPr>
          <w:p w14:paraId="23A9A73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0040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0ACCD5D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5CA9A3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085CBE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空气、涂料软管及接头</w:t>
            </w:r>
          </w:p>
        </w:tc>
        <w:tc>
          <w:tcPr>
            <w:tcW w:w="355" w:type="pct"/>
            <w:shd w:val="clear" w:color="auto" w:fill="auto"/>
            <w:vAlign w:val="center"/>
          </w:tcPr>
          <w:p w14:paraId="511540C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96" w:type="pct"/>
            <w:shd w:val="clear" w:color="auto" w:fill="auto"/>
            <w:vAlign w:val="center"/>
          </w:tcPr>
          <w:p w14:paraId="2251A83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282" w:type="pct"/>
            <w:shd w:val="clear" w:color="auto" w:fill="auto"/>
            <w:vAlign w:val="center"/>
          </w:tcPr>
          <w:p w14:paraId="16BF03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AE1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267804F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vAlign w:val="center"/>
          </w:tcPr>
          <w:p w14:paraId="2245357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497" w:type="pct"/>
            <w:shd w:val="clear" w:color="auto" w:fill="auto"/>
            <w:vAlign w:val="center"/>
          </w:tcPr>
          <w:p w14:paraId="026A2F4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油漆小系统接口</w:t>
            </w:r>
          </w:p>
        </w:tc>
        <w:tc>
          <w:tcPr>
            <w:tcW w:w="355" w:type="pct"/>
            <w:shd w:val="clear" w:color="auto" w:fill="auto"/>
            <w:vAlign w:val="center"/>
          </w:tcPr>
          <w:p w14:paraId="5D96873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96" w:type="pct"/>
            <w:shd w:val="clear" w:color="auto" w:fill="auto"/>
            <w:vAlign w:val="center"/>
          </w:tcPr>
          <w:p w14:paraId="3BFBFD5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282" w:type="pct"/>
            <w:shd w:val="clear" w:color="auto" w:fill="auto"/>
            <w:vAlign w:val="center"/>
          </w:tcPr>
          <w:p w14:paraId="1F7168C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提供小系统硬件接口</w:t>
            </w:r>
          </w:p>
        </w:tc>
      </w:tr>
      <w:tr w14:paraId="7B3E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36" w:type="pct"/>
            <w:vMerge w:val="continue"/>
            <w:vAlign w:val="center"/>
          </w:tcPr>
          <w:p w14:paraId="36982FC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631" w:type="pct"/>
            <w:vMerge w:val="continue"/>
            <w:shd w:val="clear" w:color="auto" w:fill="auto"/>
            <w:vAlign w:val="center"/>
          </w:tcPr>
          <w:p w14:paraId="3ECED13A">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p>
        </w:tc>
        <w:tc>
          <w:tcPr>
            <w:tcW w:w="1497" w:type="pct"/>
            <w:shd w:val="clear" w:color="auto" w:fill="auto"/>
            <w:vAlign w:val="center"/>
          </w:tcPr>
          <w:p w14:paraId="050351A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2"/>
                <w:sz w:val="24"/>
              </w:rPr>
            </w:pPr>
            <w:r>
              <w:rPr>
                <w:rFonts w:hint="eastAsia" w:ascii="宋体" w:hAnsi="宋体" w:eastAsia="宋体" w:cs="宋体"/>
                <w:spacing w:val="-2"/>
                <w:sz w:val="24"/>
              </w:rPr>
              <w:t>废液回收盘</w:t>
            </w:r>
          </w:p>
        </w:tc>
        <w:tc>
          <w:tcPr>
            <w:tcW w:w="355" w:type="pct"/>
            <w:shd w:val="clear" w:color="auto" w:fill="auto"/>
            <w:vAlign w:val="center"/>
          </w:tcPr>
          <w:p w14:paraId="3F90DF6C">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r>
              <w:rPr>
                <w:rFonts w:hint="eastAsia" w:ascii="宋体" w:hAnsi="宋体" w:eastAsia="宋体" w:cs="宋体"/>
                <w:spacing w:val="-5"/>
              </w:rPr>
              <w:t>2套</w:t>
            </w:r>
          </w:p>
        </w:tc>
        <w:tc>
          <w:tcPr>
            <w:tcW w:w="996" w:type="pct"/>
            <w:shd w:val="clear" w:color="auto" w:fill="auto"/>
            <w:vAlign w:val="center"/>
          </w:tcPr>
          <w:p w14:paraId="7DD9B99A">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rPr>
            </w:pPr>
          </w:p>
        </w:tc>
        <w:tc>
          <w:tcPr>
            <w:tcW w:w="1282" w:type="pct"/>
            <w:shd w:val="clear" w:color="auto" w:fill="auto"/>
            <w:vAlign w:val="center"/>
          </w:tcPr>
          <w:p w14:paraId="3154569B">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p>
        </w:tc>
      </w:tr>
    </w:tbl>
    <w:p w14:paraId="51AA1685">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sz w:val="21"/>
          <w:szCs w:val="21"/>
        </w:rPr>
      </w:pPr>
      <w:r>
        <w:rPr>
          <w:rFonts w:hint="eastAsia" w:ascii="宋体" w:hAnsi="宋体" w:eastAsia="宋体" w:cs="宋体"/>
        </w:rPr>
        <w:t>B1外喷站：2台带外加电静电旋杯喷涂的机器人（利旧）</w:t>
      </w:r>
    </w:p>
    <w:p w14:paraId="5A896819">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以四门喷涂颜色为主色，车身套色其他颜色只按一种主色颜色计算，主色喷涂整车不重复计算，共5种色漆、</w:t>
      </w:r>
      <w:r>
        <w:rPr>
          <w:rFonts w:hint="eastAsia" w:ascii="宋体" w:hAnsi="宋体" w:eastAsia="宋体" w:cs="宋体"/>
          <w:lang w:val="en-US" w:eastAsia="zh-CN"/>
        </w:rPr>
        <w:t>1</w:t>
      </w:r>
      <w:r>
        <w:rPr>
          <w:rFonts w:hint="eastAsia" w:ascii="宋体" w:hAnsi="宋体" w:eastAsia="宋体" w:cs="宋体"/>
        </w:rPr>
        <w:t>种清漆。每款车型包括大天窗、小天窗、非天窗、局部喷涂的车身，按照1款车型计算。共4款车型。</w:t>
      </w:r>
    </w:p>
    <w:p w14:paraId="2BD0D12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52" w:name="_Toc490236259"/>
      <w:r>
        <w:rPr>
          <w:rFonts w:hint="eastAsia" w:ascii="宋体" w:hAnsi="宋体" w:eastAsia="宋体" w:cs="宋体"/>
        </w:rPr>
        <w:t>色漆B2外喷站</w:t>
      </w:r>
      <w:bookmarkEnd w:id="152"/>
      <w:r>
        <w:rPr>
          <w:rFonts w:hint="eastAsia" w:ascii="宋体" w:hAnsi="宋体" w:eastAsia="宋体" w:cs="宋体"/>
        </w:rPr>
        <w:t>：一个色漆外喷站，4台带外加电静电旋杯喷涂器的机器人</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8"/>
        <w:gridCol w:w="14"/>
        <w:gridCol w:w="1084"/>
        <w:gridCol w:w="3402"/>
        <w:gridCol w:w="680"/>
        <w:gridCol w:w="1770"/>
        <w:gridCol w:w="2166"/>
      </w:tblGrid>
      <w:tr w14:paraId="23904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86" w:type="pct"/>
            <w:gridSpan w:val="2"/>
            <w:shd w:val="clear" w:color="auto" w:fill="auto"/>
            <w:vAlign w:val="center"/>
          </w:tcPr>
          <w:p w14:paraId="0BD4FF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序号</w:t>
            </w:r>
          </w:p>
        </w:tc>
        <w:tc>
          <w:tcPr>
            <w:tcW w:w="561" w:type="pct"/>
            <w:shd w:val="clear" w:color="auto" w:fill="auto"/>
            <w:vAlign w:val="center"/>
          </w:tcPr>
          <w:p w14:paraId="1D8EFC7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设备</w:t>
            </w:r>
          </w:p>
        </w:tc>
        <w:tc>
          <w:tcPr>
            <w:tcW w:w="1761" w:type="pct"/>
            <w:shd w:val="clear" w:color="auto" w:fill="auto"/>
            <w:vAlign w:val="center"/>
          </w:tcPr>
          <w:p w14:paraId="14F7D01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详细内容</w:t>
            </w:r>
          </w:p>
        </w:tc>
        <w:tc>
          <w:tcPr>
            <w:tcW w:w="352" w:type="pct"/>
            <w:shd w:val="clear" w:color="auto" w:fill="auto"/>
            <w:vAlign w:val="center"/>
          </w:tcPr>
          <w:p w14:paraId="4457DF8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数量</w:t>
            </w:r>
          </w:p>
        </w:tc>
        <w:tc>
          <w:tcPr>
            <w:tcW w:w="916" w:type="pct"/>
            <w:shd w:val="clear" w:color="auto" w:fill="auto"/>
            <w:vAlign w:val="center"/>
          </w:tcPr>
          <w:p w14:paraId="33410546">
            <w:pPr>
              <w:pStyle w:val="210"/>
              <w:pageBreakBefore w:val="0"/>
              <w:kinsoku/>
              <w:wordWrap/>
              <w:topLinePunct w:val="0"/>
              <w:bidi w:val="0"/>
              <w:adjustRightInd w:val="0"/>
              <w:snapToGrid w:val="0"/>
              <w:spacing w:afterAutospacing="0" w:line="240" w:lineRule="auto"/>
              <w:ind w:left="0" w:leftChars="0" w:firstLine="0" w:firstLineChars="0"/>
              <w:jc w:val="center"/>
            </w:pPr>
            <w:r>
              <w:rPr>
                <w:rFonts w:hint="eastAsia" w:ascii="宋体" w:hAnsi="宋体" w:eastAsia="宋体" w:cs="宋体"/>
                <w:color w:val="auto"/>
              </w:rPr>
              <w:t>品牌</w:t>
            </w:r>
          </w:p>
          <w:p w14:paraId="4554BBD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rPr>
            </w:pPr>
            <w:r>
              <w:rPr>
                <w:rFonts w:hint="eastAsia" w:ascii="宋体" w:hAnsi="宋体" w:cs="宋体"/>
                <w:color w:val="auto"/>
                <w:lang w:val="en-US" w:eastAsia="zh-CN"/>
              </w:rPr>
              <w:t>详见外购件品牌清单</w:t>
            </w:r>
          </w:p>
        </w:tc>
        <w:tc>
          <w:tcPr>
            <w:tcW w:w="1121" w:type="pct"/>
            <w:shd w:val="clear" w:color="auto" w:fill="auto"/>
            <w:vAlign w:val="center"/>
          </w:tcPr>
          <w:p w14:paraId="78EADBB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备注</w:t>
            </w:r>
          </w:p>
        </w:tc>
      </w:tr>
      <w:tr w14:paraId="1E9B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restart"/>
            <w:shd w:val="clear" w:color="auto" w:fill="auto"/>
            <w:vAlign w:val="center"/>
          </w:tcPr>
          <w:p w14:paraId="64F8482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p w14:paraId="38A9D0E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w:t>
            </w:r>
          </w:p>
        </w:tc>
        <w:tc>
          <w:tcPr>
            <w:tcW w:w="561" w:type="pct"/>
            <w:vMerge w:val="restart"/>
            <w:shd w:val="clear" w:color="auto" w:fill="auto"/>
            <w:vAlign w:val="center"/>
          </w:tcPr>
          <w:p w14:paraId="0AD3755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喷涂机器人</w:t>
            </w:r>
          </w:p>
        </w:tc>
        <w:tc>
          <w:tcPr>
            <w:tcW w:w="1761" w:type="pct"/>
            <w:shd w:val="clear" w:color="auto" w:fill="auto"/>
            <w:vAlign w:val="center"/>
          </w:tcPr>
          <w:p w14:paraId="71ABDB7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机器人本体，防爆，壁挂式， 带工艺臂</w:t>
            </w:r>
          </w:p>
        </w:tc>
        <w:tc>
          <w:tcPr>
            <w:tcW w:w="352" w:type="pct"/>
            <w:shd w:val="clear" w:color="auto" w:fill="auto"/>
            <w:vAlign w:val="center"/>
          </w:tcPr>
          <w:p w14:paraId="3D080C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6F5B7B7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14C219A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8877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3BE0518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1686DE0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435111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机器人与机器人控制柜间专用电缆</w:t>
            </w:r>
          </w:p>
        </w:tc>
        <w:tc>
          <w:tcPr>
            <w:tcW w:w="352" w:type="pct"/>
            <w:shd w:val="clear" w:color="auto" w:fill="auto"/>
            <w:vAlign w:val="center"/>
          </w:tcPr>
          <w:p w14:paraId="781A9D4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0DEE1B8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7763FEB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532B9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43C718F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284E362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58D33EF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机器人防爆吹扫单元</w:t>
            </w:r>
          </w:p>
        </w:tc>
        <w:tc>
          <w:tcPr>
            <w:tcW w:w="352" w:type="pct"/>
            <w:shd w:val="clear" w:color="auto" w:fill="auto"/>
            <w:vAlign w:val="center"/>
          </w:tcPr>
          <w:p w14:paraId="28263C6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3EC1437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6638E1D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5257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795A39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0A4FBC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C1F8F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AU"/>
              </w:rPr>
              <w:t>整形1空气比例阀控制系统</w:t>
            </w:r>
          </w:p>
        </w:tc>
        <w:tc>
          <w:tcPr>
            <w:tcW w:w="352" w:type="pct"/>
            <w:shd w:val="clear" w:color="auto" w:fill="auto"/>
            <w:vAlign w:val="center"/>
          </w:tcPr>
          <w:p w14:paraId="6FEF679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4F14845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19DAF9C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（置于机器人2轴）</w:t>
            </w:r>
          </w:p>
        </w:tc>
      </w:tr>
      <w:tr w14:paraId="5D6A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04EC885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34873C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2445EE8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lang w:val="en-AU"/>
              </w:rPr>
              <w:t>整形2空气比例阀控制系统</w:t>
            </w:r>
          </w:p>
        </w:tc>
        <w:tc>
          <w:tcPr>
            <w:tcW w:w="352" w:type="pct"/>
            <w:shd w:val="clear" w:color="auto" w:fill="auto"/>
            <w:vAlign w:val="center"/>
          </w:tcPr>
          <w:p w14:paraId="16645C8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34C8936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3AEE9F4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（置于机器人2轴）</w:t>
            </w:r>
          </w:p>
        </w:tc>
      </w:tr>
      <w:tr w14:paraId="5D226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5285C33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169CA15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6B0E31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lang w:val="en-AU"/>
              </w:rPr>
              <w:t>空气马达驱动比例阀控制系统</w:t>
            </w:r>
          </w:p>
        </w:tc>
        <w:tc>
          <w:tcPr>
            <w:tcW w:w="352" w:type="pct"/>
            <w:shd w:val="clear" w:color="auto" w:fill="auto"/>
            <w:vAlign w:val="center"/>
          </w:tcPr>
          <w:p w14:paraId="3C1997C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071CAC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572F3EB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（置于机器人2轴）</w:t>
            </w:r>
          </w:p>
        </w:tc>
      </w:tr>
      <w:tr w14:paraId="7BB16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54EDA7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6949120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6A862B1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rPr>
              <w:t>功能先导阀，用于开关枪</w:t>
            </w:r>
          </w:p>
        </w:tc>
        <w:tc>
          <w:tcPr>
            <w:tcW w:w="352" w:type="pct"/>
            <w:shd w:val="clear" w:color="auto" w:fill="auto"/>
            <w:vAlign w:val="center"/>
          </w:tcPr>
          <w:p w14:paraId="728DFAF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547D09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626F05B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（置于机器人2轴）</w:t>
            </w:r>
          </w:p>
        </w:tc>
      </w:tr>
      <w:tr w14:paraId="6D79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3BB3AB5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0B30C87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CCBD15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rPr>
              <w:t>空气分配控制单元</w:t>
            </w:r>
          </w:p>
        </w:tc>
        <w:tc>
          <w:tcPr>
            <w:tcW w:w="352" w:type="pct"/>
            <w:shd w:val="clear" w:color="auto" w:fill="auto"/>
            <w:vAlign w:val="center"/>
          </w:tcPr>
          <w:p w14:paraId="26F718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3978836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23D0D53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97F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3FBFC60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631091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C241E9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标准型示教器</w:t>
            </w:r>
          </w:p>
        </w:tc>
        <w:tc>
          <w:tcPr>
            <w:tcW w:w="352" w:type="pct"/>
            <w:shd w:val="clear" w:color="auto" w:fill="auto"/>
            <w:vAlign w:val="center"/>
          </w:tcPr>
          <w:p w14:paraId="3B6F1CD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4FBD626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785CA6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独立的操作系统，窗口化界面，可进行中英切换</w:t>
            </w:r>
          </w:p>
        </w:tc>
      </w:tr>
      <w:tr w14:paraId="1784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279" w:type="pct"/>
            <w:vMerge w:val="restart"/>
            <w:vAlign w:val="center"/>
          </w:tcPr>
          <w:p w14:paraId="49326C4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w:t>
            </w:r>
          </w:p>
        </w:tc>
        <w:tc>
          <w:tcPr>
            <w:tcW w:w="568" w:type="pct"/>
            <w:gridSpan w:val="2"/>
            <w:vMerge w:val="restart"/>
            <w:vAlign w:val="center"/>
          </w:tcPr>
          <w:p w14:paraId="2396E96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控制柜</w:t>
            </w:r>
          </w:p>
        </w:tc>
        <w:tc>
          <w:tcPr>
            <w:tcW w:w="1761" w:type="pct"/>
            <w:shd w:val="clear" w:color="auto" w:fill="auto"/>
            <w:vAlign w:val="center"/>
          </w:tcPr>
          <w:p w14:paraId="45C68A0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机器人控制柜</w:t>
            </w:r>
          </w:p>
        </w:tc>
        <w:tc>
          <w:tcPr>
            <w:tcW w:w="352" w:type="pct"/>
            <w:shd w:val="clear" w:color="auto" w:fill="auto"/>
            <w:vAlign w:val="center"/>
          </w:tcPr>
          <w:p w14:paraId="30E0FDE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75C48FD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5EFA85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1AA3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279" w:type="pct"/>
            <w:vMerge w:val="continue"/>
            <w:vAlign w:val="center"/>
          </w:tcPr>
          <w:p w14:paraId="58106F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8" w:type="pct"/>
            <w:gridSpan w:val="2"/>
            <w:vMerge w:val="continue"/>
            <w:vAlign w:val="center"/>
          </w:tcPr>
          <w:p w14:paraId="094AC85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0FE5B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旋杯转速和高压控制模块</w:t>
            </w:r>
          </w:p>
        </w:tc>
        <w:tc>
          <w:tcPr>
            <w:tcW w:w="352" w:type="pct"/>
            <w:shd w:val="clear" w:color="auto" w:fill="auto"/>
            <w:vAlign w:val="center"/>
          </w:tcPr>
          <w:p w14:paraId="0D6AE8C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1729E49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52C9760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0CE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79" w:type="pct"/>
            <w:vMerge w:val="continue"/>
            <w:vAlign w:val="center"/>
          </w:tcPr>
          <w:p w14:paraId="55CB5F2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8" w:type="pct"/>
            <w:gridSpan w:val="2"/>
            <w:vMerge w:val="continue"/>
            <w:vAlign w:val="center"/>
          </w:tcPr>
          <w:p w14:paraId="0B3628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618E099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输送链跟踪单元</w:t>
            </w:r>
          </w:p>
        </w:tc>
        <w:tc>
          <w:tcPr>
            <w:tcW w:w="352" w:type="pct"/>
            <w:shd w:val="clear" w:color="auto" w:fill="auto"/>
            <w:vAlign w:val="center"/>
          </w:tcPr>
          <w:p w14:paraId="0A2B401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2E447C9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70BDB3C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C516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279" w:type="pct"/>
            <w:vMerge w:val="continue"/>
            <w:vAlign w:val="center"/>
          </w:tcPr>
          <w:p w14:paraId="112D2E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8" w:type="pct"/>
            <w:gridSpan w:val="2"/>
            <w:vMerge w:val="continue"/>
            <w:vAlign w:val="center"/>
          </w:tcPr>
          <w:p w14:paraId="23CD5D0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21D1D26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喷房互锁信号模块</w:t>
            </w:r>
          </w:p>
        </w:tc>
        <w:tc>
          <w:tcPr>
            <w:tcW w:w="352" w:type="pct"/>
            <w:shd w:val="clear" w:color="auto" w:fill="auto"/>
            <w:vAlign w:val="center"/>
          </w:tcPr>
          <w:p w14:paraId="7802C6C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1AA759D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57F7163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DAE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79" w:type="pct"/>
            <w:vMerge w:val="continue"/>
            <w:vAlign w:val="center"/>
          </w:tcPr>
          <w:p w14:paraId="1668BC1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8" w:type="pct"/>
            <w:gridSpan w:val="2"/>
            <w:vMerge w:val="continue"/>
            <w:vAlign w:val="center"/>
          </w:tcPr>
          <w:p w14:paraId="79F3CB2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0C23A38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外部网络通讯（Profinet）</w:t>
            </w:r>
          </w:p>
        </w:tc>
        <w:tc>
          <w:tcPr>
            <w:tcW w:w="352" w:type="pct"/>
            <w:shd w:val="clear" w:color="auto" w:fill="auto"/>
            <w:vAlign w:val="center"/>
          </w:tcPr>
          <w:p w14:paraId="79278BF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48F7651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4EC821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7A44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79" w:type="pct"/>
            <w:vMerge w:val="continue"/>
            <w:vAlign w:val="center"/>
          </w:tcPr>
          <w:p w14:paraId="597FFF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8" w:type="pct"/>
            <w:gridSpan w:val="2"/>
            <w:vMerge w:val="continue"/>
            <w:vAlign w:val="center"/>
          </w:tcPr>
          <w:p w14:paraId="60DBB59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7CC90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US" w:eastAsia="zh-CN"/>
              </w:rPr>
            </w:pPr>
            <w:r>
              <w:rPr>
                <w:rFonts w:hint="eastAsia" w:ascii="宋体" w:hAnsi="宋体" w:eastAsia="宋体" w:cs="宋体"/>
                <w:color w:val="auto"/>
              </w:rPr>
              <w:t>闪存2G</w:t>
            </w:r>
            <w:r>
              <w:rPr>
                <w:rFonts w:hint="eastAsia" w:ascii="宋体" w:hAnsi="宋体" w:eastAsia="宋体" w:cs="宋体"/>
                <w:color w:val="auto"/>
                <w:lang w:val="en-US" w:eastAsia="zh-CN"/>
              </w:rPr>
              <w:t>B</w:t>
            </w:r>
          </w:p>
        </w:tc>
        <w:tc>
          <w:tcPr>
            <w:tcW w:w="352" w:type="pct"/>
            <w:shd w:val="clear" w:color="auto" w:fill="auto"/>
            <w:vAlign w:val="center"/>
          </w:tcPr>
          <w:p w14:paraId="3680A15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2232849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289EF08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AC4F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279" w:type="pct"/>
            <w:vMerge w:val="continue"/>
            <w:vAlign w:val="center"/>
          </w:tcPr>
          <w:p w14:paraId="282A968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8" w:type="pct"/>
            <w:gridSpan w:val="2"/>
            <w:vMerge w:val="continue"/>
            <w:vAlign w:val="center"/>
          </w:tcPr>
          <w:p w14:paraId="5B3C9AB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4B62450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工作站</w:t>
            </w:r>
          </w:p>
        </w:tc>
        <w:tc>
          <w:tcPr>
            <w:tcW w:w="352" w:type="pct"/>
            <w:shd w:val="clear" w:color="auto" w:fill="auto"/>
            <w:vAlign w:val="center"/>
          </w:tcPr>
          <w:p w14:paraId="569D9C3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1台</w:t>
            </w:r>
          </w:p>
        </w:tc>
        <w:tc>
          <w:tcPr>
            <w:tcW w:w="916" w:type="pct"/>
            <w:shd w:val="clear" w:color="auto" w:fill="auto"/>
            <w:vAlign w:val="center"/>
          </w:tcPr>
          <w:p w14:paraId="09F5F01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70DC24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主流配置</w:t>
            </w:r>
          </w:p>
        </w:tc>
      </w:tr>
      <w:tr w14:paraId="0A03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restart"/>
            <w:shd w:val="clear" w:color="auto" w:fill="auto"/>
            <w:vAlign w:val="center"/>
          </w:tcPr>
          <w:p w14:paraId="70098E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3</w:t>
            </w:r>
          </w:p>
        </w:tc>
        <w:tc>
          <w:tcPr>
            <w:tcW w:w="561" w:type="pct"/>
            <w:vMerge w:val="restart"/>
            <w:shd w:val="clear" w:color="auto" w:fill="auto"/>
            <w:vAlign w:val="center"/>
          </w:tcPr>
          <w:p w14:paraId="33B03FF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喷涂工具</w:t>
            </w:r>
          </w:p>
        </w:tc>
        <w:tc>
          <w:tcPr>
            <w:tcW w:w="1761" w:type="pct"/>
            <w:shd w:val="clear" w:color="auto" w:fill="auto"/>
            <w:vAlign w:val="center"/>
          </w:tcPr>
          <w:p w14:paraId="22F4EB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钛合金杯头</w:t>
            </w:r>
          </w:p>
        </w:tc>
        <w:tc>
          <w:tcPr>
            <w:tcW w:w="352" w:type="pct"/>
            <w:shd w:val="clear" w:color="auto" w:fill="auto"/>
            <w:vAlign w:val="center"/>
          </w:tcPr>
          <w:p w14:paraId="0EDBE0C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4个</w:t>
            </w:r>
          </w:p>
        </w:tc>
        <w:tc>
          <w:tcPr>
            <w:tcW w:w="916" w:type="pct"/>
            <w:shd w:val="clear" w:color="auto" w:fill="auto"/>
            <w:vAlign w:val="center"/>
          </w:tcPr>
          <w:p w14:paraId="48C56F4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6E510B7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3B93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shd w:val="clear" w:color="auto" w:fill="auto"/>
            <w:vAlign w:val="center"/>
          </w:tcPr>
          <w:p w14:paraId="425A92D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2F86E45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47FD79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水性静电旋杯</w:t>
            </w:r>
          </w:p>
        </w:tc>
        <w:tc>
          <w:tcPr>
            <w:tcW w:w="352" w:type="pct"/>
            <w:shd w:val="clear" w:color="auto" w:fill="auto"/>
            <w:vAlign w:val="center"/>
          </w:tcPr>
          <w:p w14:paraId="7B65EF6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5E92CCB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5600387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27E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2C309DA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6595FB6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5F9428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高电压发生器（0~100kV）</w:t>
            </w:r>
          </w:p>
        </w:tc>
        <w:tc>
          <w:tcPr>
            <w:tcW w:w="352" w:type="pct"/>
            <w:shd w:val="clear" w:color="auto" w:fill="auto"/>
            <w:vAlign w:val="center"/>
          </w:tcPr>
          <w:p w14:paraId="4852632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4件</w:t>
            </w:r>
          </w:p>
        </w:tc>
        <w:tc>
          <w:tcPr>
            <w:tcW w:w="916" w:type="pct"/>
            <w:shd w:val="clear" w:color="auto" w:fill="auto"/>
            <w:vAlign w:val="center"/>
          </w:tcPr>
          <w:p w14:paraId="480C1B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703A243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BCB8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30C5046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0F5B800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7EC43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闭环转速控制</w:t>
            </w:r>
          </w:p>
        </w:tc>
        <w:tc>
          <w:tcPr>
            <w:tcW w:w="352" w:type="pct"/>
            <w:shd w:val="clear" w:color="auto" w:fill="auto"/>
            <w:vAlign w:val="center"/>
          </w:tcPr>
          <w:p w14:paraId="60628E9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4件</w:t>
            </w:r>
          </w:p>
        </w:tc>
        <w:tc>
          <w:tcPr>
            <w:tcW w:w="916" w:type="pct"/>
            <w:shd w:val="clear" w:color="auto" w:fill="auto"/>
            <w:vAlign w:val="center"/>
          </w:tcPr>
          <w:p w14:paraId="20272CC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2D242CD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666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13819DF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26DB502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4DE5E8A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成型空气闭环控制</w:t>
            </w:r>
          </w:p>
        </w:tc>
        <w:tc>
          <w:tcPr>
            <w:tcW w:w="352" w:type="pct"/>
            <w:shd w:val="clear" w:color="auto" w:fill="auto"/>
            <w:vAlign w:val="center"/>
          </w:tcPr>
          <w:p w14:paraId="1C581E3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4件</w:t>
            </w:r>
          </w:p>
        </w:tc>
        <w:tc>
          <w:tcPr>
            <w:tcW w:w="916" w:type="pct"/>
            <w:shd w:val="clear" w:color="auto" w:fill="auto"/>
            <w:vAlign w:val="center"/>
          </w:tcPr>
          <w:p w14:paraId="664C453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2C0A61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259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286" w:type="pct"/>
            <w:gridSpan w:val="2"/>
            <w:vMerge w:val="restart"/>
            <w:shd w:val="clear" w:color="auto" w:fill="auto"/>
            <w:vAlign w:val="center"/>
          </w:tcPr>
          <w:p w14:paraId="07D53A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w:t>
            </w:r>
          </w:p>
        </w:tc>
        <w:tc>
          <w:tcPr>
            <w:tcW w:w="561" w:type="pct"/>
            <w:vMerge w:val="restart"/>
            <w:shd w:val="clear" w:color="auto" w:fill="auto"/>
            <w:vAlign w:val="center"/>
          </w:tcPr>
          <w:p w14:paraId="170E063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换色阀组及附件</w:t>
            </w:r>
          </w:p>
        </w:tc>
        <w:tc>
          <w:tcPr>
            <w:tcW w:w="1761" w:type="pct"/>
            <w:shd w:val="clear" w:color="auto" w:fill="auto"/>
            <w:vAlign w:val="center"/>
          </w:tcPr>
          <w:p w14:paraId="7800A88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rPr>
            </w:pPr>
            <w:r>
              <w:rPr>
                <w:rFonts w:hint="eastAsia" w:ascii="宋体" w:hAnsi="宋体" w:eastAsia="宋体" w:cs="宋体"/>
                <w:color w:val="auto"/>
              </w:rPr>
              <w:t>一体式阀组</w:t>
            </w:r>
          </w:p>
        </w:tc>
        <w:tc>
          <w:tcPr>
            <w:tcW w:w="352" w:type="pct"/>
            <w:vMerge w:val="restart"/>
            <w:vAlign w:val="center"/>
          </w:tcPr>
          <w:p w14:paraId="1331D2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vMerge w:val="restart"/>
            <w:vAlign w:val="center"/>
          </w:tcPr>
          <w:p w14:paraId="4DAD1B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restart"/>
            <w:vAlign w:val="center"/>
          </w:tcPr>
          <w:p w14:paraId="4276DB5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集成安装在机器人手臂上</w:t>
            </w:r>
          </w:p>
        </w:tc>
      </w:tr>
      <w:tr w14:paraId="7F7E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trPr>
        <w:tc>
          <w:tcPr>
            <w:tcW w:w="286" w:type="pct"/>
            <w:gridSpan w:val="2"/>
            <w:vMerge w:val="continue"/>
            <w:shd w:val="clear" w:color="auto" w:fill="auto"/>
            <w:vAlign w:val="center"/>
          </w:tcPr>
          <w:p w14:paraId="1AA5823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564E012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4FCD7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油漆换色阀10组，配空气、溶剂清洗阀</w:t>
            </w:r>
          </w:p>
        </w:tc>
        <w:tc>
          <w:tcPr>
            <w:tcW w:w="352" w:type="pct"/>
            <w:vMerge w:val="continue"/>
            <w:vAlign w:val="center"/>
          </w:tcPr>
          <w:p w14:paraId="3AC7C5B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6" w:type="pct"/>
            <w:vMerge w:val="continue"/>
            <w:vAlign w:val="center"/>
          </w:tcPr>
          <w:p w14:paraId="36A3D7C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vAlign w:val="center"/>
          </w:tcPr>
          <w:p w14:paraId="2F5B3E5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1F09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6DE82BF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0C63FC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B7D687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涂料压力稳压器</w:t>
            </w:r>
          </w:p>
        </w:tc>
        <w:tc>
          <w:tcPr>
            <w:tcW w:w="352" w:type="pct"/>
            <w:vMerge w:val="continue"/>
            <w:vAlign w:val="center"/>
          </w:tcPr>
          <w:p w14:paraId="45CCD2C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6" w:type="pct"/>
            <w:vMerge w:val="continue"/>
            <w:vAlign w:val="center"/>
          </w:tcPr>
          <w:p w14:paraId="5B5F50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vAlign w:val="center"/>
          </w:tcPr>
          <w:p w14:paraId="1526F63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04B8B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30F0B80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5A2E73A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50FBD66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内部清洗排泄阀</w:t>
            </w:r>
          </w:p>
        </w:tc>
        <w:tc>
          <w:tcPr>
            <w:tcW w:w="352" w:type="pct"/>
            <w:vMerge w:val="continue"/>
            <w:vAlign w:val="center"/>
          </w:tcPr>
          <w:p w14:paraId="26E56C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6" w:type="pct"/>
            <w:vMerge w:val="continue"/>
            <w:vAlign w:val="center"/>
          </w:tcPr>
          <w:p w14:paraId="03AE85F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vAlign w:val="center"/>
          </w:tcPr>
          <w:p w14:paraId="053722E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3B9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286" w:type="pct"/>
            <w:gridSpan w:val="2"/>
            <w:vMerge w:val="restart"/>
            <w:shd w:val="clear" w:color="auto" w:fill="auto"/>
            <w:vAlign w:val="center"/>
          </w:tcPr>
          <w:p w14:paraId="204E88A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5</w:t>
            </w:r>
          </w:p>
        </w:tc>
        <w:tc>
          <w:tcPr>
            <w:tcW w:w="561" w:type="pct"/>
            <w:vMerge w:val="restart"/>
            <w:shd w:val="clear" w:color="auto" w:fill="auto"/>
            <w:vAlign w:val="center"/>
          </w:tcPr>
          <w:p w14:paraId="13DEE8C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pt-BR"/>
              </w:rPr>
              <w:t>单组份齿轮泵</w:t>
            </w:r>
          </w:p>
        </w:tc>
        <w:tc>
          <w:tcPr>
            <w:tcW w:w="1761" w:type="pct"/>
            <w:shd w:val="clear" w:color="auto" w:fill="auto"/>
            <w:vAlign w:val="center"/>
          </w:tcPr>
          <w:p w14:paraId="628662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伺服电机、减速器、联轴器等</w:t>
            </w:r>
          </w:p>
        </w:tc>
        <w:tc>
          <w:tcPr>
            <w:tcW w:w="352" w:type="pct"/>
            <w:vMerge w:val="restart"/>
            <w:shd w:val="clear" w:color="auto" w:fill="auto"/>
            <w:vAlign w:val="center"/>
          </w:tcPr>
          <w:p w14:paraId="20B51A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vMerge w:val="restart"/>
            <w:shd w:val="clear" w:color="auto" w:fill="auto"/>
            <w:vAlign w:val="center"/>
          </w:tcPr>
          <w:p w14:paraId="52159E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restart"/>
            <w:shd w:val="clear" w:color="auto" w:fill="auto"/>
            <w:vAlign w:val="center"/>
          </w:tcPr>
          <w:p w14:paraId="405DA3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集成安装在机器人手臂上，置于手臂最前端</w:t>
            </w:r>
          </w:p>
        </w:tc>
      </w:tr>
      <w:tr w14:paraId="2023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286" w:type="pct"/>
            <w:gridSpan w:val="2"/>
            <w:vMerge w:val="continue"/>
            <w:shd w:val="clear" w:color="auto" w:fill="auto"/>
            <w:vAlign w:val="center"/>
          </w:tcPr>
          <w:p w14:paraId="1585E30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42FA721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61" w:type="pct"/>
            <w:shd w:val="clear" w:color="auto" w:fill="auto"/>
            <w:vAlign w:val="center"/>
          </w:tcPr>
          <w:p w14:paraId="06A6AC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齿轮泵轴清洗单元</w:t>
            </w:r>
          </w:p>
        </w:tc>
        <w:tc>
          <w:tcPr>
            <w:tcW w:w="352" w:type="pct"/>
            <w:vMerge w:val="continue"/>
            <w:shd w:val="clear" w:color="auto" w:fill="auto"/>
            <w:vAlign w:val="center"/>
          </w:tcPr>
          <w:p w14:paraId="1D31989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6" w:type="pct"/>
            <w:vMerge w:val="continue"/>
            <w:shd w:val="clear" w:color="auto" w:fill="auto"/>
            <w:vAlign w:val="center"/>
          </w:tcPr>
          <w:p w14:paraId="659DB66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shd w:val="clear" w:color="auto" w:fill="auto"/>
            <w:vAlign w:val="center"/>
          </w:tcPr>
          <w:p w14:paraId="2A0D71C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26D0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286" w:type="pct"/>
            <w:gridSpan w:val="2"/>
            <w:vMerge w:val="continue"/>
            <w:shd w:val="clear" w:color="auto" w:fill="auto"/>
            <w:vAlign w:val="center"/>
          </w:tcPr>
          <w:p w14:paraId="685070B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2A1A278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61" w:type="pct"/>
            <w:shd w:val="clear" w:color="auto" w:fill="auto"/>
            <w:vAlign w:val="center"/>
          </w:tcPr>
          <w:p w14:paraId="7EAEAB5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油漆齿轮泵</w:t>
            </w:r>
          </w:p>
        </w:tc>
        <w:tc>
          <w:tcPr>
            <w:tcW w:w="352" w:type="pct"/>
            <w:vMerge w:val="continue"/>
            <w:shd w:val="clear" w:color="auto" w:fill="auto"/>
            <w:vAlign w:val="center"/>
          </w:tcPr>
          <w:p w14:paraId="32D6AE5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6" w:type="pct"/>
            <w:vMerge w:val="continue"/>
            <w:shd w:val="clear" w:color="auto" w:fill="auto"/>
            <w:vAlign w:val="center"/>
          </w:tcPr>
          <w:p w14:paraId="39F430D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shd w:val="clear" w:color="auto" w:fill="auto"/>
            <w:vAlign w:val="center"/>
          </w:tcPr>
          <w:p w14:paraId="5B1DF19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53F3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shd w:val="clear" w:color="auto" w:fill="auto"/>
            <w:vAlign w:val="center"/>
          </w:tcPr>
          <w:p w14:paraId="6C541B5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5EC4F71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61" w:type="pct"/>
            <w:shd w:val="clear" w:color="auto" w:fill="auto"/>
            <w:vAlign w:val="center"/>
          </w:tcPr>
          <w:p w14:paraId="4BB143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计量泵进出口均需配置模拟量控制压力监控传感器</w:t>
            </w:r>
          </w:p>
        </w:tc>
        <w:tc>
          <w:tcPr>
            <w:tcW w:w="352" w:type="pct"/>
            <w:vMerge w:val="continue"/>
            <w:shd w:val="clear" w:color="auto" w:fill="auto"/>
            <w:vAlign w:val="center"/>
          </w:tcPr>
          <w:p w14:paraId="5E85E2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6" w:type="pct"/>
            <w:vMerge w:val="continue"/>
            <w:shd w:val="clear" w:color="auto" w:fill="auto"/>
            <w:vAlign w:val="center"/>
          </w:tcPr>
          <w:p w14:paraId="42EC29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shd w:val="clear" w:color="auto" w:fill="auto"/>
            <w:vAlign w:val="center"/>
          </w:tcPr>
          <w:p w14:paraId="0452BF4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1B336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restart"/>
            <w:shd w:val="clear" w:color="auto" w:fill="auto"/>
            <w:vAlign w:val="center"/>
          </w:tcPr>
          <w:p w14:paraId="596F0A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6</w:t>
            </w:r>
          </w:p>
        </w:tc>
        <w:tc>
          <w:tcPr>
            <w:tcW w:w="561" w:type="pct"/>
            <w:vMerge w:val="restart"/>
            <w:shd w:val="clear" w:color="auto" w:fill="auto"/>
            <w:vAlign w:val="center"/>
          </w:tcPr>
          <w:p w14:paraId="7BEE14C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周边设备及安全装置</w:t>
            </w:r>
          </w:p>
        </w:tc>
        <w:tc>
          <w:tcPr>
            <w:tcW w:w="1761" w:type="pct"/>
            <w:shd w:val="clear" w:color="auto" w:fill="auto"/>
            <w:vAlign w:val="center"/>
          </w:tcPr>
          <w:p w14:paraId="60B053E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安全门开关</w:t>
            </w:r>
          </w:p>
        </w:tc>
        <w:tc>
          <w:tcPr>
            <w:tcW w:w="352" w:type="pct"/>
            <w:shd w:val="clear" w:color="auto" w:fill="auto"/>
            <w:vAlign w:val="center"/>
          </w:tcPr>
          <w:p w14:paraId="1DBF510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vMerge w:val="restart"/>
            <w:vAlign w:val="center"/>
          </w:tcPr>
          <w:p w14:paraId="30AF728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restart"/>
            <w:vAlign w:val="center"/>
          </w:tcPr>
          <w:p w14:paraId="16AEC10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E237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1A6FC85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36F575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64562C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机器人启喷防爆开关</w:t>
            </w:r>
          </w:p>
        </w:tc>
        <w:tc>
          <w:tcPr>
            <w:tcW w:w="352" w:type="pct"/>
            <w:shd w:val="clear" w:color="auto" w:fill="auto"/>
            <w:vAlign w:val="center"/>
          </w:tcPr>
          <w:p w14:paraId="6F0F369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16" w:type="pct"/>
            <w:vMerge w:val="continue"/>
            <w:vAlign w:val="center"/>
          </w:tcPr>
          <w:p w14:paraId="7B3BA3E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vAlign w:val="center"/>
          </w:tcPr>
          <w:p w14:paraId="745F5FD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6438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551AB70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38B438D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F62A11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车型代码发送开关</w:t>
            </w:r>
          </w:p>
        </w:tc>
        <w:tc>
          <w:tcPr>
            <w:tcW w:w="352" w:type="pct"/>
            <w:shd w:val="clear" w:color="auto" w:fill="auto"/>
            <w:vAlign w:val="center"/>
          </w:tcPr>
          <w:p w14:paraId="5A31F47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16" w:type="pct"/>
            <w:vMerge w:val="continue"/>
            <w:vAlign w:val="center"/>
          </w:tcPr>
          <w:p w14:paraId="193A34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Merge w:val="continue"/>
            <w:vAlign w:val="center"/>
          </w:tcPr>
          <w:p w14:paraId="4F3E362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4745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6B5CC2B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4408BD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940BED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车身进出口人员检测安全光栅</w:t>
            </w:r>
          </w:p>
        </w:tc>
        <w:tc>
          <w:tcPr>
            <w:tcW w:w="352" w:type="pct"/>
            <w:shd w:val="clear" w:color="auto" w:fill="auto"/>
            <w:vAlign w:val="center"/>
          </w:tcPr>
          <w:p w14:paraId="77E1FA3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6" w:type="pct"/>
            <w:vAlign w:val="center"/>
          </w:tcPr>
          <w:p w14:paraId="6CCEEE6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Align w:val="center"/>
          </w:tcPr>
          <w:p w14:paraId="7A69E3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1.5m</w:t>
            </w:r>
          </w:p>
        </w:tc>
      </w:tr>
      <w:tr w14:paraId="52BCB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1794947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5D6F13B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477D644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喷房入口的车身有/无检测开关</w:t>
            </w:r>
          </w:p>
        </w:tc>
        <w:tc>
          <w:tcPr>
            <w:tcW w:w="352" w:type="pct"/>
            <w:shd w:val="clear" w:color="auto" w:fill="auto"/>
            <w:vAlign w:val="center"/>
          </w:tcPr>
          <w:p w14:paraId="659ED04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16" w:type="pct"/>
            <w:vAlign w:val="center"/>
          </w:tcPr>
          <w:p w14:paraId="5EC1D69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Align w:val="center"/>
          </w:tcPr>
          <w:p w14:paraId="5B7878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AF5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26F4B5F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4BE3D5D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2616F93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高电压警示灯</w:t>
            </w:r>
          </w:p>
        </w:tc>
        <w:tc>
          <w:tcPr>
            <w:tcW w:w="352" w:type="pct"/>
            <w:shd w:val="clear" w:color="auto" w:fill="auto"/>
            <w:vAlign w:val="center"/>
          </w:tcPr>
          <w:p w14:paraId="590560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vAlign w:val="center"/>
          </w:tcPr>
          <w:p w14:paraId="16913DF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Align w:val="center"/>
          </w:tcPr>
          <w:p w14:paraId="5F73B3C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7DB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vAlign w:val="center"/>
          </w:tcPr>
          <w:p w14:paraId="6513022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vAlign w:val="center"/>
          </w:tcPr>
          <w:p w14:paraId="4624849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7760AEE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机器人防护服</w:t>
            </w:r>
          </w:p>
        </w:tc>
        <w:tc>
          <w:tcPr>
            <w:tcW w:w="352" w:type="pct"/>
            <w:shd w:val="clear" w:color="auto" w:fill="auto"/>
            <w:vAlign w:val="center"/>
          </w:tcPr>
          <w:p w14:paraId="63875F7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8套</w:t>
            </w:r>
          </w:p>
        </w:tc>
        <w:tc>
          <w:tcPr>
            <w:tcW w:w="916" w:type="pct"/>
            <w:vAlign w:val="center"/>
          </w:tcPr>
          <w:p w14:paraId="28CB038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Align w:val="center"/>
          </w:tcPr>
          <w:p w14:paraId="6E605DC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7679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restart"/>
            <w:vAlign w:val="center"/>
          </w:tcPr>
          <w:p w14:paraId="484BDC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7</w:t>
            </w:r>
          </w:p>
        </w:tc>
        <w:tc>
          <w:tcPr>
            <w:tcW w:w="561" w:type="pct"/>
            <w:vMerge w:val="restart"/>
            <w:vAlign w:val="center"/>
          </w:tcPr>
          <w:p w14:paraId="49CB27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其它设备及附件</w:t>
            </w:r>
          </w:p>
        </w:tc>
        <w:tc>
          <w:tcPr>
            <w:tcW w:w="1761" w:type="pct"/>
            <w:shd w:val="clear" w:color="auto" w:fill="auto"/>
            <w:vAlign w:val="center"/>
          </w:tcPr>
          <w:p w14:paraId="2388EBA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雾化器自动清洗装置</w:t>
            </w:r>
          </w:p>
        </w:tc>
        <w:tc>
          <w:tcPr>
            <w:tcW w:w="352" w:type="pct"/>
            <w:shd w:val="clear" w:color="auto" w:fill="auto"/>
            <w:vAlign w:val="center"/>
          </w:tcPr>
          <w:p w14:paraId="18D67C4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vAlign w:val="center"/>
          </w:tcPr>
          <w:p w14:paraId="4CDC263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vAlign w:val="center"/>
          </w:tcPr>
          <w:p w14:paraId="3C5C241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1178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shd w:val="clear" w:color="auto" w:fill="auto"/>
            <w:vAlign w:val="center"/>
          </w:tcPr>
          <w:p w14:paraId="36753F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74C899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1AEBE99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压缩空气增压装置</w:t>
            </w:r>
          </w:p>
        </w:tc>
        <w:tc>
          <w:tcPr>
            <w:tcW w:w="352" w:type="pct"/>
            <w:shd w:val="clear" w:color="auto" w:fill="auto"/>
            <w:vAlign w:val="center"/>
          </w:tcPr>
          <w:p w14:paraId="2FE79C3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402436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1" w:type="pct"/>
            <w:shd w:val="clear" w:color="auto" w:fill="auto"/>
            <w:vAlign w:val="center"/>
          </w:tcPr>
          <w:p w14:paraId="1FDE925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783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shd w:val="clear" w:color="auto" w:fill="auto"/>
            <w:vAlign w:val="center"/>
          </w:tcPr>
          <w:p w14:paraId="3518C34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2A9D6FF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0B52A7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空气、涂料软管及接头</w:t>
            </w:r>
          </w:p>
        </w:tc>
        <w:tc>
          <w:tcPr>
            <w:tcW w:w="352" w:type="pct"/>
            <w:shd w:val="clear" w:color="auto" w:fill="auto"/>
            <w:vAlign w:val="center"/>
          </w:tcPr>
          <w:p w14:paraId="540AD81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6" w:type="pct"/>
            <w:shd w:val="clear" w:color="auto" w:fill="auto"/>
            <w:vAlign w:val="center"/>
          </w:tcPr>
          <w:p w14:paraId="5CDAE8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121" w:type="pct"/>
            <w:shd w:val="clear" w:color="auto" w:fill="auto"/>
            <w:vAlign w:val="center"/>
          </w:tcPr>
          <w:p w14:paraId="2BB582D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181C9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shd w:val="clear" w:color="auto" w:fill="auto"/>
            <w:vAlign w:val="center"/>
          </w:tcPr>
          <w:p w14:paraId="49D3CD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5E82EB7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41A77AB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油漆小系统接口</w:t>
            </w:r>
          </w:p>
        </w:tc>
        <w:tc>
          <w:tcPr>
            <w:tcW w:w="352" w:type="pct"/>
            <w:shd w:val="clear" w:color="auto" w:fill="auto"/>
            <w:vAlign w:val="center"/>
          </w:tcPr>
          <w:p w14:paraId="3FD2587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8套</w:t>
            </w:r>
          </w:p>
        </w:tc>
        <w:tc>
          <w:tcPr>
            <w:tcW w:w="916" w:type="pct"/>
            <w:shd w:val="clear" w:color="auto" w:fill="auto"/>
            <w:vAlign w:val="center"/>
          </w:tcPr>
          <w:p w14:paraId="16C650F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121" w:type="pct"/>
            <w:shd w:val="clear" w:color="auto" w:fill="auto"/>
            <w:vAlign w:val="center"/>
          </w:tcPr>
          <w:p w14:paraId="28B27B2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提供小系统硬件接口</w:t>
            </w:r>
          </w:p>
        </w:tc>
      </w:tr>
      <w:tr w14:paraId="2FF54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286" w:type="pct"/>
            <w:gridSpan w:val="2"/>
            <w:vMerge w:val="continue"/>
            <w:shd w:val="clear" w:color="auto" w:fill="auto"/>
            <w:vAlign w:val="center"/>
          </w:tcPr>
          <w:p w14:paraId="16C418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61" w:type="pct"/>
            <w:vMerge w:val="continue"/>
            <w:shd w:val="clear" w:color="auto" w:fill="auto"/>
            <w:vAlign w:val="center"/>
          </w:tcPr>
          <w:p w14:paraId="6D0A607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61" w:type="pct"/>
            <w:shd w:val="clear" w:color="auto" w:fill="auto"/>
            <w:vAlign w:val="center"/>
          </w:tcPr>
          <w:p w14:paraId="3212D9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2"/>
                <w:sz w:val="24"/>
              </w:rPr>
            </w:pPr>
            <w:r>
              <w:rPr>
                <w:rFonts w:hint="eastAsia" w:ascii="宋体" w:hAnsi="宋体" w:eastAsia="宋体" w:cs="宋体"/>
                <w:spacing w:val="-2"/>
                <w:sz w:val="24"/>
              </w:rPr>
              <w:t>废液回收盘</w:t>
            </w:r>
          </w:p>
        </w:tc>
        <w:tc>
          <w:tcPr>
            <w:tcW w:w="352" w:type="pct"/>
            <w:shd w:val="clear" w:color="auto" w:fill="auto"/>
            <w:vAlign w:val="center"/>
          </w:tcPr>
          <w:p w14:paraId="15D806D5">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r>
              <w:rPr>
                <w:rFonts w:hint="eastAsia" w:ascii="宋体" w:hAnsi="宋体" w:eastAsia="宋体" w:cs="宋体"/>
                <w:spacing w:val="-5"/>
              </w:rPr>
              <w:t>4套</w:t>
            </w:r>
          </w:p>
        </w:tc>
        <w:tc>
          <w:tcPr>
            <w:tcW w:w="916" w:type="pct"/>
            <w:shd w:val="clear" w:color="auto" w:fill="auto"/>
            <w:vAlign w:val="center"/>
          </w:tcPr>
          <w:p w14:paraId="7D42AD96">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rPr>
            </w:pPr>
          </w:p>
        </w:tc>
        <w:tc>
          <w:tcPr>
            <w:tcW w:w="1121" w:type="pct"/>
            <w:shd w:val="clear" w:color="auto" w:fill="auto"/>
            <w:vAlign w:val="center"/>
          </w:tcPr>
          <w:p w14:paraId="6DFE24CD">
            <w:pPr>
              <w:pStyle w:val="526"/>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p>
        </w:tc>
      </w:tr>
    </w:tbl>
    <w:p w14:paraId="77AA0793">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总站浏览能够显示各站车型</w:t>
      </w:r>
      <w:r>
        <w:rPr>
          <w:rFonts w:hint="eastAsia" w:ascii="宋体" w:hAnsi="宋体" w:eastAsia="宋体" w:cs="宋体"/>
          <w:lang w:eastAsia="zh-CN"/>
        </w:rPr>
        <w:t>、</w:t>
      </w:r>
      <w:r>
        <w:rPr>
          <w:rFonts w:hint="eastAsia" w:ascii="宋体" w:hAnsi="宋体" w:eastAsia="宋体" w:cs="宋体"/>
        </w:rPr>
        <w:t>颜色</w:t>
      </w:r>
      <w:r>
        <w:rPr>
          <w:rFonts w:hint="eastAsia" w:ascii="宋体" w:hAnsi="宋体" w:eastAsia="宋体" w:cs="宋体"/>
          <w:lang w:eastAsia="zh-CN"/>
        </w:rPr>
        <w:t>、</w:t>
      </w:r>
      <w:r>
        <w:rPr>
          <w:rFonts w:hint="eastAsia" w:ascii="宋体" w:hAnsi="宋体" w:eastAsia="宋体" w:cs="宋体"/>
        </w:rPr>
        <w:t>行进方向。</w:t>
      </w:r>
    </w:p>
    <w:p w14:paraId="600130B0">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53" w:name="_Toc490236261"/>
      <w:bookmarkStart w:id="154" w:name="_Toc392611708"/>
      <w:r>
        <w:rPr>
          <w:rFonts w:hint="eastAsia" w:ascii="宋体" w:hAnsi="宋体" w:eastAsia="宋体" w:cs="宋体"/>
        </w:rPr>
        <w:t>清漆CC外喷站</w:t>
      </w:r>
      <w:bookmarkEnd w:id="153"/>
      <w:bookmarkEnd w:id="154"/>
      <w:r>
        <w:rPr>
          <w:rFonts w:hint="eastAsia" w:ascii="宋体" w:hAnsi="宋体" w:eastAsia="宋体" w:cs="宋体"/>
        </w:rPr>
        <w:t>：一个清漆外喷站，2台带内加电静电旋杯喷涂的机器人。</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
        <w:gridCol w:w="1068"/>
        <w:gridCol w:w="3420"/>
        <w:gridCol w:w="680"/>
        <w:gridCol w:w="1764"/>
        <w:gridCol w:w="2170"/>
      </w:tblGrid>
      <w:tr w14:paraId="6A7E0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6" w:type="pct"/>
            <w:shd w:val="clear" w:color="auto" w:fill="auto"/>
            <w:vAlign w:val="center"/>
          </w:tcPr>
          <w:p w14:paraId="1DEAB79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bookmarkStart w:id="155" w:name="_Toc490236262"/>
            <w:bookmarkStart w:id="156" w:name="_Toc470188374"/>
            <w:r>
              <w:rPr>
                <w:rFonts w:hint="eastAsia" w:ascii="宋体" w:hAnsi="宋体" w:eastAsia="宋体" w:cs="宋体"/>
                <w:color w:val="auto"/>
              </w:rPr>
              <w:t>序号</w:t>
            </w:r>
          </w:p>
        </w:tc>
        <w:tc>
          <w:tcPr>
            <w:tcW w:w="553" w:type="pct"/>
            <w:shd w:val="clear" w:color="auto" w:fill="auto"/>
            <w:vAlign w:val="center"/>
          </w:tcPr>
          <w:p w14:paraId="3C5579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设备</w:t>
            </w:r>
          </w:p>
        </w:tc>
        <w:tc>
          <w:tcPr>
            <w:tcW w:w="1770" w:type="pct"/>
            <w:shd w:val="clear" w:color="auto" w:fill="auto"/>
            <w:vAlign w:val="center"/>
          </w:tcPr>
          <w:p w14:paraId="14995A0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详细内容</w:t>
            </w:r>
          </w:p>
        </w:tc>
        <w:tc>
          <w:tcPr>
            <w:tcW w:w="352" w:type="pct"/>
            <w:shd w:val="clear" w:color="auto" w:fill="auto"/>
            <w:vAlign w:val="center"/>
          </w:tcPr>
          <w:p w14:paraId="1CBABA1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数量</w:t>
            </w:r>
          </w:p>
        </w:tc>
        <w:tc>
          <w:tcPr>
            <w:tcW w:w="913" w:type="pct"/>
            <w:shd w:val="clear" w:color="auto" w:fill="auto"/>
            <w:vAlign w:val="center"/>
          </w:tcPr>
          <w:p w14:paraId="280DAEBE">
            <w:pPr>
              <w:pStyle w:val="210"/>
              <w:pageBreakBefore w:val="0"/>
              <w:kinsoku/>
              <w:wordWrap/>
              <w:topLinePunct w:val="0"/>
              <w:bidi w:val="0"/>
              <w:adjustRightInd w:val="0"/>
              <w:snapToGrid w:val="0"/>
              <w:spacing w:afterAutospacing="0" w:line="240" w:lineRule="auto"/>
              <w:ind w:left="0" w:leftChars="0" w:firstLine="0" w:firstLineChars="0"/>
              <w:jc w:val="center"/>
            </w:pPr>
            <w:r>
              <w:rPr>
                <w:rFonts w:hint="eastAsia" w:ascii="宋体" w:hAnsi="宋体" w:eastAsia="宋体" w:cs="宋体"/>
                <w:color w:val="auto"/>
              </w:rPr>
              <w:t>品牌</w:t>
            </w:r>
          </w:p>
          <w:p w14:paraId="18E726C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rPr>
            </w:pPr>
            <w:r>
              <w:rPr>
                <w:rFonts w:hint="eastAsia" w:ascii="宋体" w:hAnsi="宋体" w:cs="宋体"/>
                <w:color w:val="auto"/>
                <w:lang w:val="en-US" w:eastAsia="zh-CN"/>
              </w:rPr>
              <w:t>详见外购件品牌清单</w:t>
            </w:r>
          </w:p>
        </w:tc>
        <w:tc>
          <w:tcPr>
            <w:tcW w:w="1123" w:type="pct"/>
            <w:shd w:val="clear" w:color="auto" w:fill="auto"/>
            <w:vAlign w:val="center"/>
          </w:tcPr>
          <w:p w14:paraId="6D21974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备注</w:t>
            </w:r>
          </w:p>
        </w:tc>
      </w:tr>
      <w:tr w14:paraId="4BA2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restart"/>
            <w:shd w:val="clear" w:color="auto" w:fill="auto"/>
            <w:vAlign w:val="center"/>
          </w:tcPr>
          <w:p w14:paraId="2EC37BD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w:t>
            </w:r>
          </w:p>
          <w:p w14:paraId="4454B96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restart"/>
            <w:shd w:val="clear" w:color="auto" w:fill="auto"/>
            <w:vAlign w:val="center"/>
          </w:tcPr>
          <w:p w14:paraId="0D23370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喷涂机器人</w:t>
            </w:r>
          </w:p>
        </w:tc>
        <w:tc>
          <w:tcPr>
            <w:tcW w:w="1770" w:type="pct"/>
            <w:shd w:val="clear" w:color="auto" w:fill="auto"/>
            <w:vAlign w:val="center"/>
          </w:tcPr>
          <w:p w14:paraId="370C315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机器人本体，防爆，壁挂式， 带工艺臂</w:t>
            </w:r>
          </w:p>
        </w:tc>
        <w:tc>
          <w:tcPr>
            <w:tcW w:w="352" w:type="pct"/>
            <w:shd w:val="clear" w:color="auto" w:fill="auto"/>
            <w:vAlign w:val="center"/>
          </w:tcPr>
          <w:p w14:paraId="7F2E4B1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7A6350C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117B542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F023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452310E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5FB90E1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38B6963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机器人与机器人控制柜间专用电缆</w:t>
            </w:r>
          </w:p>
        </w:tc>
        <w:tc>
          <w:tcPr>
            <w:tcW w:w="352" w:type="pct"/>
            <w:shd w:val="clear" w:color="auto" w:fill="auto"/>
            <w:vAlign w:val="center"/>
          </w:tcPr>
          <w:p w14:paraId="2FF91DC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7E9BA63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3946D0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1067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14FD55E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9CE536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0470092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机器人防爆吹扫单元</w:t>
            </w:r>
          </w:p>
        </w:tc>
        <w:tc>
          <w:tcPr>
            <w:tcW w:w="352" w:type="pct"/>
            <w:shd w:val="clear" w:color="auto" w:fill="auto"/>
            <w:vAlign w:val="center"/>
          </w:tcPr>
          <w:p w14:paraId="053B24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130F34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C56617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2CB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72A1BF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6688A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5153FFF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AU"/>
              </w:rPr>
              <w:t>整形1空气比例阀控制系统</w:t>
            </w:r>
          </w:p>
        </w:tc>
        <w:tc>
          <w:tcPr>
            <w:tcW w:w="352" w:type="pct"/>
            <w:shd w:val="clear" w:color="auto" w:fill="auto"/>
            <w:vAlign w:val="center"/>
          </w:tcPr>
          <w:p w14:paraId="4C5F9A8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533307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3BDB27B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置于2轴手臂处</w:t>
            </w:r>
          </w:p>
        </w:tc>
      </w:tr>
      <w:tr w14:paraId="6D146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6F4FE21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47691C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07548DE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lang w:val="en-AU"/>
              </w:rPr>
              <w:t>整形2空气比例阀控制系统</w:t>
            </w:r>
          </w:p>
        </w:tc>
        <w:tc>
          <w:tcPr>
            <w:tcW w:w="352" w:type="pct"/>
            <w:shd w:val="clear" w:color="auto" w:fill="auto"/>
            <w:vAlign w:val="center"/>
          </w:tcPr>
          <w:p w14:paraId="6B30A0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0C4E2F6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082779B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置于2轴手臂处</w:t>
            </w:r>
          </w:p>
        </w:tc>
      </w:tr>
      <w:tr w14:paraId="55612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71E86D3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55EE550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1C1C51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lang w:val="en-AU"/>
              </w:rPr>
              <w:t>空气马达驱动比例阀控制系统</w:t>
            </w:r>
          </w:p>
        </w:tc>
        <w:tc>
          <w:tcPr>
            <w:tcW w:w="352" w:type="pct"/>
            <w:shd w:val="clear" w:color="auto" w:fill="auto"/>
            <w:vAlign w:val="center"/>
          </w:tcPr>
          <w:p w14:paraId="4242C27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3A98CF2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E58F19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置于2轴手臂处</w:t>
            </w:r>
          </w:p>
        </w:tc>
      </w:tr>
      <w:tr w14:paraId="3E07E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7964FEB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6A4DE58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5251372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AU"/>
              </w:rPr>
            </w:pPr>
            <w:r>
              <w:rPr>
                <w:rFonts w:hint="eastAsia" w:ascii="宋体" w:hAnsi="宋体" w:eastAsia="宋体" w:cs="宋体"/>
                <w:color w:val="auto"/>
              </w:rPr>
              <w:t>功能先导阀，用于开关枪</w:t>
            </w:r>
          </w:p>
        </w:tc>
        <w:tc>
          <w:tcPr>
            <w:tcW w:w="352" w:type="pct"/>
            <w:shd w:val="clear" w:color="auto" w:fill="auto"/>
            <w:vAlign w:val="center"/>
          </w:tcPr>
          <w:p w14:paraId="1883CBF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32B385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1C2B12D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置于2轴手臂处</w:t>
            </w:r>
          </w:p>
        </w:tc>
      </w:tr>
      <w:tr w14:paraId="50416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2B96BBC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1D62AF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63EE0BB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空气分配控制单元</w:t>
            </w:r>
          </w:p>
        </w:tc>
        <w:tc>
          <w:tcPr>
            <w:tcW w:w="352" w:type="pct"/>
            <w:shd w:val="clear" w:color="auto" w:fill="auto"/>
            <w:vAlign w:val="center"/>
          </w:tcPr>
          <w:p w14:paraId="061B14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31CC548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285421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F4A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286" w:type="pct"/>
            <w:vMerge w:val="continue"/>
            <w:vAlign w:val="center"/>
          </w:tcPr>
          <w:p w14:paraId="12266D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3132F5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6A6013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标准型示教器</w:t>
            </w:r>
          </w:p>
        </w:tc>
        <w:tc>
          <w:tcPr>
            <w:tcW w:w="352" w:type="pct"/>
            <w:shd w:val="clear" w:color="auto" w:fill="auto"/>
            <w:vAlign w:val="center"/>
          </w:tcPr>
          <w:p w14:paraId="6E9101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1BEB944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11522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独立的操作系统，窗口化界面，可进行中英切换</w:t>
            </w:r>
          </w:p>
        </w:tc>
      </w:tr>
      <w:tr w14:paraId="7762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286" w:type="pct"/>
            <w:vMerge w:val="restart"/>
            <w:vAlign w:val="center"/>
          </w:tcPr>
          <w:p w14:paraId="67EEFEB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w:t>
            </w:r>
          </w:p>
        </w:tc>
        <w:tc>
          <w:tcPr>
            <w:tcW w:w="553" w:type="pct"/>
            <w:vMerge w:val="restart"/>
            <w:vAlign w:val="center"/>
          </w:tcPr>
          <w:p w14:paraId="57F5023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控制柜</w:t>
            </w:r>
          </w:p>
        </w:tc>
        <w:tc>
          <w:tcPr>
            <w:tcW w:w="1770" w:type="pct"/>
            <w:shd w:val="clear" w:color="auto" w:fill="auto"/>
            <w:vAlign w:val="center"/>
          </w:tcPr>
          <w:p w14:paraId="4F5350D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机器人控制柜</w:t>
            </w:r>
          </w:p>
        </w:tc>
        <w:tc>
          <w:tcPr>
            <w:tcW w:w="352" w:type="pct"/>
            <w:shd w:val="clear" w:color="auto" w:fill="auto"/>
            <w:vAlign w:val="center"/>
          </w:tcPr>
          <w:p w14:paraId="72EE4B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48D87FD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09835BF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7FDB6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86" w:type="pct"/>
            <w:vMerge w:val="continue"/>
            <w:vAlign w:val="center"/>
          </w:tcPr>
          <w:p w14:paraId="78F3D0F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436C763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2FFEE7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旋杯转速和高压控制模块</w:t>
            </w:r>
          </w:p>
        </w:tc>
        <w:tc>
          <w:tcPr>
            <w:tcW w:w="352" w:type="pct"/>
            <w:shd w:val="clear" w:color="auto" w:fill="auto"/>
            <w:vAlign w:val="center"/>
          </w:tcPr>
          <w:p w14:paraId="546E18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1AEDC39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1BFE280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DEB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286" w:type="pct"/>
            <w:vMerge w:val="continue"/>
            <w:vAlign w:val="center"/>
          </w:tcPr>
          <w:p w14:paraId="0C0DAC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4C19201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14EFE75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喷房互锁信号模块</w:t>
            </w:r>
          </w:p>
        </w:tc>
        <w:tc>
          <w:tcPr>
            <w:tcW w:w="352" w:type="pct"/>
            <w:shd w:val="clear" w:color="auto" w:fill="auto"/>
            <w:vAlign w:val="center"/>
          </w:tcPr>
          <w:p w14:paraId="7CF61EE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722EC9C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6126395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7DB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286" w:type="pct"/>
            <w:vMerge w:val="continue"/>
            <w:vAlign w:val="center"/>
          </w:tcPr>
          <w:p w14:paraId="36F08D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15AC028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15A80CD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外部网络通讯（Profinet）</w:t>
            </w:r>
          </w:p>
        </w:tc>
        <w:tc>
          <w:tcPr>
            <w:tcW w:w="352" w:type="pct"/>
            <w:shd w:val="clear" w:color="auto" w:fill="auto"/>
            <w:vAlign w:val="center"/>
          </w:tcPr>
          <w:p w14:paraId="5F986B8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3A8BA23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01EB67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5F05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86" w:type="pct"/>
            <w:vMerge w:val="continue"/>
            <w:vAlign w:val="center"/>
          </w:tcPr>
          <w:p w14:paraId="6079243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604C016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0EEC0B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highlight w:val="yellow"/>
                <w:lang w:val="en-US" w:eastAsia="zh-CN"/>
              </w:rPr>
            </w:pPr>
            <w:r>
              <w:rPr>
                <w:rFonts w:hint="eastAsia" w:ascii="宋体" w:hAnsi="宋体" w:eastAsia="宋体" w:cs="宋体"/>
                <w:color w:val="auto"/>
              </w:rPr>
              <w:t>闪存2G</w:t>
            </w:r>
            <w:r>
              <w:rPr>
                <w:rFonts w:hint="eastAsia" w:ascii="宋体" w:hAnsi="宋体" w:eastAsia="宋体" w:cs="宋体"/>
                <w:color w:val="auto"/>
                <w:lang w:val="en-US" w:eastAsia="zh-CN"/>
              </w:rPr>
              <w:t>B</w:t>
            </w:r>
          </w:p>
        </w:tc>
        <w:tc>
          <w:tcPr>
            <w:tcW w:w="352" w:type="pct"/>
            <w:shd w:val="clear" w:color="auto" w:fill="auto"/>
            <w:vAlign w:val="center"/>
          </w:tcPr>
          <w:p w14:paraId="137DF2B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1D17ADE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05C4F0A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EA43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286" w:type="pct"/>
            <w:vMerge w:val="continue"/>
            <w:vAlign w:val="center"/>
          </w:tcPr>
          <w:p w14:paraId="505B37C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4204AF6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636CDE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工作站</w:t>
            </w:r>
          </w:p>
        </w:tc>
        <w:tc>
          <w:tcPr>
            <w:tcW w:w="352" w:type="pct"/>
            <w:shd w:val="clear" w:color="auto" w:fill="auto"/>
            <w:vAlign w:val="center"/>
          </w:tcPr>
          <w:p w14:paraId="170E2CF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1台</w:t>
            </w:r>
          </w:p>
        </w:tc>
        <w:tc>
          <w:tcPr>
            <w:tcW w:w="913" w:type="pct"/>
            <w:shd w:val="clear" w:color="auto" w:fill="auto"/>
            <w:vAlign w:val="center"/>
          </w:tcPr>
          <w:p w14:paraId="429F207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656EF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主流配置</w:t>
            </w:r>
          </w:p>
        </w:tc>
      </w:tr>
      <w:tr w14:paraId="189EE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restart"/>
            <w:shd w:val="clear" w:color="auto" w:fill="auto"/>
            <w:vAlign w:val="center"/>
          </w:tcPr>
          <w:p w14:paraId="3F64160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3</w:t>
            </w:r>
          </w:p>
        </w:tc>
        <w:tc>
          <w:tcPr>
            <w:tcW w:w="553" w:type="pct"/>
            <w:vMerge w:val="restart"/>
            <w:shd w:val="clear" w:color="auto" w:fill="auto"/>
            <w:vAlign w:val="center"/>
          </w:tcPr>
          <w:p w14:paraId="00B567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喷涂工具</w:t>
            </w:r>
          </w:p>
        </w:tc>
        <w:tc>
          <w:tcPr>
            <w:tcW w:w="1770" w:type="pct"/>
            <w:shd w:val="clear" w:color="auto" w:fill="auto"/>
            <w:vAlign w:val="center"/>
          </w:tcPr>
          <w:p w14:paraId="78502F7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溶剂型静电旋杯</w:t>
            </w:r>
          </w:p>
        </w:tc>
        <w:tc>
          <w:tcPr>
            <w:tcW w:w="352" w:type="pct"/>
            <w:shd w:val="clear" w:color="auto" w:fill="auto"/>
            <w:vAlign w:val="center"/>
          </w:tcPr>
          <w:p w14:paraId="410BD3B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39BDC7C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7DAA930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EE7A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69AA49A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752BE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7B078CD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钛合金杯头</w:t>
            </w:r>
          </w:p>
        </w:tc>
        <w:tc>
          <w:tcPr>
            <w:tcW w:w="352" w:type="pct"/>
            <w:shd w:val="clear" w:color="auto" w:fill="auto"/>
            <w:vAlign w:val="center"/>
          </w:tcPr>
          <w:p w14:paraId="4C42B2D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2个</w:t>
            </w:r>
          </w:p>
        </w:tc>
        <w:tc>
          <w:tcPr>
            <w:tcW w:w="913" w:type="pct"/>
            <w:shd w:val="clear" w:color="auto" w:fill="auto"/>
            <w:vAlign w:val="center"/>
          </w:tcPr>
          <w:p w14:paraId="72A1559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649461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D4F2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6EA82A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313EBB7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73E18C3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高电压发生器（0～100kV）</w:t>
            </w:r>
          </w:p>
        </w:tc>
        <w:tc>
          <w:tcPr>
            <w:tcW w:w="352" w:type="pct"/>
            <w:shd w:val="clear" w:color="auto" w:fill="auto"/>
            <w:vAlign w:val="center"/>
          </w:tcPr>
          <w:p w14:paraId="2E221E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2件</w:t>
            </w:r>
          </w:p>
        </w:tc>
        <w:tc>
          <w:tcPr>
            <w:tcW w:w="913" w:type="pct"/>
            <w:shd w:val="clear" w:color="auto" w:fill="auto"/>
            <w:vAlign w:val="center"/>
          </w:tcPr>
          <w:p w14:paraId="02C915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2490473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46A86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1FBA0D2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770722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733A274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闭环转速控制</w:t>
            </w:r>
          </w:p>
        </w:tc>
        <w:tc>
          <w:tcPr>
            <w:tcW w:w="352" w:type="pct"/>
            <w:shd w:val="clear" w:color="auto" w:fill="auto"/>
            <w:vAlign w:val="center"/>
          </w:tcPr>
          <w:p w14:paraId="7D2381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2件</w:t>
            </w:r>
          </w:p>
        </w:tc>
        <w:tc>
          <w:tcPr>
            <w:tcW w:w="913" w:type="pct"/>
            <w:shd w:val="clear" w:color="auto" w:fill="auto"/>
            <w:vAlign w:val="center"/>
          </w:tcPr>
          <w:p w14:paraId="3B0C2D4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17B949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7DFEF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7179F60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0C36A0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5131BB9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成型空气闭环控制</w:t>
            </w:r>
          </w:p>
        </w:tc>
        <w:tc>
          <w:tcPr>
            <w:tcW w:w="352" w:type="pct"/>
            <w:shd w:val="clear" w:color="auto" w:fill="auto"/>
            <w:vAlign w:val="center"/>
          </w:tcPr>
          <w:p w14:paraId="2528AB0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2件</w:t>
            </w:r>
          </w:p>
        </w:tc>
        <w:tc>
          <w:tcPr>
            <w:tcW w:w="913" w:type="pct"/>
            <w:shd w:val="clear" w:color="auto" w:fill="auto"/>
            <w:vAlign w:val="center"/>
          </w:tcPr>
          <w:p w14:paraId="40478EB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0A40558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09F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86" w:type="pct"/>
            <w:vMerge w:val="restart"/>
            <w:shd w:val="clear" w:color="auto" w:fill="auto"/>
            <w:vAlign w:val="center"/>
          </w:tcPr>
          <w:p w14:paraId="5CA6427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w:t>
            </w:r>
          </w:p>
        </w:tc>
        <w:tc>
          <w:tcPr>
            <w:tcW w:w="553" w:type="pct"/>
            <w:vMerge w:val="restart"/>
            <w:shd w:val="clear" w:color="auto" w:fill="auto"/>
            <w:vAlign w:val="center"/>
          </w:tcPr>
          <w:p w14:paraId="0C8118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换色阀组及附件</w:t>
            </w:r>
          </w:p>
        </w:tc>
        <w:tc>
          <w:tcPr>
            <w:tcW w:w="1770" w:type="pct"/>
            <w:shd w:val="clear" w:color="auto" w:fill="auto"/>
            <w:vAlign w:val="center"/>
          </w:tcPr>
          <w:p w14:paraId="3ABBCEB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rPr>
            </w:pPr>
            <w:r>
              <w:rPr>
                <w:rFonts w:hint="eastAsia" w:ascii="宋体" w:hAnsi="宋体" w:eastAsia="宋体" w:cs="宋体"/>
                <w:color w:val="auto"/>
              </w:rPr>
              <w:t>清漆油漆换色阀</w:t>
            </w:r>
            <w:r>
              <w:rPr>
                <w:rFonts w:hint="eastAsia" w:ascii="宋体" w:hAnsi="宋体" w:eastAsia="宋体" w:cs="宋体"/>
                <w:color w:val="auto"/>
                <w:lang w:val="en-US" w:eastAsia="zh-CN"/>
              </w:rPr>
              <w:t>3</w:t>
            </w:r>
            <w:r>
              <w:rPr>
                <w:rFonts w:hint="eastAsia" w:ascii="宋体" w:hAnsi="宋体" w:eastAsia="宋体" w:cs="宋体"/>
                <w:color w:val="auto"/>
              </w:rPr>
              <w:t>组（备</w:t>
            </w:r>
            <w:r>
              <w:rPr>
                <w:rFonts w:hint="eastAsia" w:ascii="宋体" w:hAnsi="宋体" w:eastAsia="宋体" w:cs="宋体"/>
                <w:color w:val="auto"/>
                <w:lang w:val="en-US" w:eastAsia="zh-CN"/>
              </w:rPr>
              <w:t>2</w:t>
            </w:r>
            <w:r>
              <w:rPr>
                <w:rFonts w:hint="eastAsia" w:ascii="宋体" w:hAnsi="宋体" w:eastAsia="宋体" w:cs="宋体"/>
                <w:color w:val="auto"/>
              </w:rPr>
              <w:t>组），另配空气、溶剂清洗阀</w:t>
            </w:r>
          </w:p>
        </w:tc>
        <w:tc>
          <w:tcPr>
            <w:tcW w:w="352" w:type="pct"/>
            <w:vMerge w:val="restart"/>
            <w:shd w:val="clear" w:color="auto" w:fill="auto"/>
            <w:vAlign w:val="center"/>
          </w:tcPr>
          <w:p w14:paraId="71FFB6D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vMerge w:val="restart"/>
            <w:shd w:val="clear" w:color="auto" w:fill="auto"/>
            <w:vAlign w:val="center"/>
          </w:tcPr>
          <w:p w14:paraId="1DF1E36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restart"/>
            <w:shd w:val="clear" w:color="auto" w:fill="auto"/>
            <w:vAlign w:val="center"/>
          </w:tcPr>
          <w:p w14:paraId="77F276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集成安装在机器人手臂上</w:t>
            </w:r>
          </w:p>
        </w:tc>
      </w:tr>
      <w:tr w14:paraId="50AB1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7CC24C6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091802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7E587D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清漆固化剂换色阀2组，另配溶剂清洗阀</w:t>
            </w:r>
          </w:p>
        </w:tc>
        <w:tc>
          <w:tcPr>
            <w:tcW w:w="352" w:type="pct"/>
            <w:vMerge w:val="continue"/>
            <w:vAlign w:val="center"/>
          </w:tcPr>
          <w:p w14:paraId="6C85881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vAlign w:val="center"/>
          </w:tcPr>
          <w:p w14:paraId="680E59B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vAlign w:val="center"/>
          </w:tcPr>
          <w:p w14:paraId="75A674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0CF09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205AEA5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5AB67DE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3386C3B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一体式阀组</w:t>
            </w:r>
          </w:p>
        </w:tc>
        <w:tc>
          <w:tcPr>
            <w:tcW w:w="352" w:type="pct"/>
            <w:vMerge w:val="continue"/>
            <w:vAlign w:val="center"/>
          </w:tcPr>
          <w:p w14:paraId="60CBB3F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vAlign w:val="center"/>
          </w:tcPr>
          <w:p w14:paraId="198A859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vAlign w:val="center"/>
          </w:tcPr>
          <w:p w14:paraId="1FC72AC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51D8E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6E0C9CD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4CB33E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3EF8BD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涂料压力稳压器</w:t>
            </w:r>
          </w:p>
        </w:tc>
        <w:tc>
          <w:tcPr>
            <w:tcW w:w="352" w:type="pct"/>
            <w:vMerge w:val="continue"/>
            <w:vAlign w:val="center"/>
          </w:tcPr>
          <w:p w14:paraId="01BFAEF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vAlign w:val="center"/>
          </w:tcPr>
          <w:p w14:paraId="10CB631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vAlign w:val="center"/>
          </w:tcPr>
          <w:p w14:paraId="50EAB34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437B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6" w:type="pct"/>
            <w:vMerge w:val="continue"/>
            <w:vAlign w:val="center"/>
          </w:tcPr>
          <w:p w14:paraId="7F7CF0C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62F2BE0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4C24618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内部清洗排泄阀</w:t>
            </w:r>
          </w:p>
        </w:tc>
        <w:tc>
          <w:tcPr>
            <w:tcW w:w="352" w:type="pct"/>
            <w:vMerge w:val="continue"/>
            <w:vAlign w:val="center"/>
          </w:tcPr>
          <w:p w14:paraId="178140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vAlign w:val="center"/>
          </w:tcPr>
          <w:p w14:paraId="0817547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vAlign w:val="center"/>
          </w:tcPr>
          <w:p w14:paraId="2C2BD2E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1F23D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86" w:type="pct"/>
            <w:vMerge w:val="restart"/>
            <w:shd w:val="clear" w:color="auto" w:fill="auto"/>
            <w:vAlign w:val="center"/>
          </w:tcPr>
          <w:p w14:paraId="68D1BA0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5</w:t>
            </w:r>
          </w:p>
        </w:tc>
        <w:tc>
          <w:tcPr>
            <w:tcW w:w="553" w:type="pct"/>
            <w:vMerge w:val="restart"/>
            <w:shd w:val="clear" w:color="auto" w:fill="auto"/>
            <w:vAlign w:val="center"/>
          </w:tcPr>
          <w:p w14:paraId="6B1AEF7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pt-BR"/>
              </w:rPr>
              <w:t>双组份齿轮泵</w:t>
            </w:r>
          </w:p>
        </w:tc>
        <w:tc>
          <w:tcPr>
            <w:tcW w:w="1770" w:type="pct"/>
            <w:shd w:val="clear" w:color="auto" w:fill="auto"/>
            <w:vAlign w:val="center"/>
          </w:tcPr>
          <w:p w14:paraId="0312AC6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pt-BR"/>
              </w:rPr>
              <w:t>油漆齿轮泵6.0cc</w:t>
            </w:r>
          </w:p>
        </w:tc>
        <w:tc>
          <w:tcPr>
            <w:tcW w:w="352" w:type="pct"/>
            <w:vMerge w:val="restart"/>
            <w:shd w:val="clear" w:color="auto" w:fill="auto"/>
            <w:vAlign w:val="center"/>
          </w:tcPr>
          <w:p w14:paraId="195D4E3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vMerge w:val="restart"/>
            <w:shd w:val="clear" w:color="auto" w:fill="auto"/>
            <w:vAlign w:val="center"/>
          </w:tcPr>
          <w:p w14:paraId="6CDA01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restart"/>
            <w:shd w:val="clear" w:color="auto" w:fill="auto"/>
            <w:vAlign w:val="center"/>
          </w:tcPr>
          <w:p w14:paraId="329E824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集成安装在机器人手臂上,置于手臂最前端</w:t>
            </w:r>
          </w:p>
        </w:tc>
      </w:tr>
      <w:tr w14:paraId="40C52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86" w:type="pct"/>
            <w:vMerge w:val="continue"/>
            <w:shd w:val="clear" w:color="auto" w:fill="auto"/>
            <w:vAlign w:val="center"/>
          </w:tcPr>
          <w:p w14:paraId="29CC22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shd w:val="clear" w:color="auto" w:fill="auto"/>
            <w:vAlign w:val="center"/>
          </w:tcPr>
          <w:p w14:paraId="3EC9463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70" w:type="pct"/>
            <w:shd w:val="clear" w:color="auto" w:fill="auto"/>
            <w:vAlign w:val="center"/>
          </w:tcPr>
          <w:p w14:paraId="40117D3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r>
              <w:rPr>
                <w:rFonts w:hint="eastAsia" w:ascii="宋体" w:hAnsi="宋体" w:eastAsia="宋体" w:cs="宋体"/>
                <w:color w:val="auto"/>
                <w:lang w:val="pt-BR"/>
              </w:rPr>
              <w:t>固化剂齿轮泵3.0cc</w:t>
            </w:r>
          </w:p>
        </w:tc>
        <w:tc>
          <w:tcPr>
            <w:tcW w:w="352" w:type="pct"/>
            <w:vMerge w:val="continue"/>
            <w:shd w:val="clear" w:color="auto" w:fill="auto"/>
            <w:vAlign w:val="center"/>
          </w:tcPr>
          <w:p w14:paraId="12B8BC2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shd w:val="clear" w:color="auto" w:fill="auto"/>
            <w:vAlign w:val="center"/>
          </w:tcPr>
          <w:p w14:paraId="05F1A4F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29D4D8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2B2B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286" w:type="pct"/>
            <w:vMerge w:val="continue"/>
            <w:shd w:val="clear" w:color="auto" w:fill="auto"/>
            <w:vAlign w:val="center"/>
          </w:tcPr>
          <w:p w14:paraId="560403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shd w:val="clear" w:color="auto" w:fill="auto"/>
            <w:vAlign w:val="center"/>
          </w:tcPr>
          <w:p w14:paraId="3D01CB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70" w:type="pct"/>
            <w:shd w:val="clear" w:color="auto" w:fill="auto"/>
            <w:vAlign w:val="center"/>
          </w:tcPr>
          <w:p w14:paraId="3256CF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伺服电机、减速器、联轴器等</w:t>
            </w:r>
          </w:p>
        </w:tc>
        <w:tc>
          <w:tcPr>
            <w:tcW w:w="352" w:type="pct"/>
            <w:vMerge w:val="continue"/>
            <w:shd w:val="clear" w:color="auto" w:fill="auto"/>
            <w:vAlign w:val="center"/>
          </w:tcPr>
          <w:p w14:paraId="2FE86CC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shd w:val="clear" w:color="auto" w:fill="auto"/>
            <w:vAlign w:val="center"/>
          </w:tcPr>
          <w:p w14:paraId="3B9AAF6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7589CDD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2548B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286" w:type="pct"/>
            <w:vMerge w:val="continue"/>
            <w:shd w:val="clear" w:color="auto" w:fill="auto"/>
            <w:vAlign w:val="center"/>
          </w:tcPr>
          <w:p w14:paraId="24DD85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shd w:val="clear" w:color="auto" w:fill="auto"/>
            <w:vAlign w:val="center"/>
          </w:tcPr>
          <w:p w14:paraId="073AE94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70" w:type="pct"/>
            <w:shd w:val="clear" w:color="auto" w:fill="auto"/>
            <w:vAlign w:val="center"/>
          </w:tcPr>
          <w:p w14:paraId="1BD2B07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r>
              <w:rPr>
                <w:rFonts w:hint="eastAsia" w:ascii="宋体" w:hAnsi="宋体" w:eastAsia="宋体" w:cs="宋体"/>
                <w:color w:val="auto"/>
              </w:rPr>
              <w:t>齿轮泵轴清洗单元</w:t>
            </w:r>
          </w:p>
        </w:tc>
        <w:tc>
          <w:tcPr>
            <w:tcW w:w="352" w:type="pct"/>
            <w:vMerge w:val="continue"/>
            <w:shd w:val="clear" w:color="auto" w:fill="auto"/>
            <w:vAlign w:val="center"/>
          </w:tcPr>
          <w:p w14:paraId="668F36B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shd w:val="clear" w:color="auto" w:fill="auto"/>
            <w:vAlign w:val="center"/>
          </w:tcPr>
          <w:p w14:paraId="38C6E55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348D932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3E1C3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286" w:type="pct"/>
            <w:vMerge w:val="continue"/>
            <w:shd w:val="clear" w:color="auto" w:fill="auto"/>
            <w:vAlign w:val="center"/>
          </w:tcPr>
          <w:p w14:paraId="563EFCA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shd w:val="clear" w:color="auto" w:fill="auto"/>
            <w:vAlign w:val="center"/>
          </w:tcPr>
          <w:p w14:paraId="35A88E7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pt-BR"/>
              </w:rPr>
            </w:pPr>
          </w:p>
        </w:tc>
        <w:tc>
          <w:tcPr>
            <w:tcW w:w="1770" w:type="pct"/>
            <w:shd w:val="clear" w:color="auto" w:fill="auto"/>
            <w:vAlign w:val="center"/>
          </w:tcPr>
          <w:p w14:paraId="777F594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计量泵进出口均需配置模拟量控制压力监控传感器</w:t>
            </w:r>
          </w:p>
        </w:tc>
        <w:tc>
          <w:tcPr>
            <w:tcW w:w="352" w:type="pct"/>
            <w:vMerge w:val="continue"/>
            <w:shd w:val="clear" w:color="auto" w:fill="auto"/>
            <w:vAlign w:val="center"/>
          </w:tcPr>
          <w:p w14:paraId="332A71D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13" w:type="pct"/>
            <w:vMerge w:val="continue"/>
            <w:shd w:val="clear" w:color="auto" w:fill="auto"/>
            <w:vAlign w:val="center"/>
          </w:tcPr>
          <w:p w14:paraId="4677ACC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510F1CF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5DF0D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restart"/>
            <w:shd w:val="clear" w:color="auto" w:fill="auto"/>
            <w:vAlign w:val="center"/>
          </w:tcPr>
          <w:p w14:paraId="00DA1C4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6</w:t>
            </w:r>
          </w:p>
        </w:tc>
        <w:tc>
          <w:tcPr>
            <w:tcW w:w="553" w:type="pct"/>
            <w:vMerge w:val="restart"/>
            <w:shd w:val="clear" w:color="auto" w:fill="auto"/>
            <w:vAlign w:val="center"/>
          </w:tcPr>
          <w:p w14:paraId="46298CF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周边设备及安全装置</w:t>
            </w:r>
          </w:p>
        </w:tc>
        <w:tc>
          <w:tcPr>
            <w:tcW w:w="1770" w:type="pct"/>
            <w:shd w:val="clear" w:color="auto" w:fill="auto"/>
            <w:vAlign w:val="center"/>
          </w:tcPr>
          <w:p w14:paraId="2E9E9A3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紧急停止按钮</w:t>
            </w:r>
          </w:p>
        </w:tc>
        <w:tc>
          <w:tcPr>
            <w:tcW w:w="352" w:type="pct"/>
            <w:shd w:val="clear" w:color="auto" w:fill="auto"/>
            <w:vAlign w:val="center"/>
          </w:tcPr>
          <w:p w14:paraId="4D6FA37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vMerge w:val="restart"/>
            <w:shd w:val="clear" w:color="auto" w:fill="auto"/>
            <w:vAlign w:val="center"/>
          </w:tcPr>
          <w:p w14:paraId="1ACBA90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restart"/>
            <w:shd w:val="clear" w:color="auto" w:fill="auto"/>
            <w:vAlign w:val="center"/>
          </w:tcPr>
          <w:p w14:paraId="064FF17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5CF1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3C0CE84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436D59B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37E5768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安全门开关</w:t>
            </w:r>
          </w:p>
        </w:tc>
        <w:tc>
          <w:tcPr>
            <w:tcW w:w="352" w:type="pct"/>
            <w:shd w:val="clear" w:color="auto" w:fill="auto"/>
            <w:vAlign w:val="center"/>
          </w:tcPr>
          <w:p w14:paraId="2317D0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3" w:type="pct"/>
            <w:vMerge w:val="continue"/>
            <w:shd w:val="clear" w:color="auto" w:fill="auto"/>
            <w:vAlign w:val="center"/>
          </w:tcPr>
          <w:p w14:paraId="48EB9DE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2A93EDC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EDB7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09EACD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2BA4C1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4862E4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机器人启喷防爆开关</w:t>
            </w:r>
          </w:p>
        </w:tc>
        <w:tc>
          <w:tcPr>
            <w:tcW w:w="352" w:type="pct"/>
            <w:shd w:val="clear" w:color="auto" w:fill="auto"/>
            <w:vAlign w:val="center"/>
          </w:tcPr>
          <w:p w14:paraId="072B034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13" w:type="pct"/>
            <w:vMerge w:val="continue"/>
            <w:shd w:val="clear" w:color="auto" w:fill="auto"/>
            <w:vAlign w:val="center"/>
          </w:tcPr>
          <w:p w14:paraId="12AED02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49D8F8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34454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1F2AA86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1059CD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764D8DF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车型代码发送开关</w:t>
            </w:r>
          </w:p>
        </w:tc>
        <w:tc>
          <w:tcPr>
            <w:tcW w:w="352" w:type="pct"/>
            <w:shd w:val="clear" w:color="auto" w:fill="auto"/>
            <w:vAlign w:val="center"/>
          </w:tcPr>
          <w:p w14:paraId="3AD2B1D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13" w:type="pct"/>
            <w:vMerge w:val="continue"/>
            <w:shd w:val="clear" w:color="auto" w:fill="auto"/>
            <w:vAlign w:val="center"/>
          </w:tcPr>
          <w:p w14:paraId="381B60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4EBDDA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619CD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18035F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369E85D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0A8D96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车身进出口人员检测安全光栅</w:t>
            </w:r>
          </w:p>
        </w:tc>
        <w:tc>
          <w:tcPr>
            <w:tcW w:w="352" w:type="pct"/>
            <w:shd w:val="clear" w:color="auto" w:fill="auto"/>
            <w:vAlign w:val="center"/>
          </w:tcPr>
          <w:p w14:paraId="4BE9660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shd w:val="clear" w:color="auto" w:fill="auto"/>
            <w:vAlign w:val="center"/>
          </w:tcPr>
          <w:p w14:paraId="67BD2C0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4AB8EC7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1.5m</w:t>
            </w:r>
          </w:p>
        </w:tc>
      </w:tr>
      <w:tr w14:paraId="3B985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50AFF22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6A9A16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445B2D6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喷房入口的车身有/无检测开关</w:t>
            </w:r>
          </w:p>
        </w:tc>
        <w:tc>
          <w:tcPr>
            <w:tcW w:w="352" w:type="pct"/>
            <w:shd w:val="clear" w:color="auto" w:fill="auto"/>
            <w:vAlign w:val="center"/>
          </w:tcPr>
          <w:p w14:paraId="16A595E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913" w:type="pct"/>
            <w:shd w:val="clear" w:color="auto" w:fill="auto"/>
            <w:vAlign w:val="center"/>
          </w:tcPr>
          <w:p w14:paraId="6EA239C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4614BC3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01029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6BABC21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31A14C4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0A08797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双组份紧急清洗按钮</w:t>
            </w:r>
          </w:p>
        </w:tc>
        <w:tc>
          <w:tcPr>
            <w:tcW w:w="352" w:type="pct"/>
            <w:shd w:val="clear" w:color="auto" w:fill="auto"/>
            <w:vAlign w:val="center"/>
          </w:tcPr>
          <w:p w14:paraId="41B4C55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2套</w:t>
            </w:r>
          </w:p>
        </w:tc>
        <w:tc>
          <w:tcPr>
            <w:tcW w:w="913" w:type="pct"/>
            <w:vMerge w:val="restart"/>
            <w:shd w:val="clear" w:color="auto" w:fill="auto"/>
            <w:vAlign w:val="center"/>
          </w:tcPr>
          <w:p w14:paraId="11E7B3B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restart"/>
            <w:shd w:val="clear" w:color="auto" w:fill="auto"/>
            <w:vAlign w:val="center"/>
          </w:tcPr>
          <w:p w14:paraId="7C75944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E3A0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0890BF0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236CE2B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66C829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高电压警示灯</w:t>
            </w:r>
          </w:p>
        </w:tc>
        <w:tc>
          <w:tcPr>
            <w:tcW w:w="352" w:type="pct"/>
            <w:shd w:val="clear" w:color="auto" w:fill="auto"/>
            <w:vAlign w:val="center"/>
          </w:tcPr>
          <w:p w14:paraId="12FABC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套</w:t>
            </w:r>
          </w:p>
        </w:tc>
        <w:tc>
          <w:tcPr>
            <w:tcW w:w="913" w:type="pct"/>
            <w:vMerge w:val="continue"/>
            <w:shd w:val="clear" w:color="auto" w:fill="auto"/>
            <w:vAlign w:val="center"/>
          </w:tcPr>
          <w:p w14:paraId="6176231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vMerge w:val="continue"/>
            <w:shd w:val="clear" w:color="auto" w:fill="auto"/>
            <w:vAlign w:val="center"/>
          </w:tcPr>
          <w:p w14:paraId="4387FC6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7DA1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restart"/>
            <w:shd w:val="clear" w:color="auto" w:fill="auto"/>
            <w:vAlign w:val="center"/>
          </w:tcPr>
          <w:p w14:paraId="716F23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7</w:t>
            </w:r>
          </w:p>
        </w:tc>
        <w:tc>
          <w:tcPr>
            <w:tcW w:w="553" w:type="pct"/>
            <w:vMerge w:val="restart"/>
            <w:shd w:val="clear" w:color="auto" w:fill="auto"/>
            <w:vAlign w:val="center"/>
          </w:tcPr>
          <w:p w14:paraId="15E35A5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其它设备及附件</w:t>
            </w:r>
          </w:p>
        </w:tc>
        <w:tc>
          <w:tcPr>
            <w:tcW w:w="1770" w:type="pct"/>
            <w:shd w:val="clear" w:color="auto" w:fill="auto"/>
            <w:vAlign w:val="center"/>
          </w:tcPr>
          <w:p w14:paraId="6F7A5C0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机器人防护服</w:t>
            </w:r>
          </w:p>
        </w:tc>
        <w:tc>
          <w:tcPr>
            <w:tcW w:w="352" w:type="pct"/>
            <w:shd w:val="clear" w:color="auto" w:fill="auto"/>
            <w:vAlign w:val="center"/>
          </w:tcPr>
          <w:p w14:paraId="2882AD6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4套</w:t>
            </w:r>
          </w:p>
        </w:tc>
        <w:tc>
          <w:tcPr>
            <w:tcW w:w="913" w:type="pct"/>
            <w:shd w:val="clear" w:color="auto" w:fill="auto"/>
            <w:vAlign w:val="center"/>
          </w:tcPr>
          <w:p w14:paraId="4AD8B76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47583C4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61912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shd w:val="clear" w:color="auto" w:fill="auto"/>
            <w:vAlign w:val="center"/>
          </w:tcPr>
          <w:p w14:paraId="756A89F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shd w:val="clear" w:color="auto" w:fill="auto"/>
            <w:vAlign w:val="center"/>
          </w:tcPr>
          <w:p w14:paraId="3D4C6D6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00CDC45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雾化器自动清洗装置</w:t>
            </w:r>
          </w:p>
        </w:tc>
        <w:tc>
          <w:tcPr>
            <w:tcW w:w="352" w:type="pct"/>
            <w:shd w:val="clear" w:color="auto" w:fill="auto"/>
            <w:vAlign w:val="center"/>
          </w:tcPr>
          <w:p w14:paraId="1C066D8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套</w:t>
            </w:r>
          </w:p>
        </w:tc>
        <w:tc>
          <w:tcPr>
            <w:tcW w:w="913" w:type="pct"/>
            <w:shd w:val="clear" w:color="auto" w:fill="auto"/>
            <w:vAlign w:val="center"/>
          </w:tcPr>
          <w:p w14:paraId="440CEE4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399D556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18D9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shd w:val="clear" w:color="auto" w:fill="auto"/>
            <w:vAlign w:val="center"/>
          </w:tcPr>
          <w:p w14:paraId="6E9FA9D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shd w:val="clear" w:color="auto" w:fill="auto"/>
            <w:vAlign w:val="center"/>
          </w:tcPr>
          <w:p w14:paraId="60D0CF7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1C1348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压缩空气增压装置</w:t>
            </w:r>
          </w:p>
        </w:tc>
        <w:tc>
          <w:tcPr>
            <w:tcW w:w="352" w:type="pct"/>
            <w:shd w:val="clear" w:color="auto" w:fill="auto"/>
            <w:vAlign w:val="center"/>
          </w:tcPr>
          <w:p w14:paraId="3A5F0D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套</w:t>
            </w:r>
          </w:p>
        </w:tc>
        <w:tc>
          <w:tcPr>
            <w:tcW w:w="913" w:type="pct"/>
            <w:shd w:val="clear" w:color="auto" w:fill="auto"/>
            <w:vAlign w:val="center"/>
          </w:tcPr>
          <w:p w14:paraId="610E30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3E0EF9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31E0D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86" w:type="pct"/>
            <w:vMerge w:val="continue"/>
            <w:vAlign w:val="center"/>
          </w:tcPr>
          <w:p w14:paraId="1F8502B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1BBAB5B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79A347B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空气、涂料软管及接头</w:t>
            </w:r>
          </w:p>
        </w:tc>
        <w:tc>
          <w:tcPr>
            <w:tcW w:w="352" w:type="pct"/>
            <w:shd w:val="clear" w:color="auto" w:fill="auto"/>
            <w:vAlign w:val="center"/>
          </w:tcPr>
          <w:p w14:paraId="7AF914C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套</w:t>
            </w:r>
          </w:p>
        </w:tc>
        <w:tc>
          <w:tcPr>
            <w:tcW w:w="913" w:type="pct"/>
            <w:shd w:val="clear" w:color="auto" w:fill="auto"/>
            <w:vAlign w:val="center"/>
          </w:tcPr>
          <w:p w14:paraId="2DD7BD6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56F1840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r w14:paraId="234DB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jc w:val="center"/>
        </w:trPr>
        <w:tc>
          <w:tcPr>
            <w:tcW w:w="286" w:type="pct"/>
            <w:vMerge w:val="continue"/>
            <w:vAlign w:val="center"/>
          </w:tcPr>
          <w:p w14:paraId="12D12FD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3" w:type="pct"/>
            <w:vMerge w:val="continue"/>
            <w:vAlign w:val="center"/>
          </w:tcPr>
          <w:p w14:paraId="58FC6B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70" w:type="pct"/>
            <w:shd w:val="clear" w:color="auto" w:fill="auto"/>
            <w:vAlign w:val="center"/>
          </w:tcPr>
          <w:p w14:paraId="4F3F2CD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油漆小系统接口</w:t>
            </w:r>
          </w:p>
        </w:tc>
        <w:tc>
          <w:tcPr>
            <w:tcW w:w="352" w:type="pct"/>
            <w:shd w:val="clear" w:color="auto" w:fill="auto"/>
            <w:vAlign w:val="center"/>
          </w:tcPr>
          <w:p w14:paraId="38E6D35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US" w:eastAsia="zh-CN"/>
              </w:rPr>
              <w:t>1</w:t>
            </w:r>
            <w:r>
              <w:rPr>
                <w:rFonts w:hint="eastAsia" w:ascii="宋体" w:hAnsi="宋体" w:eastAsia="宋体" w:cs="宋体"/>
                <w:color w:val="auto"/>
              </w:rPr>
              <w:t>套</w:t>
            </w:r>
          </w:p>
        </w:tc>
        <w:tc>
          <w:tcPr>
            <w:tcW w:w="913" w:type="pct"/>
            <w:shd w:val="clear" w:color="auto" w:fill="auto"/>
            <w:vAlign w:val="center"/>
          </w:tcPr>
          <w:p w14:paraId="76A772F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123" w:type="pct"/>
            <w:shd w:val="clear" w:color="auto" w:fill="auto"/>
            <w:vAlign w:val="center"/>
          </w:tcPr>
          <w:p w14:paraId="3ED537A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提供小系统硬件接口</w:t>
            </w:r>
          </w:p>
        </w:tc>
      </w:tr>
    </w:tbl>
    <w:p w14:paraId="43B60025">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sz w:val="21"/>
          <w:szCs w:val="21"/>
        </w:rPr>
      </w:pPr>
    </w:p>
    <w:bookmarkEnd w:id="155"/>
    <w:bookmarkEnd w:id="156"/>
    <w:p w14:paraId="62AD5D80">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57" w:name="_Toc490236265"/>
      <w:bookmarkStart w:id="158" w:name="_Toc392611710"/>
      <w:r>
        <w:rPr>
          <w:rFonts w:hint="eastAsia" w:ascii="宋体" w:hAnsi="宋体" w:eastAsia="宋体" w:cs="宋体"/>
        </w:rPr>
        <w:t>其他供货范围</w:t>
      </w:r>
      <w:bookmarkEnd w:id="157"/>
      <w:bookmarkEnd w:id="158"/>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21"/>
        <w:gridCol w:w="1356"/>
        <w:gridCol w:w="2881"/>
        <w:gridCol w:w="891"/>
        <w:gridCol w:w="1615"/>
        <w:gridCol w:w="2090"/>
      </w:tblGrid>
      <w:tr w14:paraId="2393F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425" w:type="pct"/>
            <w:shd w:val="clear" w:color="auto" w:fill="auto"/>
            <w:vAlign w:val="center"/>
          </w:tcPr>
          <w:p w14:paraId="1827503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702" w:type="pct"/>
            <w:shd w:val="clear" w:color="auto" w:fill="auto"/>
            <w:vAlign w:val="center"/>
          </w:tcPr>
          <w:p w14:paraId="02C8C14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w:t>
            </w:r>
          </w:p>
        </w:tc>
        <w:tc>
          <w:tcPr>
            <w:tcW w:w="1491" w:type="pct"/>
            <w:shd w:val="clear" w:color="auto" w:fill="auto"/>
            <w:vAlign w:val="center"/>
          </w:tcPr>
          <w:p w14:paraId="033D514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详细内容</w:t>
            </w:r>
          </w:p>
        </w:tc>
        <w:tc>
          <w:tcPr>
            <w:tcW w:w="461" w:type="pct"/>
            <w:shd w:val="clear" w:color="auto" w:fill="auto"/>
            <w:vAlign w:val="center"/>
          </w:tcPr>
          <w:p w14:paraId="721EFD5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836" w:type="pct"/>
            <w:vAlign w:val="center"/>
          </w:tcPr>
          <w:p w14:paraId="32BDE435">
            <w:pPr>
              <w:pStyle w:val="210"/>
              <w:pageBreakBefore w:val="0"/>
              <w:kinsoku/>
              <w:wordWrap/>
              <w:topLinePunct w:val="0"/>
              <w:bidi w:val="0"/>
              <w:adjustRightInd w:val="0"/>
              <w:snapToGrid w:val="0"/>
              <w:spacing w:afterAutospacing="0" w:line="240" w:lineRule="auto"/>
              <w:ind w:left="0" w:leftChars="0" w:firstLine="0" w:firstLineChars="0"/>
              <w:jc w:val="center"/>
              <w:rPr>
                <w:sz w:val="24"/>
                <w:szCs w:val="24"/>
              </w:rPr>
            </w:pPr>
            <w:r>
              <w:rPr>
                <w:rFonts w:hint="eastAsia" w:ascii="宋体" w:hAnsi="宋体" w:eastAsia="宋体" w:cs="宋体"/>
                <w:color w:val="auto"/>
                <w:sz w:val="24"/>
                <w:szCs w:val="24"/>
              </w:rPr>
              <w:t>品牌</w:t>
            </w:r>
          </w:p>
          <w:p w14:paraId="1327E32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sz w:val="24"/>
                <w:szCs w:val="24"/>
              </w:rPr>
            </w:pPr>
            <w:r>
              <w:rPr>
                <w:rFonts w:hint="eastAsia" w:ascii="宋体" w:hAnsi="宋体" w:cs="宋体"/>
                <w:color w:val="auto"/>
                <w:sz w:val="24"/>
                <w:szCs w:val="24"/>
                <w:lang w:val="en-US" w:eastAsia="zh-CN"/>
              </w:rPr>
              <w:t>详见外购件品牌清单</w:t>
            </w:r>
          </w:p>
        </w:tc>
        <w:tc>
          <w:tcPr>
            <w:tcW w:w="1082" w:type="pct"/>
            <w:shd w:val="clear" w:color="auto" w:fill="auto"/>
            <w:vAlign w:val="center"/>
          </w:tcPr>
          <w:p w14:paraId="4211165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14:paraId="3CB09FD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425" w:type="pct"/>
            <w:shd w:val="clear" w:color="auto" w:fill="auto"/>
            <w:vAlign w:val="center"/>
          </w:tcPr>
          <w:p w14:paraId="5B39765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702" w:type="pct"/>
            <w:shd w:val="clear" w:color="auto" w:fill="auto"/>
            <w:vAlign w:val="center"/>
          </w:tcPr>
          <w:p w14:paraId="4843DB5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bookmarkStart w:id="159" w:name="OLE_LINK2"/>
            <w:r>
              <w:rPr>
                <w:rFonts w:hint="eastAsia" w:ascii="宋体" w:hAnsi="宋体" w:eastAsia="宋体" w:cs="宋体"/>
                <w:color w:val="auto"/>
                <w:sz w:val="24"/>
                <w:szCs w:val="24"/>
              </w:rPr>
              <w:t>手工输入台</w:t>
            </w:r>
            <w:bookmarkEnd w:id="159"/>
          </w:p>
        </w:tc>
        <w:tc>
          <w:tcPr>
            <w:tcW w:w="1491" w:type="pct"/>
            <w:shd w:val="clear" w:color="auto" w:fill="auto"/>
            <w:vAlign w:val="center"/>
          </w:tcPr>
          <w:p w14:paraId="5B6721F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用于手工输入待喷车身的车型、天窗、非天窗、颜色信息</w:t>
            </w:r>
          </w:p>
        </w:tc>
        <w:tc>
          <w:tcPr>
            <w:tcW w:w="461" w:type="pct"/>
            <w:shd w:val="clear" w:color="auto" w:fill="auto"/>
            <w:vAlign w:val="center"/>
          </w:tcPr>
          <w:p w14:paraId="3E16F63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2套</w:t>
            </w:r>
          </w:p>
        </w:tc>
        <w:tc>
          <w:tcPr>
            <w:tcW w:w="836" w:type="pct"/>
            <w:vAlign w:val="center"/>
          </w:tcPr>
          <w:p w14:paraId="5FD4F52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电气（器）品牌按招标要求</w:t>
            </w:r>
          </w:p>
        </w:tc>
        <w:tc>
          <w:tcPr>
            <w:tcW w:w="1082" w:type="pct"/>
            <w:shd w:val="clear" w:color="auto" w:fill="auto"/>
            <w:vAlign w:val="center"/>
          </w:tcPr>
          <w:p w14:paraId="00C15DA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在外喷B1、内喷B2站的入口处各安装一套</w:t>
            </w:r>
          </w:p>
        </w:tc>
      </w:tr>
      <w:tr w14:paraId="27160B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425" w:type="pct"/>
            <w:shd w:val="clear" w:color="auto" w:fill="auto"/>
            <w:vAlign w:val="center"/>
          </w:tcPr>
          <w:p w14:paraId="626169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02" w:type="pct"/>
            <w:shd w:val="clear" w:color="auto" w:fill="auto"/>
            <w:vAlign w:val="center"/>
          </w:tcPr>
          <w:p w14:paraId="2BB63BB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车型二次检验装置</w:t>
            </w:r>
          </w:p>
        </w:tc>
        <w:tc>
          <w:tcPr>
            <w:tcW w:w="1491" w:type="pct"/>
            <w:shd w:val="clear" w:color="auto" w:fill="auto"/>
            <w:vAlign w:val="center"/>
          </w:tcPr>
          <w:p w14:paraId="2A36179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自动检测车型</w:t>
            </w:r>
            <w:r>
              <w:rPr>
                <w:rFonts w:hint="eastAsia" w:ascii="宋体" w:hAnsi="宋体" w:eastAsia="宋体" w:cs="宋体"/>
                <w:color w:val="auto"/>
                <w:sz w:val="24"/>
                <w:szCs w:val="24"/>
                <w:lang w:val="en-US" w:eastAsia="zh-CN"/>
              </w:rPr>
              <w:t>光电</w:t>
            </w:r>
          </w:p>
        </w:tc>
        <w:tc>
          <w:tcPr>
            <w:tcW w:w="461" w:type="pct"/>
            <w:shd w:val="clear" w:color="auto" w:fill="auto"/>
            <w:vAlign w:val="center"/>
          </w:tcPr>
          <w:p w14:paraId="3000078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2套</w:t>
            </w:r>
          </w:p>
        </w:tc>
        <w:tc>
          <w:tcPr>
            <w:tcW w:w="836" w:type="pct"/>
            <w:vAlign w:val="center"/>
          </w:tcPr>
          <w:p w14:paraId="4B50FAB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电气（器）品牌按招标要求</w:t>
            </w:r>
          </w:p>
        </w:tc>
        <w:tc>
          <w:tcPr>
            <w:tcW w:w="1082" w:type="pct"/>
            <w:shd w:val="clear" w:color="auto" w:fill="auto"/>
            <w:vAlign w:val="center"/>
          </w:tcPr>
          <w:p w14:paraId="4DE8AAF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在外喷B1、内喷B2站的入口处各安装一套</w:t>
            </w:r>
          </w:p>
        </w:tc>
      </w:tr>
      <w:tr w14:paraId="23FD4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78" w:hRule="atLeast"/>
          <w:jc w:val="center"/>
        </w:trPr>
        <w:tc>
          <w:tcPr>
            <w:tcW w:w="425" w:type="pct"/>
            <w:shd w:val="clear" w:color="auto" w:fill="auto"/>
            <w:vAlign w:val="center"/>
          </w:tcPr>
          <w:p w14:paraId="6A06ED6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702" w:type="pct"/>
            <w:shd w:val="clear" w:color="auto" w:fill="auto"/>
            <w:vAlign w:val="center"/>
          </w:tcPr>
          <w:p w14:paraId="2C9C3ED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电源分配箱</w:t>
            </w:r>
          </w:p>
        </w:tc>
        <w:tc>
          <w:tcPr>
            <w:tcW w:w="1491" w:type="pct"/>
            <w:shd w:val="clear" w:color="auto" w:fill="auto"/>
            <w:vAlign w:val="center"/>
          </w:tcPr>
          <w:p w14:paraId="02D3FC2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用于喷涂站用电设备的电源分配</w:t>
            </w:r>
          </w:p>
        </w:tc>
        <w:tc>
          <w:tcPr>
            <w:tcW w:w="461" w:type="pct"/>
            <w:shd w:val="clear" w:color="auto" w:fill="auto"/>
            <w:vAlign w:val="center"/>
          </w:tcPr>
          <w:p w14:paraId="1884564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套</w:t>
            </w:r>
          </w:p>
        </w:tc>
        <w:tc>
          <w:tcPr>
            <w:tcW w:w="836" w:type="pct"/>
            <w:vAlign w:val="center"/>
          </w:tcPr>
          <w:p w14:paraId="73B4D36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电气（器）品牌按招标要求</w:t>
            </w:r>
          </w:p>
        </w:tc>
        <w:tc>
          <w:tcPr>
            <w:tcW w:w="1082" w:type="pct"/>
            <w:shd w:val="clear" w:color="auto" w:fill="auto"/>
            <w:vAlign w:val="center"/>
          </w:tcPr>
          <w:p w14:paraId="5C7D4DA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5F593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425" w:type="pct"/>
            <w:shd w:val="clear" w:color="auto" w:fill="auto"/>
            <w:vAlign w:val="center"/>
          </w:tcPr>
          <w:p w14:paraId="573A074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702" w:type="pct"/>
            <w:shd w:val="clear" w:color="auto" w:fill="auto"/>
            <w:vAlign w:val="center"/>
          </w:tcPr>
          <w:p w14:paraId="49DA27E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编码器</w:t>
            </w:r>
          </w:p>
        </w:tc>
        <w:tc>
          <w:tcPr>
            <w:tcW w:w="1491" w:type="pct"/>
            <w:shd w:val="clear" w:color="auto" w:fill="auto"/>
            <w:vAlign w:val="center"/>
          </w:tcPr>
          <w:p w14:paraId="39CE5B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输送链编码器用于机器人的同步跟踪</w:t>
            </w:r>
          </w:p>
        </w:tc>
        <w:tc>
          <w:tcPr>
            <w:tcW w:w="461" w:type="pct"/>
            <w:shd w:val="clear" w:color="auto" w:fill="auto"/>
            <w:vAlign w:val="center"/>
          </w:tcPr>
          <w:p w14:paraId="4C6572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套</w:t>
            </w:r>
          </w:p>
        </w:tc>
        <w:tc>
          <w:tcPr>
            <w:tcW w:w="836" w:type="pct"/>
            <w:vAlign w:val="center"/>
          </w:tcPr>
          <w:p w14:paraId="567C429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34C656B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21ECBC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425" w:type="pct"/>
            <w:shd w:val="clear" w:color="auto" w:fill="auto"/>
            <w:vAlign w:val="center"/>
          </w:tcPr>
          <w:p w14:paraId="70F010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702" w:type="pct"/>
            <w:shd w:val="clear" w:color="auto" w:fill="auto"/>
            <w:vAlign w:val="center"/>
          </w:tcPr>
          <w:p w14:paraId="3F37A9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系统软件</w:t>
            </w:r>
          </w:p>
        </w:tc>
        <w:tc>
          <w:tcPr>
            <w:tcW w:w="1491" w:type="pct"/>
            <w:shd w:val="clear" w:color="auto" w:fill="auto"/>
            <w:vAlign w:val="center"/>
          </w:tcPr>
          <w:p w14:paraId="5FE2C72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PLC编程、通讯软件</w:t>
            </w:r>
          </w:p>
        </w:tc>
        <w:tc>
          <w:tcPr>
            <w:tcW w:w="461" w:type="pct"/>
            <w:shd w:val="clear" w:color="auto" w:fill="auto"/>
            <w:vAlign w:val="center"/>
          </w:tcPr>
          <w:p w14:paraId="6EF76AB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836" w:type="pct"/>
            <w:vAlign w:val="center"/>
          </w:tcPr>
          <w:p w14:paraId="221EC4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688DDD8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提供软件光盘</w:t>
            </w:r>
          </w:p>
        </w:tc>
      </w:tr>
      <w:tr w14:paraId="643024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4" w:hRule="atLeast"/>
          <w:jc w:val="center"/>
        </w:trPr>
        <w:tc>
          <w:tcPr>
            <w:tcW w:w="425" w:type="pct"/>
            <w:vMerge w:val="restart"/>
            <w:shd w:val="clear" w:color="auto" w:fill="auto"/>
            <w:vAlign w:val="center"/>
          </w:tcPr>
          <w:p w14:paraId="348393E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p w14:paraId="631DF30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702" w:type="pct"/>
            <w:vMerge w:val="restart"/>
            <w:shd w:val="clear" w:color="auto" w:fill="auto"/>
            <w:vAlign w:val="center"/>
          </w:tcPr>
          <w:p w14:paraId="277A506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喷漆线专用维修工具</w:t>
            </w:r>
          </w:p>
        </w:tc>
        <w:tc>
          <w:tcPr>
            <w:tcW w:w="1491" w:type="pct"/>
            <w:shd w:val="clear" w:color="auto" w:fill="auto"/>
            <w:vAlign w:val="center"/>
          </w:tcPr>
          <w:p w14:paraId="001CF47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双头空气喷枪专用工具</w:t>
            </w:r>
          </w:p>
        </w:tc>
        <w:tc>
          <w:tcPr>
            <w:tcW w:w="461" w:type="pct"/>
            <w:shd w:val="clear" w:color="auto" w:fill="auto"/>
            <w:vAlign w:val="center"/>
          </w:tcPr>
          <w:p w14:paraId="2474AB6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836" w:type="pct"/>
            <w:vAlign w:val="center"/>
          </w:tcPr>
          <w:p w14:paraId="29A765F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453F225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r>
      <w:tr w14:paraId="059F9B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425" w:type="pct"/>
            <w:vMerge w:val="continue"/>
            <w:shd w:val="clear" w:color="auto" w:fill="auto"/>
            <w:vAlign w:val="center"/>
          </w:tcPr>
          <w:p w14:paraId="42D4452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702" w:type="pct"/>
            <w:vMerge w:val="continue"/>
            <w:shd w:val="clear" w:color="auto" w:fill="auto"/>
            <w:vAlign w:val="center"/>
          </w:tcPr>
          <w:p w14:paraId="29D9140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1491" w:type="pct"/>
            <w:shd w:val="clear" w:color="auto" w:fill="auto"/>
            <w:vAlign w:val="center"/>
          </w:tcPr>
          <w:p w14:paraId="4824E3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齿轮泵维修专用工具</w:t>
            </w:r>
          </w:p>
        </w:tc>
        <w:tc>
          <w:tcPr>
            <w:tcW w:w="461" w:type="pct"/>
            <w:shd w:val="clear" w:color="auto" w:fill="auto"/>
            <w:vAlign w:val="center"/>
          </w:tcPr>
          <w:p w14:paraId="2FCA65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836" w:type="pct"/>
            <w:vMerge w:val="restart"/>
            <w:vAlign w:val="center"/>
          </w:tcPr>
          <w:p w14:paraId="267DBD9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082" w:type="pct"/>
            <w:shd w:val="clear" w:color="auto" w:fill="auto"/>
            <w:vAlign w:val="center"/>
          </w:tcPr>
          <w:p w14:paraId="095AB56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3B0184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425" w:type="pct"/>
            <w:vMerge w:val="continue"/>
            <w:shd w:val="clear" w:color="auto" w:fill="auto"/>
            <w:vAlign w:val="center"/>
          </w:tcPr>
          <w:p w14:paraId="6990701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702" w:type="pct"/>
            <w:vMerge w:val="continue"/>
            <w:shd w:val="clear" w:color="auto" w:fill="auto"/>
            <w:vAlign w:val="center"/>
          </w:tcPr>
          <w:p w14:paraId="672C42B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1491" w:type="pct"/>
            <w:shd w:val="clear" w:color="auto" w:fill="auto"/>
            <w:vAlign w:val="center"/>
          </w:tcPr>
          <w:p w14:paraId="5FF7458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换色阀维修专用工具</w:t>
            </w:r>
          </w:p>
        </w:tc>
        <w:tc>
          <w:tcPr>
            <w:tcW w:w="461" w:type="pct"/>
            <w:shd w:val="clear" w:color="auto" w:fill="auto"/>
            <w:vAlign w:val="center"/>
          </w:tcPr>
          <w:p w14:paraId="3DBB56B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836" w:type="pct"/>
            <w:vMerge w:val="continue"/>
            <w:vAlign w:val="center"/>
          </w:tcPr>
          <w:p w14:paraId="639596A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1082" w:type="pct"/>
            <w:shd w:val="clear" w:color="auto" w:fill="auto"/>
            <w:vAlign w:val="center"/>
          </w:tcPr>
          <w:p w14:paraId="1A58531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7BFCD8F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32" w:hRule="atLeast"/>
          <w:jc w:val="center"/>
        </w:trPr>
        <w:tc>
          <w:tcPr>
            <w:tcW w:w="425" w:type="pct"/>
            <w:vMerge w:val="continue"/>
            <w:shd w:val="clear" w:color="auto" w:fill="auto"/>
            <w:vAlign w:val="center"/>
          </w:tcPr>
          <w:p w14:paraId="7FF6279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702" w:type="pct"/>
            <w:vMerge w:val="continue"/>
            <w:shd w:val="clear" w:color="auto" w:fill="auto"/>
            <w:vAlign w:val="center"/>
          </w:tcPr>
          <w:p w14:paraId="25B37C1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1491" w:type="pct"/>
            <w:shd w:val="clear" w:color="auto" w:fill="auto"/>
            <w:vAlign w:val="center"/>
          </w:tcPr>
          <w:p w14:paraId="5FD354A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雾化器维修专用工具</w:t>
            </w:r>
          </w:p>
        </w:tc>
        <w:tc>
          <w:tcPr>
            <w:tcW w:w="461" w:type="pct"/>
            <w:shd w:val="clear" w:color="auto" w:fill="auto"/>
            <w:vAlign w:val="center"/>
          </w:tcPr>
          <w:p w14:paraId="3CF4720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套</w:t>
            </w:r>
          </w:p>
        </w:tc>
        <w:tc>
          <w:tcPr>
            <w:tcW w:w="836" w:type="pct"/>
            <w:vAlign w:val="center"/>
          </w:tcPr>
          <w:p w14:paraId="7B72CB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5AD0687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687BC3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425" w:type="pct"/>
            <w:shd w:val="clear" w:color="auto" w:fill="auto"/>
            <w:vAlign w:val="center"/>
          </w:tcPr>
          <w:p w14:paraId="158BF66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702" w:type="pct"/>
            <w:shd w:val="clear" w:color="auto" w:fill="auto"/>
            <w:vAlign w:val="center"/>
          </w:tcPr>
          <w:p w14:paraId="3D6B804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笔记本电脑</w:t>
            </w:r>
          </w:p>
        </w:tc>
        <w:tc>
          <w:tcPr>
            <w:tcW w:w="1491" w:type="pct"/>
            <w:shd w:val="clear" w:color="auto" w:fill="auto"/>
            <w:vAlign w:val="center"/>
          </w:tcPr>
          <w:p w14:paraId="278A225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用于备份</w:t>
            </w:r>
          </w:p>
        </w:tc>
        <w:tc>
          <w:tcPr>
            <w:tcW w:w="461" w:type="pct"/>
            <w:shd w:val="clear" w:color="auto" w:fill="auto"/>
            <w:vAlign w:val="center"/>
          </w:tcPr>
          <w:p w14:paraId="38205EA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1台</w:t>
            </w:r>
          </w:p>
        </w:tc>
        <w:tc>
          <w:tcPr>
            <w:tcW w:w="836" w:type="pct"/>
            <w:vAlign w:val="center"/>
          </w:tcPr>
          <w:p w14:paraId="4E0C9F1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c>
          <w:tcPr>
            <w:tcW w:w="1082" w:type="pct"/>
            <w:shd w:val="clear" w:color="auto" w:fill="auto"/>
            <w:vAlign w:val="center"/>
          </w:tcPr>
          <w:p w14:paraId="59E37A9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年主流配置，Win10系统</w:t>
            </w:r>
          </w:p>
        </w:tc>
      </w:tr>
      <w:tr w14:paraId="74D037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425" w:type="pct"/>
            <w:shd w:val="clear" w:color="auto" w:fill="auto"/>
            <w:vAlign w:val="center"/>
          </w:tcPr>
          <w:p w14:paraId="1DD4993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702" w:type="pct"/>
            <w:shd w:val="clear" w:color="auto" w:fill="auto"/>
            <w:vAlign w:val="center"/>
          </w:tcPr>
          <w:p w14:paraId="41E4039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离线编程软件</w:t>
            </w:r>
          </w:p>
        </w:tc>
        <w:tc>
          <w:tcPr>
            <w:tcW w:w="1491" w:type="pct"/>
            <w:shd w:val="clear" w:color="auto" w:fill="auto"/>
            <w:vAlign w:val="center"/>
          </w:tcPr>
          <w:p w14:paraId="10D962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离线编程软件</w:t>
            </w:r>
          </w:p>
        </w:tc>
        <w:tc>
          <w:tcPr>
            <w:tcW w:w="461" w:type="pct"/>
            <w:shd w:val="clear" w:color="auto" w:fill="auto"/>
            <w:vAlign w:val="center"/>
          </w:tcPr>
          <w:p w14:paraId="2053D73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836" w:type="pct"/>
            <w:vAlign w:val="center"/>
          </w:tcPr>
          <w:p w14:paraId="05B2F57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0C21A69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具备三维建模功能</w:t>
            </w:r>
          </w:p>
        </w:tc>
      </w:tr>
      <w:tr w14:paraId="72EABB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425" w:type="pct"/>
            <w:shd w:val="clear" w:color="auto" w:fill="auto"/>
            <w:vAlign w:val="center"/>
          </w:tcPr>
          <w:p w14:paraId="56907E6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702" w:type="pct"/>
            <w:shd w:val="clear" w:color="auto" w:fill="auto"/>
            <w:vAlign w:val="center"/>
          </w:tcPr>
          <w:p w14:paraId="68E6D83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三维仿真软件</w:t>
            </w:r>
          </w:p>
        </w:tc>
        <w:tc>
          <w:tcPr>
            <w:tcW w:w="1491" w:type="pct"/>
            <w:shd w:val="clear" w:color="auto" w:fill="auto"/>
            <w:vAlign w:val="center"/>
          </w:tcPr>
          <w:p w14:paraId="64AB2B2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离线仿形软件</w:t>
            </w:r>
          </w:p>
        </w:tc>
        <w:tc>
          <w:tcPr>
            <w:tcW w:w="461" w:type="pct"/>
            <w:shd w:val="clear" w:color="auto" w:fill="auto"/>
            <w:vAlign w:val="center"/>
          </w:tcPr>
          <w:p w14:paraId="0525716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1套</w:t>
            </w:r>
          </w:p>
        </w:tc>
        <w:tc>
          <w:tcPr>
            <w:tcW w:w="836" w:type="pct"/>
            <w:vAlign w:val="center"/>
          </w:tcPr>
          <w:p w14:paraId="338185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0F8986B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三维仿真软件</w:t>
            </w:r>
          </w:p>
        </w:tc>
      </w:tr>
      <w:tr w14:paraId="27652F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68" w:hRule="atLeast"/>
          <w:jc w:val="center"/>
        </w:trPr>
        <w:tc>
          <w:tcPr>
            <w:tcW w:w="425" w:type="pct"/>
            <w:shd w:val="clear" w:color="auto" w:fill="auto"/>
            <w:vAlign w:val="center"/>
          </w:tcPr>
          <w:p w14:paraId="777ACFB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p w14:paraId="198B794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702" w:type="pct"/>
            <w:shd w:val="clear" w:color="auto" w:fill="auto"/>
            <w:vAlign w:val="center"/>
          </w:tcPr>
          <w:p w14:paraId="1D23D4D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工艺编程</w:t>
            </w:r>
          </w:p>
        </w:tc>
        <w:tc>
          <w:tcPr>
            <w:tcW w:w="1491" w:type="pct"/>
            <w:shd w:val="clear" w:color="auto" w:fill="auto"/>
            <w:vAlign w:val="center"/>
          </w:tcPr>
          <w:p w14:paraId="6805EBE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2种车型、2种中涂、5种色漆、2种2K清漆、2种固化剂仿形轨迹编辑与喷涂</w:t>
            </w:r>
          </w:p>
        </w:tc>
        <w:tc>
          <w:tcPr>
            <w:tcW w:w="461" w:type="pct"/>
            <w:shd w:val="clear" w:color="auto" w:fill="auto"/>
            <w:vAlign w:val="center"/>
          </w:tcPr>
          <w:p w14:paraId="4F616E8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1式</w:t>
            </w:r>
          </w:p>
        </w:tc>
        <w:tc>
          <w:tcPr>
            <w:tcW w:w="836" w:type="pct"/>
            <w:vAlign w:val="center"/>
          </w:tcPr>
          <w:p w14:paraId="7B9D9E6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717D523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1种颜色包含中涂、色漆、清漆；套色按照1种主色颜色计算</w:t>
            </w:r>
          </w:p>
        </w:tc>
      </w:tr>
      <w:tr w14:paraId="751A0A7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0" w:hRule="atLeast"/>
          <w:jc w:val="center"/>
        </w:trPr>
        <w:tc>
          <w:tcPr>
            <w:tcW w:w="425" w:type="pct"/>
            <w:shd w:val="clear" w:color="auto" w:fill="auto"/>
            <w:vAlign w:val="center"/>
          </w:tcPr>
          <w:p w14:paraId="471873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702" w:type="pct"/>
            <w:shd w:val="clear" w:color="auto" w:fill="auto"/>
            <w:vAlign w:val="center"/>
          </w:tcPr>
          <w:p w14:paraId="52FA801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培训</w:t>
            </w:r>
          </w:p>
        </w:tc>
        <w:tc>
          <w:tcPr>
            <w:tcW w:w="1491" w:type="pct"/>
            <w:shd w:val="clear" w:color="auto" w:fill="auto"/>
            <w:vAlign w:val="center"/>
          </w:tcPr>
          <w:p w14:paraId="4242C28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理论培训(在</w:t>
            </w:r>
            <w:r>
              <w:rPr>
                <w:rFonts w:hint="eastAsia" w:ascii="宋体" w:hAnsi="宋体" w:cs="宋体"/>
                <w:color w:val="auto"/>
                <w:sz w:val="24"/>
                <w:szCs w:val="24"/>
                <w:lang w:eastAsia="zh-CN"/>
              </w:rPr>
              <w:t>投标人</w:t>
            </w:r>
            <w:r>
              <w:rPr>
                <w:rFonts w:hint="eastAsia" w:ascii="宋体" w:hAnsi="宋体" w:eastAsia="宋体" w:cs="宋体"/>
                <w:color w:val="auto"/>
                <w:sz w:val="24"/>
                <w:szCs w:val="24"/>
              </w:rPr>
              <w:t>设备生产厂家) ，4～6人，2周</w:t>
            </w:r>
          </w:p>
        </w:tc>
        <w:tc>
          <w:tcPr>
            <w:tcW w:w="461" w:type="pct"/>
            <w:shd w:val="clear" w:color="auto" w:fill="auto"/>
            <w:vAlign w:val="center"/>
          </w:tcPr>
          <w:p w14:paraId="6B594C4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1式</w:t>
            </w:r>
          </w:p>
        </w:tc>
        <w:tc>
          <w:tcPr>
            <w:tcW w:w="836" w:type="pct"/>
            <w:vAlign w:val="center"/>
          </w:tcPr>
          <w:p w14:paraId="254FEBF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shd w:val="clear" w:color="auto" w:fill="auto"/>
            <w:vAlign w:val="center"/>
          </w:tcPr>
          <w:p w14:paraId="3D8B868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理论培训在设备进场前培训，与预验收一起进行</w:t>
            </w:r>
          </w:p>
        </w:tc>
      </w:tr>
      <w:tr w14:paraId="1C33E9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8" w:hRule="atLeast"/>
          <w:jc w:val="center"/>
        </w:trPr>
        <w:tc>
          <w:tcPr>
            <w:tcW w:w="425" w:type="pct"/>
            <w:vMerge w:val="restart"/>
            <w:shd w:val="clear" w:color="auto" w:fill="auto"/>
            <w:vAlign w:val="center"/>
          </w:tcPr>
          <w:p w14:paraId="522F39D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702" w:type="pct"/>
            <w:vMerge w:val="restart"/>
            <w:shd w:val="clear" w:color="auto" w:fill="auto"/>
            <w:vAlign w:val="center"/>
          </w:tcPr>
          <w:p w14:paraId="2D7F3E9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培训</w:t>
            </w:r>
          </w:p>
          <w:p w14:paraId="5973543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陪产</w:t>
            </w:r>
          </w:p>
        </w:tc>
        <w:tc>
          <w:tcPr>
            <w:tcW w:w="1491" w:type="pct"/>
            <w:shd w:val="clear" w:color="auto" w:fill="auto"/>
            <w:vAlign w:val="center"/>
          </w:tcPr>
          <w:p w14:paraId="12312A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现场培训（在最终用户现场）4～6人，2周</w:t>
            </w:r>
          </w:p>
        </w:tc>
        <w:tc>
          <w:tcPr>
            <w:tcW w:w="461" w:type="pct"/>
            <w:vMerge w:val="restart"/>
            <w:shd w:val="clear" w:color="auto" w:fill="auto"/>
            <w:vAlign w:val="center"/>
          </w:tcPr>
          <w:p w14:paraId="393880C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1式</w:t>
            </w:r>
          </w:p>
          <w:p w14:paraId="4EC2DD9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个月</w:t>
            </w:r>
          </w:p>
        </w:tc>
        <w:tc>
          <w:tcPr>
            <w:tcW w:w="836" w:type="pct"/>
            <w:vMerge w:val="restart"/>
            <w:vAlign w:val="center"/>
          </w:tcPr>
          <w:p w14:paraId="13FBCC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01F72B7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082" w:type="pct"/>
            <w:vMerge w:val="restart"/>
            <w:shd w:val="clear" w:color="auto" w:fill="auto"/>
            <w:vAlign w:val="center"/>
          </w:tcPr>
          <w:p w14:paraId="6260983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理论培训在设备进场前培训，与预验收一起进行</w:t>
            </w:r>
          </w:p>
          <w:p w14:paraId="2BF830C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r>
      <w:tr w14:paraId="16243EA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86" w:hRule="atLeast"/>
          <w:jc w:val="center"/>
        </w:trPr>
        <w:tc>
          <w:tcPr>
            <w:tcW w:w="425" w:type="pct"/>
            <w:vMerge w:val="continue"/>
            <w:shd w:val="clear" w:color="auto" w:fill="auto"/>
            <w:vAlign w:val="center"/>
          </w:tcPr>
          <w:p w14:paraId="224677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702" w:type="pct"/>
            <w:vMerge w:val="continue"/>
            <w:shd w:val="clear" w:color="auto" w:fill="auto"/>
            <w:vAlign w:val="center"/>
          </w:tcPr>
          <w:p w14:paraId="22A97A8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1491" w:type="pct"/>
            <w:shd w:val="clear" w:color="auto" w:fill="auto"/>
            <w:vAlign w:val="center"/>
          </w:tcPr>
          <w:p w14:paraId="3987056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8小时/1班/天，1人</w:t>
            </w:r>
          </w:p>
        </w:tc>
        <w:tc>
          <w:tcPr>
            <w:tcW w:w="461" w:type="pct"/>
            <w:vMerge w:val="continue"/>
            <w:shd w:val="clear" w:color="auto" w:fill="auto"/>
            <w:vAlign w:val="center"/>
          </w:tcPr>
          <w:p w14:paraId="39F299A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836" w:type="pct"/>
            <w:vMerge w:val="continue"/>
            <w:vAlign w:val="center"/>
          </w:tcPr>
          <w:p w14:paraId="4D0DF5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1082" w:type="pct"/>
            <w:vMerge w:val="continue"/>
            <w:shd w:val="clear" w:color="auto" w:fill="auto"/>
            <w:vAlign w:val="center"/>
          </w:tcPr>
          <w:p w14:paraId="7BC9560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r>
    </w:tbl>
    <w:p w14:paraId="35EC2DF1">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sz w:val="21"/>
          <w:szCs w:val="21"/>
        </w:rPr>
      </w:pPr>
    </w:p>
    <w:p w14:paraId="518516AB">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60" w:name="_Toc278490513"/>
      <w:bookmarkEnd w:id="160"/>
      <w:bookmarkStart w:id="161" w:name="_Toc204680404"/>
      <w:bookmarkEnd w:id="161"/>
      <w:bookmarkStart w:id="162" w:name="_Toc278490516"/>
      <w:bookmarkEnd w:id="162"/>
      <w:bookmarkStart w:id="163" w:name="_Toc278490519"/>
      <w:bookmarkEnd w:id="163"/>
      <w:bookmarkStart w:id="164" w:name="_Toc204595041"/>
      <w:bookmarkEnd w:id="164"/>
      <w:bookmarkStart w:id="165" w:name="_Toc278490514"/>
      <w:bookmarkEnd w:id="165"/>
      <w:bookmarkStart w:id="166" w:name="_Toc278490509"/>
      <w:bookmarkEnd w:id="166"/>
      <w:bookmarkStart w:id="167" w:name="_Toc278490520"/>
      <w:bookmarkEnd w:id="167"/>
      <w:bookmarkStart w:id="168" w:name="_Toc278490512"/>
      <w:bookmarkEnd w:id="168"/>
      <w:bookmarkStart w:id="169" w:name="_Toc278490505"/>
      <w:bookmarkEnd w:id="169"/>
      <w:bookmarkStart w:id="170" w:name="_Toc278490504"/>
      <w:bookmarkEnd w:id="170"/>
      <w:bookmarkStart w:id="171" w:name="_Toc278490508"/>
      <w:bookmarkEnd w:id="171"/>
      <w:bookmarkStart w:id="172" w:name="_Toc278490517"/>
      <w:bookmarkEnd w:id="172"/>
      <w:bookmarkStart w:id="173" w:name="_Toc204595042"/>
      <w:bookmarkEnd w:id="173"/>
      <w:bookmarkStart w:id="174" w:name="_Toc204680405"/>
      <w:bookmarkEnd w:id="174"/>
      <w:bookmarkStart w:id="175" w:name="_Toc278490506"/>
      <w:bookmarkEnd w:id="175"/>
      <w:bookmarkStart w:id="176" w:name="_Toc204680403"/>
      <w:bookmarkEnd w:id="176"/>
      <w:bookmarkStart w:id="177" w:name="_Toc278490511"/>
      <w:bookmarkEnd w:id="177"/>
      <w:bookmarkStart w:id="178" w:name="_Toc278490515"/>
      <w:bookmarkEnd w:id="178"/>
      <w:bookmarkStart w:id="179" w:name="_Toc204595039"/>
      <w:bookmarkEnd w:id="179"/>
      <w:bookmarkStart w:id="180" w:name="_Toc278490518"/>
      <w:bookmarkEnd w:id="180"/>
      <w:bookmarkStart w:id="181" w:name="_Toc278490507"/>
      <w:bookmarkEnd w:id="181"/>
      <w:bookmarkStart w:id="182" w:name="_Toc204595040"/>
      <w:bookmarkEnd w:id="182"/>
      <w:bookmarkStart w:id="183" w:name="_Toc278490510"/>
      <w:bookmarkEnd w:id="183"/>
      <w:bookmarkStart w:id="184" w:name="_Toc204680406"/>
      <w:bookmarkEnd w:id="184"/>
      <w:bookmarkStart w:id="185" w:name="_Toc278490521"/>
      <w:bookmarkEnd w:id="185"/>
      <w:bookmarkStart w:id="186" w:name="_Toc437290648"/>
      <w:bookmarkStart w:id="187" w:name="_Toc458224684"/>
      <w:bookmarkStart w:id="188" w:name="_Toc490236296"/>
      <w:bookmarkStart w:id="189" w:name="_Toc238980096"/>
      <w:bookmarkStart w:id="190" w:name="_Toc392611723"/>
      <w:bookmarkStart w:id="191" w:name="_Toc240361473"/>
      <w:r>
        <w:rPr>
          <w:rFonts w:hint="eastAsia" w:ascii="宋体" w:hAnsi="宋体" w:eastAsia="宋体" w:cs="宋体"/>
        </w:rPr>
        <w:t>电气控制系统描述</w:t>
      </w:r>
      <w:bookmarkEnd w:id="186"/>
      <w:bookmarkEnd w:id="187"/>
      <w:bookmarkEnd w:id="188"/>
      <w:bookmarkStart w:id="192" w:name="_Toc490236297"/>
      <w:bookmarkStart w:id="193" w:name="_Toc458224685"/>
      <w:bookmarkStart w:id="194" w:name="_Toc437290649"/>
    </w:p>
    <w:bookmarkEnd w:id="192"/>
    <w:bookmarkEnd w:id="193"/>
    <w:bookmarkEnd w:id="194"/>
    <w:p w14:paraId="3DFD5A72">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操作台功能描述</w:t>
      </w:r>
    </w:p>
    <w:p w14:paraId="33EBCF7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房操作台为集中工作站控制任务而设计。操作站具有人机界面及工作站内各个机器人的互锁连接。人机界面包括图形用户界面及对整个工作站的机器人的指令功能，包括日常操作所需的操作按钮及状态指示灯，监控各机器人工作状态的图形用户界面。</w:t>
      </w:r>
    </w:p>
    <w:p w14:paraId="3AB18550">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所有机器人和离子站上位机必须具备</w:t>
      </w:r>
      <w:r>
        <w:rPr>
          <w:rFonts w:hint="eastAsia" w:ascii="宋体" w:hAnsi="宋体" w:eastAsia="宋体" w:cs="宋体"/>
          <w:lang w:val="en-US" w:eastAsia="zh-CN"/>
        </w:rPr>
        <w:t>4</w:t>
      </w:r>
      <w:r>
        <w:rPr>
          <w:rFonts w:hint="eastAsia" w:ascii="宋体" w:hAnsi="宋体" w:eastAsia="宋体" w:cs="宋体"/>
        </w:rPr>
        <w:t>款车型和</w:t>
      </w:r>
      <w:r>
        <w:rPr>
          <w:rFonts w:hint="eastAsia" w:ascii="宋体" w:hAnsi="宋体" w:eastAsia="宋体" w:cs="宋体"/>
          <w:lang w:val="en-US" w:eastAsia="zh-CN"/>
        </w:rPr>
        <w:t>10个</w:t>
      </w:r>
      <w:r>
        <w:rPr>
          <w:rFonts w:hint="eastAsia" w:ascii="宋体" w:hAnsi="宋体" w:eastAsia="宋体" w:cs="宋体"/>
        </w:rPr>
        <w:t>颜色定义功能，满足</w:t>
      </w:r>
      <w:r>
        <w:rPr>
          <w:rFonts w:hint="eastAsia" w:ascii="宋体" w:hAnsi="宋体" w:cs="宋体"/>
          <w:lang w:eastAsia="zh-CN"/>
        </w:rPr>
        <w:t>招标人</w:t>
      </w:r>
      <w:r>
        <w:rPr>
          <w:rFonts w:hint="eastAsia" w:ascii="宋体" w:hAnsi="宋体" w:eastAsia="宋体" w:cs="宋体"/>
        </w:rPr>
        <w:t>后期新车型调试。上位机必须实现车身数模在三维建模空间模拟喷涂功能，机器人仿型制作能够离线仿真，</w:t>
      </w:r>
      <w:r>
        <w:rPr>
          <w:rFonts w:hint="eastAsia" w:ascii="宋体" w:hAnsi="宋体" w:cs="宋体"/>
          <w:lang w:eastAsia="zh-CN"/>
        </w:rPr>
        <w:t>投标人</w:t>
      </w:r>
      <w:r>
        <w:rPr>
          <w:rFonts w:hint="eastAsia" w:ascii="宋体" w:hAnsi="宋体" w:eastAsia="宋体" w:cs="宋体"/>
        </w:rPr>
        <w:t>提供系列仿真软件</w:t>
      </w:r>
      <w:r>
        <w:rPr>
          <w:rFonts w:hint="eastAsia" w:ascii="宋体" w:hAnsi="宋体" w:eastAsia="宋体" w:cs="宋体"/>
          <w:lang w:eastAsia="zh-CN"/>
        </w:rPr>
        <w:t>。</w:t>
      </w:r>
    </w:p>
    <w:p w14:paraId="402C819B">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CATIA软件制作的车身数模能够导出机器人3D软件中使用。</w:t>
      </w:r>
    </w:p>
    <w:p w14:paraId="4627E0A2">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总站浏览能够显示各站车型颜色行进方向。</w:t>
      </w:r>
    </w:p>
    <w:p w14:paraId="7A06C9AF">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设备描述</w:t>
      </w:r>
    </w:p>
    <w:p w14:paraId="663C9D43">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操作台包括一个操作面板包括车型/颜色选择器，按钮及状态指示灯布置简洁便于操作。操作台以一台PLC为核心并配有相关的PLC输入输出模块，继电器，与条码系统，上位计算机和激光打印机的接口。</w:t>
      </w:r>
      <w:bookmarkStart w:id="195" w:name="_Toc458224686"/>
      <w:bookmarkStart w:id="196" w:name="_Toc437290650"/>
      <w:bookmarkStart w:id="197" w:name="_Toc490236298"/>
    </w:p>
    <w:p w14:paraId="1CDA7F4C">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电气柜</w:t>
      </w:r>
      <w:bookmarkEnd w:id="195"/>
      <w:bookmarkEnd w:id="196"/>
      <w:bookmarkEnd w:id="197"/>
    </w:p>
    <w:p w14:paraId="5F64D7FE">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每站有一套电气柜组，该柜组包含以下几项：电源柜，低压24v及IO口柜、安全设备柜、PLC及网络柜。</w:t>
      </w:r>
    </w:p>
    <w:p w14:paraId="0F06878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每个电气控制柜配置照明检修照明电源，柜门安装行程开关与照明电路互锁，柜门打开时照明电路接通，照明灯打开。</w:t>
      </w:r>
    </w:p>
    <w:p w14:paraId="455791BC">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每组控制电柜配置降温空调，空调安装方式外置、数显、自蒸发、温度可调。</w:t>
      </w:r>
    </w:p>
    <w:p w14:paraId="2D3C47D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低压电气柜包含站内所有的继电器，开关和I/O接口模块。</w:t>
      </w:r>
    </w:p>
    <w:p w14:paraId="21A8869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安全控制柜包括本站的安全控制设备(PLC 自带安全集成功能)及和喷房的安全连锁信号接口。</w:t>
      </w:r>
    </w:p>
    <w:p w14:paraId="2442BDEC">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LC和网络柜包含了PLC模块和以太网交换机。PLC负责本站内所有的信号及与机器人，人机交互和中控信息对接接口处理。每个PLC控制柜提供无线网，信号在全车间无死角全覆盖。通过笔记本电脑能够无线访问机器人站程序和上位机并设置访问权限，有线和无线网络稳定可靠。</w:t>
      </w:r>
    </w:p>
    <w:p w14:paraId="4F7FF2EA">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喷涂机器人系统共有4个操作台分别由单独的PLC控制，分别为离子站与B2内喷共用1套，中涂B1外喷1套，面漆B2外喷1套，CC外喷1套，每个控制站的工作原理是一致。PLC与机器人控制柜的总线接口进行通信连接。</w:t>
      </w:r>
    </w:p>
    <w:p w14:paraId="7A4732F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笔记本电脑与机器人控制柜之间用网络方式进行通信。可读取机器人站各喷涂元件的运行状态，并可在上位机软件上显示。在笔记本电脑上通过软件离线编辑的程序，实现在线修改保存功能。PLC通过其I/O模块，与操作台的按钮，开关，显示灯，以及喷房和喷漆线的光电开关，接近开关，按钮，显示装置等实现硬连接。</w:t>
      </w:r>
    </w:p>
    <w:p w14:paraId="42223DE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每个电柜预留对外网线网关接口，用于对接车间中控系统。</w:t>
      </w:r>
    </w:p>
    <w:p w14:paraId="4CF9738C">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每个站设置一个无线路由器，使用笔记本电脑无线连接机器人站各程序并实现读写功能，</w:t>
      </w:r>
      <w:r>
        <w:rPr>
          <w:rFonts w:hint="eastAsia" w:ascii="宋体" w:hAnsi="宋体" w:eastAsia="宋体" w:cs="宋体"/>
          <w:lang w:val="en-US" w:eastAsia="zh-CN"/>
        </w:rPr>
        <w:t>喷漆区域。</w:t>
      </w:r>
    </w:p>
    <w:p w14:paraId="4B906B5A">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每个站之间能够通过网络进行访问和车身数据无缝对接。</w:t>
      </w:r>
    </w:p>
    <w:p w14:paraId="1FC1D4CF">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198" w:name="_Toc435259039"/>
      <w:bookmarkStart w:id="199" w:name="_Toc397032942"/>
      <w:r>
        <w:rPr>
          <w:rFonts w:hint="eastAsia" w:ascii="宋体" w:hAnsi="宋体" w:eastAsia="宋体" w:cs="宋体"/>
        </w:rPr>
        <w:t>接地说明</w:t>
      </w:r>
      <w:bookmarkEnd w:id="198"/>
      <w:bookmarkEnd w:id="199"/>
    </w:p>
    <w:p w14:paraId="2331937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接地线应具有适应接地电流通过的能力，符合国家标准要求。</w:t>
      </w:r>
    </w:p>
    <w:p w14:paraId="648BAD4B">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全部电控柜、桥架、线管、照明灯箱及设备等金属件均必须可靠接地。</w:t>
      </w:r>
    </w:p>
    <w:p w14:paraId="1399BACD">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接地处采用接地标记，且用螺钉固定或直接固定在接地体上。</w:t>
      </w:r>
    </w:p>
    <w:p w14:paraId="30D15A90">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00" w:name="_Toc435259040"/>
      <w:bookmarkStart w:id="201" w:name="_Toc397032943"/>
      <w:r>
        <w:rPr>
          <w:rFonts w:hint="eastAsia" w:ascii="宋体" w:hAnsi="宋体" w:eastAsia="宋体" w:cs="宋体"/>
        </w:rPr>
        <w:t>抗干扰能力</w:t>
      </w:r>
      <w:bookmarkEnd w:id="200"/>
      <w:bookmarkEnd w:id="201"/>
    </w:p>
    <w:p w14:paraId="50D0CF51">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所有设备均有足够的抗电磁辐射能力，以保证所有设备的安全可靠运行。</w:t>
      </w:r>
    </w:p>
    <w:p w14:paraId="6265521E">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电控系统及元件必须能够适应工厂电网上的电压波动和脉冲干扰，机器人和离子站伺服电机电源必须配置滤波装置。</w:t>
      </w:r>
    </w:p>
    <w:p w14:paraId="0D2A8E5F">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网络线（包括三层网络）必须用桥架隔板进行隔离，单独走另一边桥架。</w:t>
      </w:r>
    </w:p>
    <w:p w14:paraId="53F1117E">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02" w:name="_Toc397032944"/>
      <w:bookmarkStart w:id="203" w:name="_Toc435259041"/>
      <w:r>
        <w:rPr>
          <w:rFonts w:hint="eastAsia" w:ascii="宋体" w:hAnsi="宋体" w:eastAsia="宋体" w:cs="宋体"/>
        </w:rPr>
        <w:t>安全</w:t>
      </w:r>
      <w:bookmarkEnd w:id="202"/>
      <w:bookmarkEnd w:id="203"/>
    </w:p>
    <w:p w14:paraId="3982572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不仅要遵守国家安全标准的通用条款，而且也要执行如下原则：</w:t>
      </w:r>
    </w:p>
    <w:p w14:paraId="6FCF8106">
      <w:pPr>
        <w:pStyle w:val="17"/>
        <w:pageBreakBefore w:val="0"/>
        <w:numPr>
          <w:ilvl w:val="0"/>
          <w:numId w:val="18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在电源断电或设备急停时，为了避免设备损坏或人身伤害，不允许设备有任何运动。</w:t>
      </w:r>
    </w:p>
    <w:p w14:paraId="30968109">
      <w:pPr>
        <w:pStyle w:val="17"/>
        <w:pageBreakBefore w:val="0"/>
        <w:numPr>
          <w:ilvl w:val="0"/>
          <w:numId w:val="18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电控柜面板必须设置急停按钮，控制柜应安装在容易操作的地方和位置。</w:t>
      </w:r>
    </w:p>
    <w:p w14:paraId="13BAEC38">
      <w:pPr>
        <w:pStyle w:val="17"/>
        <w:pageBreakBefore w:val="0"/>
        <w:numPr>
          <w:ilvl w:val="0"/>
          <w:numId w:val="18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在爆炸和火灾危险区域内的电气设计及施工要严格按国家规范进行。</w:t>
      </w:r>
    </w:p>
    <w:p w14:paraId="372F702B">
      <w:pPr>
        <w:pStyle w:val="17"/>
        <w:pageBreakBefore w:val="0"/>
        <w:numPr>
          <w:ilvl w:val="0"/>
          <w:numId w:val="18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每个喷涂站安装1个集中接地点，接地点接入大地。</w:t>
      </w:r>
    </w:p>
    <w:p w14:paraId="214E0385">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04" w:name="_Toc490236302"/>
      <w:bookmarkStart w:id="205" w:name="_Toc302417019"/>
      <w:bookmarkStart w:id="206" w:name="_Toc470188401"/>
      <w:bookmarkStart w:id="207" w:name="_Toc432684601"/>
      <w:bookmarkStart w:id="208" w:name="_Toc458224677"/>
      <w:bookmarkStart w:id="209" w:name="_Toc490122280"/>
      <w:bookmarkStart w:id="210" w:name="_Toc294882193"/>
      <w:r>
        <w:rPr>
          <w:rFonts w:hint="eastAsia" w:ascii="宋体" w:hAnsi="宋体" w:eastAsia="宋体" w:cs="宋体"/>
        </w:rPr>
        <w:t>在每个喷涂站内设有1 个不锈钢箱子，安装在各站喷涂机器人入口处，带有排空阀，带锁，安装接地线，箱子里放1个已编号的槽形支撑体，以便各杯头和相应机器人对应。能存放旋杯和成型空气环。</w:t>
      </w:r>
    </w:p>
    <w:p w14:paraId="5B0FF5F0">
      <w:pPr>
        <w:pStyle w:val="17"/>
        <w:pageBreakBefore w:val="0"/>
        <w:numPr>
          <w:ilvl w:val="0"/>
          <w:numId w:val="18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配置</w:t>
      </w:r>
      <w:r>
        <w:rPr>
          <w:rFonts w:hint="eastAsia" w:ascii="宋体" w:hAnsi="宋体" w:eastAsia="宋体" w:cs="宋体"/>
          <w:lang w:val="en-US" w:eastAsia="zh-CN"/>
        </w:rPr>
        <w:t>1</w:t>
      </w:r>
      <w:r>
        <w:rPr>
          <w:rFonts w:hint="eastAsia" w:ascii="宋体" w:hAnsi="宋体" w:eastAsia="宋体" w:cs="宋体"/>
        </w:rPr>
        <w:t>台超声波清洗机，要求容量为10L。</w:t>
      </w:r>
    </w:p>
    <w:bookmarkEnd w:id="204"/>
    <w:bookmarkEnd w:id="205"/>
    <w:bookmarkEnd w:id="206"/>
    <w:bookmarkEnd w:id="207"/>
    <w:bookmarkEnd w:id="208"/>
    <w:bookmarkEnd w:id="209"/>
    <w:bookmarkEnd w:id="210"/>
    <w:p w14:paraId="5DE0F307">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11" w:name="_Toc470188413"/>
      <w:bookmarkStart w:id="212" w:name="_Toc462735058"/>
      <w:bookmarkStart w:id="213" w:name="_Toc458224688"/>
      <w:bookmarkStart w:id="214" w:name="_Toc490236303"/>
      <w:r>
        <w:rPr>
          <w:rFonts w:hint="eastAsia" w:ascii="宋体" w:hAnsi="宋体" w:eastAsia="宋体" w:cs="宋体"/>
        </w:rPr>
        <w:t>安全互锁</w:t>
      </w:r>
      <w:bookmarkEnd w:id="211"/>
      <w:bookmarkEnd w:id="212"/>
      <w:bookmarkEnd w:id="213"/>
      <w:bookmarkEnd w:id="214"/>
    </w:p>
    <w:p w14:paraId="1D9E470A">
      <w:pPr>
        <w:pStyle w:val="17"/>
        <w:pageBreakBefore w:val="0"/>
        <w:numPr>
          <w:ilvl w:val="0"/>
          <w:numId w:val="18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在机器人的安装中安全是非常重要的。安装所有已有的保护设备以避免事故，制定人身安全的规章和制度。自动喷涂装置站区出入口位置须设置传感器，以识别进入站区内的是人还是车。</w:t>
      </w:r>
    </w:p>
    <w:p w14:paraId="7189E681">
      <w:pPr>
        <w:pStyle w:val="17"/>
        <w:pageBreakBefore w:val="0"/>
        <w:numPr>
          <w:ilvl w:val="0"/>
          <w:numId w:val="18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喷涂装置站区室体门上须设置安全门磁，以保证维护人员人身安全。机器人将提供与喷房、输送带及安全门匙的安全联锁信号满足安全要求，布线本着谁需要谁取用原则。当输送带生产停止时，机器人继续喷涂完正在作业的喷涂分区，喷涂分区作业完成机器人等待，直到输送链启动后机器人跟踪继续作业。</w:t>
      </w:r>
    </w:p>
    <w:p w14:paraId="18BB3F97">
      <w:pPr>
        <w:pStyle w:val="17"/>
        <w:pageBreakBefore w:val="0"/>
        <w:numPr>
          <w:ilvl w:val="0"/>
          <w:numId w:val="18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生产过程中，急停按钮只要触发，机器人必须停止作业、释放高压、停止流体供应。当生产模式下有人闯入喷房时，机器人立即停止喷涂保证人员安全。</w:t>
      </w:r>
    </w:p>
    <w:p w14:paraId="74E4835C">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机器人急停等级</w:t>
      </w:r>
    </w:p>
    <w:p w14:paraId="4B28B73D">
      <w:pPr>
        <w:pStyle w:val="17"/>
        <w:pageBreakBefore w:val="0"/>
        <w:numPr>
          <w:ilvl w:val="0"/>
          <w:numId w:val="18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火警：收到火警信号，机器人将切断伺服驱动系统本体及部件的动力，立刻停止作业。需要复位确认才能恢复作业。</w:t>
      </w:r>
    </w:p>
    <w:p w14:paraId="178FE7CE">
      <w:pPr>
        <w:pStyle w:val="17"/>
        <w:pageBreakBefore w:val="0"/>
        <w:numPr>
          <w:ilvl w:val="0"/>
          <w:numId w:val="18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外部急停：来自所有外部设备的急停，包括喷房，操作台等。机器人将切断伺服驱动系统本体的动力及雾化流体部件的使能，立刻停止。停止信号分为外部急停和生产停止。</w:t>
      </w:r>
    </w:p>
    <w:p w14:paraId="1ECF2C63">
      <w:pPr>
        <w:pStyle w:val="17"/>
        <w:pageBreakBefore w:val="0"/>
        <w:numPr>
          <w:ilvl w:val="0"/>
          <w:numId w:val="18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自动停止：安全门开关信号触发，立即切断机器人电源停止喷涂。</w:t>
      </w:r>
    </w:p>
    <w:p w14:paraId="0416D244">
      <w:pPr>
        <w:pStyle w:val="17"/>
        <w:pageBreakBefore w:val="0"/>
        <w:numPr>
          <w:ilvl w:val="0"/>
          <w:numId w:val="18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所有急停信号线采用双回路控制。</w:t>
      </w:r>
      <w:bookmarkEnd w:id="189"/>
      <w:bookmarkEnd w:id="190"/>
      <w:bookmarkEnd w:id="191"/>
    </w:p>
    <w:tbl>
      <w:tblPr>
        <w:tblStyle w:val="44"/>
        <w:tblpPr w:leftFromText="180" w:rightFromText="180" w:vertAnchor="text" w:horzAnchor="page" w:tblpX="1303" w:tblpY="463"/>
        <w:tblOverlap w:val="neve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699"/>
        <w:gridCol w:w="703"/>
        <w:gridCol w:w="572"/>
        <w:gridCol w:w="6680"/>
      </w:tblGrid>
      <w:tr w14:paraId="02828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Header/>
        </w:trPr>
        <w:tc>
          <w:tcPr>
            <w:tcW w:w="880" w:type="pct"/>
            <w:vAlign w:val="center"/>
          </w:tcPr>
          <w:p w14:paraId="2BAD605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r>
              <w:rPr>
                <w:rFonts w:hint="eastAsia" w:ascii="宋体" w:hAnsi="宋体" w:eastAsia="宋体" w:cs="宋体"/>
                <w:color w:val="auto"/>
              </w:rPr>
              <w:t>功能项</w:t>
            </w:r>
          </w:p>
        </w:tc>
        <w:tc>
          <w:tcPr>
            <w:tcW w:w="4119" w:type="pct"/>
            <w:gridSpan w:val="3"/>
            <w:vAlign w:val="center"/>
          </w:tcPr>
          <w:p w14:paraId="6423EA5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详细要求</w:t>
            </w:r>
          </w:p>
        </w:tc>
      </w:tr>
      <w:tr w14:paraId="12286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3EABBDC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机器人本体</w:t>
            </w:r>
          </w:p>
        </w:tc>
        <w:tc>
          <w:tcPr>
            <w:tcW w:w="4119" w:type="pct"/>
            <w:gridSpan w:val="3"/>
            <w:vAlign w:val="center"/>
          </w:tcPr>
          <w:p w14:paraId="4C9B2E1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机器人驱动采用交流或直流伺服电机。</w:t>
            </w:r>
          </w:p>
          <w:p w14:paraId="60B6432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喷涂机器人防爆等级为ATEX 2G，示教器防护等级为IP65。机器人本体各轴要求配置软件限位保护。</w:t>
            </w:r>
          </w:p>
        </w:tc>
      </w:tr>
      <w:tr w14:paraId="35633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406979A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油漆供给和喷涂控制</w:t>
            </w:r>
          </w:p>
        </w:tc>
        <w:tc>
          <w:tcPr>
            <w:tcW w:w="4119" w:type="pct"/>
            <w:gridSpan w:val="3"/>
            <w:vAlign w:val="center"/>
          </w:tcPr>
          <w:p w14:paraId="20EE669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作用：按车身颜色供给机器人相应颜色的油漆并实现颜色实时更换，按喷涂参数进行油漆喷涂。</w:t>
            </w:r>
          </w:p>
          <w:p w14:paraId="13B3C1D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配置：由气动控制柜、换色阀、计量杯、电机、静电喷杯、油漆、溶剂及空气供给管路、流量、雾化压力、成形空气压力和高电压调节系统组成。</w:t>
            </w:r>
          </w:p>
        </w:tc>
      </w:tr>
      <w:tr w14:paraId="028B0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1DC8BE3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高压控制</w:t>
            </w:r>
            <w:r>
              <w:rPr>
                <w:rFonts w:hint="eastAsia" w:ascii="宋体" w:hAnsi="宋体" w:eastAsia="宋体" w:cs="宋体"/>
                <w:vanish/>
                <w:color w:val="auto"/>
              </w:rPr>
              <w:t>控制</w:t>
            </w:r>
            <w:r>
              <w:rPr>
                <w:rFonts w:hint="eastAsia" w:ascii="宋体" w:hAnsi="宋体" w:eastAsia="宋体" w:cs="宋体"/>
                <w:color w:val="auto"/>
              </w:rPr>
              <w:t>单元</w:t>
            </w:r>
          </w:p>
        </w:tc>
        <w:tc>
          <w:tcPr>
            <w:tcW w:w="4119" w:type="pct"/>
            <w:gridSpan w:val="3"/>
            <w:vAlign w:val="center"/>
          </w:tcPr>
          <w:p w14:paraId="3406E55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每一个机器人旋杯配有一个高压发生器（内置）和高压控制器，正常工艺喷涂使用70kV高压；高压控制器本身具有电源指示灯、高压开启指示灯和故障报警指示灯。上位机显示电压、电流、准备状态、各种高压运行内容。同时在室体出入口醒目位置设置高压警示灯。</w:t>
            </w:r>
          </w:p>
        </w:tc>
      </w:tr>
      <w:tr w14:paraId="291E4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4256738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控制柜</w:t>
            </w:r>
          </w:p>
        </w:tc>
        <w:tc>
          <w:tcPr>
            <w:tcW w:w="4119" w:type="pct"/>
            <w:gridSpan w:val="3"/>
            <w:vAlign w:val="center"/>
          </w:tcPr>
          <w:p w14:paraId="36A1E57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机器人运动控制柜、气动柜、PLC柜、计算机柜（操作站）、电源柜等。</w:t>
            </w:r>
          </w:p>
          <w:p w14:paraId="43855FF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每套PLC柜配置工业级交换机用于连接监控计算机及PLC以太网模块，实现自身控制功能及与车间中控系统的信息交换。</w:t>
            </w:r>
          </w:p>
          <w:p w14:paraId="3D12CA3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机器人系统内的本体电柜、配备空调（自带蒸发器），空调要求数显、可调。</w:t>
            </w:r>
          </w:p>
          <w:p w14:paraId="2DFAE38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提供控制系统网络图、现场传感器（含安全元件）布置图、柜体布置图、配电分布及配电容量图，网络配置目视每个控制柜内。</w:t>
            </w:r>
          </w:p>
        </w:tc>
      </w:tr>
      <w:tr w14:paraId="6F39C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restart"/>
            <w:vAlign w:val="center"/>
          </w:tcPr>
          <w:p w14:paraId="6D5A81E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工作模式</w:t>
            </w:r>
          </w:p>
        </w:tc>
        <w:tc>
          <w:tcPr>
            <w:tcW w:w="364" w:type="pct"/>
            <w:tcBorders>
              <w:right w:val="single" w:color="auto" w:sz="4" w:space="0"/>
            </w:tcBorders>
            <w:vAlign w:val="center"/>
          </w:tcPr>
          <w:p w14:paraId="7F420FB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自动</w:t>
            </w:r>
          </w:p>
        </w:tc>
        <w:tc>
          <w:tcPr>
            <w:tcW w:w="3754" w:type="pct"/>
            <w:gridSpan w:val="2"/>
            <w:tcBorders>
              <w:left w:val="single" w:color="auto" w:sz="4" w:space="0"/>
            </w:tcBorders>
            <w:vAlign w:val="center"/>
          </w:tcPr>
          <w:p w14:paraId="5A50084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机器人系统在自动模式下，通过接收RFID系统发送的车身信息，实现自动喷涂，换色，清洗等。</w:t>
            </w:r>
          </w:p>
        </w:tc>
      </w:tr>
      <w:tr w14:paraId="1EE39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57CA652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698372A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手动</w:t>
            </w:r>
          </w:p>
        </w:tc>
        <w:tc>
          <w:tcPr>
            <w:tcW w:w="3754" w:type="pct"/>
            <w:gridSpan w:val="2"/>
            <w:tcBorders>
              <w:left w:val="single" w:color="auto" w:sz="4" w:space="0"/>
            </w:tcBorders>
            <w:vAlign w:val="center"/>
          </w:tcPr>
          <w:p w14:paraId="30EAF80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机器人站在手动模式下，可以实现对单个机器人的运动和工艺的相关操作，如移动到固定位置，手动选择冲洗程序等。</w:t>
            </w:r>
          </w:p>
        </w:tc>
      </w:tr>
      <w:tr w14:paraId="58343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56DA39E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5EA5C2D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模拟</w:t>
            </w:r>
          </w:p>
        </w:tc>
        <w:tc>
          <w:tcPr>
            <w:tcW w:w="3754" w:type="pct"/>
            <w:gridSpan w:val="2"/>
            <w:tcBorders>
              <w:left w:val="single" w:color="auto" w:sz="4" w:space="0"/>
            </w:tcBorders>
            <w:vAlign w:val="center"/>
          </w:tcPr>
          <w:p w14:paraId="09F5451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在有、无车身通过时，通过人机界面切换，机器人自动根据输入的车身轨迹进行低速模拟喷涂（无吐出油漆）。</w:t>
            </w:r>
          </w:p>
        </w:tc>
      </w:tr>
      <w:tr w14:paraId="512BA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4BF828C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376FCC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示教</w:t>
            </w:r>
          </w:p>
        </w:tc>
        <w:tc>
          <w:tcPr>
            <w:tcW w:w="3754" w:type="pct"/>
            <w:gridSpan w:val="2"/>
            <w:tcBorders>
              <w:left w:val="single" w:color="auto" w:sz="4" w:space="0"/>
            </w:tcBorders>
            <w:vAlign w:val="center"/>
          </w:tcPr>
          <w:p w14:paraId="7A58FF0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机器人可通过示教盘等装置对机器人进行示教，来对车身进行仿形，以进行车身参数数据输入。</w:t>
            </w:r>
          </w:p>
        </w:tc>
      </w:tr>
      <w:tr w14:paraId="0DD19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3CC012C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118B673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sz w:val="24"/>
                <w:szCs w:val="24"/>
              </w:rPr>
              <w:t>降级模式</w:t>
            </w:r>
          </w:p>
        </w:tc>
        <w:tc>
          <w:tcPr>
            <w:tcW w:w="3754" w:type="pct"/>
            <w:gridSpan w:val="2"/>
            <w:tcBorders>
              <w:left w:val="single" w:color="auto" w:sz="4" w:space="0"/>
            </w:tcBorders>
            <w:vAlign w:val="center"/>
          </w:tcPr>
          <w:p w14:paraId="4C2F06E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sz w:val="24"/>
                <w:szCs w:val="24"/>
              </w:rPr>
              <w:t>在某台机器人损坏的情况下，剩下的机器人要完成喷涂任务，因此，机器人的喷涂区域需要重新划分，每台机器人需要获知当前的降级策略。</w:t>
            </w:r>
          </w:p>
        </w:tc>
      </w:tr>
      <w:tr w14:paraId="0D038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314B71B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09F8521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754" w:type="pct"/>
            <w:gridSpan w:val="2"/>
            <w:tcBorders>
              <w:left w:val="single" w:color="auto" w:sz="4" w:space="0"/>
            </w:tcBorders>
            <w:vAlign w:val="center"/>
          </w:tcPr>
          <w:p w14:paraId="72D7D99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6B277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42BF709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7608E8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选项模式</w:t>
            </w:r>
          </w:p>
        </w:tc>
        <w:tc>
          <w:tcPr>
            <w:tcW w:w="3754" w:type="pct"/>
            <w:gridSpan w:val="2"/>
            <w:tcBorders>
              <w:left w:val="single" w:color="auto" w:sz="4" w:space="0"/>
            </w:tcBorders>
            <w:vAlign w:val="center"/>
          </w:tcPr>
          <w:p w14:paraId="7C90304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同一车型可能有不同的变种，如大天窗、小天窗、无天窗等等，因此机器人需要获知选项信息。</w:t>
            </w:r>
          </w:p>
        </w:tc>
      </w:tr>
      <w:tr w14:paraId="2A058F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5C93F95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337AB0B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维护</w:t>
            </w:r>
          </w:p>
        </w:tc>
        <w:tc>
          <w:tcPr>
            <w:tcW w:w="3754" w:type="pct"/>
            <w:gridSpan w:val="2"/>
            <w:tcBorders>
              <w:left w:val="single" w:color="auto" w:sz="4" w:space="0"/>
            </w:tcBorders>
            <w:vAlign w:val="center"/>
          </w:tcPr>
          <w:p w14:paraId="4CF57A9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当进入维护模式时，可用手动对设备各部分进行点动操作；或屏蔽某（几）台机器人的运行；或关闭机器人的伺服驱动和制动，以便于维护。此模式下，机器人运动必须限制在安全的速度内。</w:t>
            </w:r>
          </w:p>
        </w:tc>
      </w:tr>
      <w:tr w14:paraId="54E07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1BFAB55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761C268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人工清洗</w:t>
            </w:r>
          </w:p>
        </w:tc>
        <w:tc>
          <w:tcPr>
            <w:tcW w:w="3754" w:type="pct"/>
            <w:gridSpan w:val="2"/>
            <w:tcBorders>
              <w:left w:val="single" w:color="auto" w:sz="4" w:space="0"/>
            </w:tcBorders>
            <w:vAlign w:val="center"/>
          </w:tcPr>
          <w:p w14:paraId="3832CBA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当机器人旋杯需要清洗时，关闭高压电，机器人旋杯移动至清洗位或维修位进行人工旋杯清洗。</w:t>
            </w:r>
          </w:p>
        </w:tc>
      </w:tr>
      <w:tr w14:paraId="7FC23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709D763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车身型号和颜色息的传输</w:t>
            </w:r>
          </w:p>
        </w:tc>
        <w:tc>
          <w:tcPr>
            <w:tcW w:w="4119" w:type="pct"/>
            <w:gridSpan w:val="3"/>
            <w:vAlign w:val="center"/>
          </w:tcPr>
          <w:p w14:paraId="661ABFB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自动方式： RFID将车身型号，颜色数据通过以太网或总线方式发送给机器人控制系统。机器人站读取车身数据，并跟踪记录数据。数据线由</w:t>
            </w:r>
            <w:r>
              <w:rPr>
                <w:rFonts w:hint="eastAsia" w:ascii="宋体" w:hAnsi="宋体" w:cs="宋体"/>
                <w:color w:val="auto"/>
                <w:lang w:eastAsia="zh-CN"/>
              </w:rPr>
              <w:t>投标人</w:t>
            </w:r>
            <w:r>
              <w:rPr>
                <w:rFonts w:hint="eastAsia" w:ascii="宋体" w:hAnsi="宋体" w:eastAsia="宋体" w:cs="宋体"/>
                <w:color w:val="auto"/>
              </w:rPr>
              <w:t>提供。</w:t>
            </w:r>
          </w:p>
          <w:p w14:paraId="092CEF3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手动：机器人系统未接收到RFID的信息时，输送系统停止，并发出提示信息，此时，操作者可以通过人机界面手工输入车身型号和颜色信息。</w:t>
            </w:r>
          </w:p>
        </w:tc>
      </w:tr>
      <w:tr w14:paraId="17D5C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1E1FFC7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位置跟踪</w:t>
            </w:r>
          </w:p>
        </w:tc>
        <w:tc>
          <w:tcPr>
            <w:tcW w:w="4119" w:type="pct"/>
            <w:gridSpan w:val="3"/>
            <w:vAlign w:val="center"/>
          </w:tcPr>
          <w:p w14:paraId="4735325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实时跟踪喷涂车身的运行速度，并将位置信息传递给机器人喷涂系统，机器人按此位置信息进行喷涂作业。</w:t>
            </w:r>
          </w:p>
          <w:p w14:paraId="1E70BB94">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要求机器人系统在喷房输送双链端部安装编码器，编码器与输送链轴的连接要求为柔性链条连接形式。编码器产生的脉冲信号传递给机器人控制系统，实现车身位置的实时跟踪。</w:t>
            </w:r>
          </w:p>
        </w:tc>
      </w:tr>
      <w:tr w14:paraId="71FBC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4BCA9C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PLC及总线</w:t>
            </w:r>
          </w:p>
        </w:tc>
        <w:tc>
          <w:tcPr>
            <w:tcW w:w="4119" w:type="pct"/>
            <w:gridSpan w:val="3"/>
            <w:vAlign w:val="center"/>
          </w:tcPr>
          <w:p w14:paraId="3F26F571">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机器人配置总线模块，通过现场总线与PLC通讯，实现PLC车身数据堆栈的下发及PLC和机器人间控制通讯信号的联锁。机器人配置标准以太网接口，实现PLC和系统监控计算机的联网。</w:t>
            </w:r>
          </w:p>
        </w:tc>
      </w:tr>
      <w:tr w14:paraId="6E92F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6201ADB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安全系统</w:t>
            </w:r>
          </w:p>
        </w:tc>
        <w:tc>
          <w:tcPr>
            <w:tcW w:w="4119" w:type="pct"/>
            <w:gridSpan w:val="3"/>
            <w:vAlign w:val="center"/>
          </w:tcPr>
          <w:p w14:paraId="5261804C">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设备安全系统采用安全PLC和安全总线为核心控制产品（ET200SP故障安全性现场模块）。</w:t>
            </w:r>
          </w:p>
          <w:p w14:paraId="41154DE2">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现场安全元件包括急停按钮、门安全开关、喷房出入口安全光幕等；机器人控制柜安全信号（如急停按钮、安全销、安全光幕等）需接入安全现场模块；</w:t>
            </w:r>
          </w:p>
          <w:p w14:paraId="1CAA61CB">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喷房出入口安全识别系统可识别进入喷房的是车辆还是人体，安全识别系统由接近开关和安全光栅组合构成；当喷涂过程中人通过输送通道进入喷房时，机器人会报警，并立即停止喷涂。</w:t>
            </w:r>
          </w:p>
        </w:tc>
      </w:tr>
      <w:tr w14:paraId="7B88D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restart"/>
            <w:vAlign w:val="center"/>
          </w:tcPr>
          <w:p w14:paraId="7556B44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监控、显示、操作站</w:t>
            </w:r>
          </w:p>
        </w:tc>
        <w:tc>
          <w:tcPr>
            <w:tcW w:w="364" w:type="pct"/>
            <w:tcBorders>
              <w:right w:val="single" w:color="auto" w:sz="4" w:space="0"/>
            </w:tcBorders>
            <w:vAlign w:val="center"/>
          </w:tcPr>
          <w:p w14:paraId="18554B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功能配置</w:t>
            </w:r>
          </w:p>
        </w:tc>
        <w:tc>
          <w:tcPr>
            <w:tcW w:w="3754" w:type="pct"/>
            <w:gridSpan w:val="2"/>
            <w:tcBorders>
              <w:left w:val="single" w:color="auto" w:sz="4" w:space="0"/>
            </w:tcBorders>
            <w:vAlign w:val="center"/>
          </w:tcPr>
          <w:p w14:paraId="291212AC">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1. 本系统每站（中涂、色漆、清漆）具有独立的监控计算机，来监控系统内设备的运行和对机器人喷漆数据修改、下载、上传。</w:t>
            </w:r>
          </w:p>
          <w:p w14:paraId="2BB75C14">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2. 监控计算机应设计有操作权限管理功能，分别设置操作员权限、管理员权限等。</w:t>
            </w:r>
          </w:p>
          <w:p w14:paraId="0E5A13E5">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3.监控计算机采用目前联想主流配置，采用双硬盘同步运行，支持热插拔。</w:t>
            </w:r>
          </w:p>
          <w:p w14:paraId="56C002CE">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4.每台监控计算机配一台UPS电源。</w:t>
            </w:r>
          </w:p>
          <w:p w14:paraId="3C5BFE05">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5.所有操作台主机安装的所有软件版本必须保持版本一致，人机界面必须能够相互访问。</w:t>
            </w:r>
          </w:p>
        </w:tc>
      </w:tr>
      <w:tr w14:paraId="76A00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26FCD4D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789287C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画面显示</w:t>
            </w:r>
          </w:p>
        </w:tc>
        <w:tc>
          <w:tcPr>
            <w:tcW w:w="3754" w:type="pct"/>
            <w:gridSpan w:val="2"/>
            <w:tcBorders>
              <w:left w:val="single" w:color="auto" w:sz="4" w:space="0"/>
            </w:tcBorders>
            <w:vAlign w:val="center"/>
          </w:tcPr>
          <w:p w14:paraId="0E5452B6">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1.操作及浏览主画面包含但不限于下列信息：</w:t>
            </w:r>
          </w:p>
          <w:p w14:paraId="0B145CCA">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站概览</w:t>
            </w:r>
          </w:p>
          <w:p w14:paraId="628520A4">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定位</w:t>
            </w:r>
          </w:p>
          <w:p w14:paraId="11DC2239">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喷涂数据概览</w:t>
            </w:r>
          </w:p>
          <w:p w14:paraId="27D02F21">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雾化器示意图</w:t>
            </w:r>
          </w:p>
          <w:p w14:paraId="22DCE39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节拍</w:t>
            </w:r>
          </w:p>
          <w:p w14:paraId="4F2467C9">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高压</w:t>
            </w:r>
          </w:p>
          <w:p w14:paraId="67D709FB">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模拟模式</w:t>
            </w:r>
          </w:p>
          <w:p w14:paraId="5813761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警报记录</w:t>
            </w:r>
          </w:p>
          <w:p w14:paraId="00355999">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诊断</w:t>
            </w:r>
          </w:p>
          <w:p w14:paraId="456B777F">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服务和维护</w:t>
            </w:r>
          </w:p>
          <w:p w14:paraId="602A24DF">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离线编程软件</w:t>
            </w:r>
          </w:p>
          <w:p w14:paraId="7FEC13C1">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2. 喷涂站总览画面为系统内设备总览图，包含下列信息：</w:t>
            </w:r>
          </w:p>
          <w:p w14:paraId="49004B6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所有基本组件在其局部位置的显示</w:t>
            </w:r>
          </w:p>
          <w:p w14:paraId="3712316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喷房墙壁和门（开关）</w:t>
            </w:r>
          </w:p>
          <w:p w14:paraId="3693FF6B">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人员进入</w:t>
            </w:r>
          </w:p>
          <w:p w14:paraId="7E1E2979">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紧急关闭按钮</w:t>
            </w:r>
          </w:p>
          <w:p w14:paraId="1FBB5EC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输送链速度</w:t>
            </w:r>
          </w:p>
          <w:p w14:paraId="5DFF38B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状态驱动、雾化器、高压</w:t>
            </w:r>
          </w:p>
          <w:p w14:paraId="0A5AF58E">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滑橇的相对位置</w:t>
            </w:r>
          </w:p>
          <w:p w14:paraId="7CC1CA86">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所有保护装置的错误和状态显示</w:t>
            </w:r>
          </w:p>
          <w:p w14:paraId="16965A54">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车型和颜色</w:t>
            </w:r>
          </w:p>
          <w:p w14:paraId="51B2A7DF">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3. 维护画面包含有下列信息：</w:t>
            </w:r>
          </w:p>
          <w:p w14:paraId="16307DC5">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喷幅</w:t>
            </w:r>
          </w:p>
          <w:p w14:paraId="054D83D5">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系统参数</w:t>
            </w:r>
          </w:p>
          <w:p w14:paraId="5AC95BB3">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固定位置</w:t>
            </w:r>
          </w:p>
          <w:p w14:paraId="336341C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PLC 通讯</w:t>
            </w:r>
          </w:p>
          <w:p w14:paraId="32D1AF00">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语言为英语、中文</w:t>
            </w:r>
          </w:p>
          <w:p w14:paraId="7BBF50D9">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所有画面显示语言为中文，同时可以兼容其他语言，画面中设置快速语言切换按钮，实现语言的实时快速切换。</w:t>
            </w:r>
          </w:p>
        </w:tc>
      </w:tr>
      <w:tr w14:paraId="0E4E8C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Merge w:val="continue"/>
            <w:vAlign w:val="center"/>
          </w:tcPr>
          <w:p w14:paraId="2043085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364" w:type="pct"/>
            <w:tcBorders>
              <w:right w:val="single" w:color="auto" w:sz="4" w:space="0"/>
            </w:tcBorders>
            <w:vAlign w:val="center"/>
          </w:tcPr>
          <w:p w14:paraId="5AA9AA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故障恢复</w:t>
            </w:r>
          </w:p>
        </w:tc>
        <w:tc>
          <w:tcPr>
            <w:tcW w:w="3754" w:type="pct"/>
            <w:gridSpan w:val="2"/>
            <w:tcBorders>
              <w:left w:val="single" w:color="auto" w:sz="4" w:space="0"/>
            </w:tcBorders>
            <w:vAlign w:val="center"/>
          </w:tcPr>
          <w:p w14:paraId="3D045F1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计算机内的喷涂监控软件及参数须能够快速安装及备份和一键恢复功能；一旦监控电脑发生故障甚至瘫痪后，在重装系统后将备份导入，即可恢复正常显示和监控。</w:t>
            </w:r>
          </w:p>
        </w:tc>
      </w:tr>
      <w:tr w14:paraId="0AD93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50741A0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联锁信号</w:t>
            </w:r>
          </w:p>
        </w:tc>
        <w:tc>
          <w:tcPr>
            <w:tcW w:w="4119" w:type="pct"/>
            <w:gridSpan w:val="3"/>
            <w:vAlign w:val="center"/>
          </w:tcPr>
          <w:p w14:paraId="1E0415B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联锁范围：输送系统、喷房送排风系统、消防系统等。</w:t>
            </w:r>
          </w:p>
          <w:p w14:paraId="58B7AD6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接线形式：必须采用硬接线采集信号。</w:t>
            </w:r>
          </w:p>
          <w:p w14:paraId="3BE607BA">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信号类型：连锁信号为双回路。</w:t>
            </w:r>
          </w:p>
          <w:p w14:paraId="7C661F90">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工程范围：输送、喷房，各连锁信号引至控制柜端子排，各方对其所需信号连接产生的材料采购、施工等负责。</w:t>
            </w:r>
          </w:p>
          <w:p w14:paraId="560E80E2">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功能要求：</w:t>
            </w:r>
          </w:p>
          <w:p w14:paraId="06EBC300">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输送联锁：</w:t>
            </w:r>
          </w:p>
          <w:p w14:paraId="5A30922F">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由于输送链紧急停止或正常停止时应输出相应的信号给机器人系统，机器人根据采取相应的动作，且记忆当前的工作状态，当输送链恢复正常时，机器人恢复到以前的工作状态；</w:t>
            </w:r>
          </w:p>
          <w:p w14:paraId="2ADA354B">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喷房送排风联锁：</w:t>
            </w:r>
          </w:p>
          <w:p w14:paraId="75F0C3F2">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当风压与温湿度都达到设定值时才能喷涂。</w:t>
            </w:r>
          </w:p>
          <w:p w14:paraId="2D586B84">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送排风联锁信号异常时，机器人系统需要报警和停止相应动作。</w:t>
            </w:r>
          </w:p>
          <w:p w14:paraId="79D96084">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消防联锁：</w:t>
            </w:r>
          </w:p>
          <w:p w14:paraId="5732B5C6">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当消防系统发出火警信号时，机器人系统应停止相应的动作，切断高压电源、运动轴电源，关闭油漆、溶剂、压缩空气管路，并发出相应的报警指示。</w:t>
            </w:r>
          </w:p>
        </w:tc>
      </w:tr>
      <w:tr w14:paraId="5EA2C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6661AFA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数据接口</w:t>
            </w:r>
          </w:p>
        </w:tc>
        <w:tc>
          <w:tcPr>
            <w:tcW w:w="4119" w:type="pct"/>
            <w:gridSpan w:val="3"/>
            <w:vAlign w:val="center"/>
          </w:tcPr>
          <w:p w14:paraId="1182C33A">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接口范围：与RFID系统接口；</w:t>
            </w:r>
          </w:p>
          <w:p w14:paraId="6A7041AC">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接口类型：</w:t>
            </w:r>
          </w:p>
          <w:p w14:paraId="4463D972">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与中控室以太网形式</w:t>
            </w:r>
          </w:p>
          <w:p w14:paraId="29DFFA72">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与RFID系统以总线形式</w:t>
            </w:r>
          </w:p>
          <w:p w14:paraId="23A595CE">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工程范围：</w:t>
            </w:r>
          </w:p>
          <w:p w14:paraId="40310FC0">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机器人PLC系统从AVI读写头读取车身型号、颜色、滑橇号信息，通过总线传送，同时MES读取载码体信息与MES系统扫描车身数据信息比对；超声波或者拍照系统具有独立的编辑可视化软件，配置操作编辑面板。</w:t>
            </w:r>
          </w:p>
          <w:p w14:paraId="4C61510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每个机器人系统均需预留以太网接口，以太网接口位于机器人柜内。</w:t>
            </w:r>
          </w:p>
          <w:p w14:paraId="4D60F01B">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功能描述：</w:t>
            </w:r>
          </w:p>
          <w:p w14:paraId="2999007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机器人系统联入车间控制层以太网，通过网络之间数据传输，实现中央监控系统计算机中实时监视机器人站的状态信息、收集故障信息。并能实时动态刷新，中央监控系统对机器人仅监视功能。</w:t>
            </w:r>
          </w:p>
          <w:p w14:paraId="25361DBC">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中控室的软硬件，包括监控画面，以及以太网线的提供和铺设均不在供货范围。</w:t>
            </w:r>
          </w:p>
          <w:p w14:paraId="14BBB8AF">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trike/>
                <w:color w:val="auto"/>
              </w:rPr>
            </w:pPr>
            <w:r>
              <w:rPr>
                <w:rFonts w:hint="eastAsia" w:ascii="宋体" w:hAnsi="宋体" w:eastAsia="宋体" w:cs="宋体"/>
                <w:color w:val="auto"/>
              </w:rPr>
              <w:t>提供中央监控系统及RFID系统的电子版数据交换Tag点表内容。协助相关方完成</w:t>
            </w:r>
            <w:r>
              <w:rPr>
                <w:rFonts w:hint="eastAsia" w:ascii="宋体" w:hAnsi="宋体" w:cs="宋体"/>
                <w:color w:val="auto"/>
                <w:lang w:eastAsia="zh-CN"/>
              </w:rPr>
              <w:t>招标人</w:t>
            </w:r>
            <w:r>
              <w:rPr>
                <w:rFonts w:hint="eastAsia" w:ascii="宋体" w:hAnsi="宋体" w:eastAsia="宋体" w:cs="宋体"/>
                <w:color w:val="auto"/>
              </w:rPr>
              <w:t>所需的数据交换工作等相应的工作。</w:t>
            </w:r>
          </w:p>
        </w:tc>
      </w:tr>
      <w:tr w14:paraId="11545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00A26EA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IT信息化接口</w:t>
            </w:r>
          </w:p>
        </w:tc>
        <w:tc>
          <w:tcPr>
            <w:tcW w:w="4119" w:type="pct"/>
            <w:gridSpan w:val="3"/>
            <w:vAlign w:val="center"/>
          </w:tcPr>
          <w:p w14:paraId="4BE5F835">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预留有与</w:t>
            </w:r>
            <w:r>
              <w:rPr>
                <w:rFonts w:hint="eastAsia" w:ascii="宋体" w:hAnsi="宋体" w:cs="宋体"/>
                <w:color w:val="auto"/>
                <w:lang w:eastAsia="zh-CN"/>
              </w:rPr>
              <w:t>招标人</w:t>
            </w:r>
            <w:r>
              <w:rPr>
                <w:rFonts w:hint="eastAsia" w:ascii="宋体" w:hAnsi="宋体" w:eastAsia="宋体" w:cs="宋体"/>
                <w:color w:val="auto"/>
              </w:rPr>
              <w:t>车间生产管理信息化系统进行集成的接口。</w:t>
            </w:r>
          </w:p>
        </w:tc>
      </w:tr>
      <w:tr w14:paraId="6CEF3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0CD2FB9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接地要求</w:t>
            </w:r>
          </w:p>
        </w:tc>
        <w:tc>
          <w:tcPr>
            <w:tcW w:w="4119" w:type="pct"/>
            <w:gridSpan w:val="3"/>
            <w:vAlign w:val="center"/>
          </w:tcPr>
          <w:p w14:paraId="32580C9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i/>
                <w:color w:val="auto"/>
              </w:rPr>
            </w:pPr>
            <w:r>
              <w:rPr>
                <w:rFonts w:hint="eastAsia" w:ascii="宋体" w:hAnsi="宋体" w:eastAsia="宋体" w:cs="宋体"/>
                <w:color w:val="auto"/>
              </w:rPr>
              <w:t>明确机器人系统的接地要求，提供详细的接地方案（附图说明）</w:t>
            </w:r>
          </w:p>
        </w:tc>
      </w:tr>
      <w:tr w14:paraId="20D15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1B7CC28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其他</w:t>
            </w:r>
          </w:p>
        </w:tc>
        <w:tc>
          <w:tcPr>
            <w:tcW w:w="660" w:type="pct"/>
            <w:gridSpan w:val="2"/>
            <w:vAlign w:val="center"/>
          </w:tcPr>
          <w:p w14:paraId="68E200BC">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防爆要求</w:t>
            </w:r>
          </w:p>
        </w:tc>
        <w:tc>
          <w:tcPr>
            <w:tcW w:w="3458" w:type="pct"/>
            <w:vAlign w:val="center"/>
          </w:tcPr>
          <w:p w14:paraId="10840FF0">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喷漆防爆区域的电器元件均为防爆类型</w:t>
            </w:r>
          </w:p>
          <w:p w14:paraId="597DADBE">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电气元件的布线需通过防爆软管和镀锌钢管形式实现，接头处需采用防爆接线盒，原则上一根防爆软管和镀锌管内仅允许走一根电缆；防爆区内及防爆区和非防爆区间线管穿墙处、穿线管间密封套处、穿线管到防爆电气元件出线口处均需根据国标有关规定进行防爆密封处理；进出穿线盒的密封锁紧接头亦需采用相应防爆等级的专用防爆接头。</w:t>
            </w:r>
          </w:p>
        </w:tc>
      </w:tr>
      <w:tr w14:paraId="50756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102638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笔记本电脑</w:t>
            </w:r>
          </w:p>
        </w:tc>
        <w:tc>
          <w:tcPr>
            <w:tcW w:w="4119" w:type="pct"/>
            <w:gridSpan w:val="3"/>
            <w:vAlign w:val="center"/>
          </w:tcPr>
          <w:p w14:paraId="2712248E">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1台，实际发货不低于以下配置：</w:t>
            </w:r>
          </w:p>
          <w:p w14:paraId="37F713B1">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bCs/>
                <w:color w:val="auto"/>
              </w:rPr>
              <w:t>ThinkPad 主流配置</w:t>
            </w:r>
          </w:p>
          <w:p w14:paraId="052D33D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操作系统</w:t>
            </w:r>
          </w:p>
          <w:p w14:paraId="3A97CCDC">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以太网卡</w:t>
            </w:r>
          </w:p>
          <w:p w14:paraId="5942845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用于输送机编码器的参数化软件</w:t>
            </w:r>
          </w:p>
          <w:p w14:paraId="69309CBE">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参数化软件</w:t>
            </w:r>
          </w:p>
          <w:p w14:paraId="46705691">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安装win10正版系统</w:t>
            </w:r>
          </w:p>
          <w:p w14:paraId="048E7B31">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现场工控机崩溃时，能够代替任意一台工控机，实现应急操作</w:t>
            </w:r>
          </w:p>
          <w:p w14:paraId="53B78B47">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安装与现场机器人匹配的所有监控软件和应用软件，提供正版授权</w:t>
            </w:r>
          </w:p>
          <w:p w14:paraId="144F67A8">
            <w:pPr>
              <w:pStyle w:val="210"/>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安装与现场匹配的PLC版本，能够实时组态、修改、上传、下载程序功能</w:t>
            </w:r>
          </w:p>
        </w:tc>
      </w:tr>
      <w:tr w14:paraId="47EC7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80" w:type="pct"/>
            <w:vAlign w:val="center"/>
          </w:tcPr>
          <w:p w14:paraId="6244B0C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软件</w:t>
            </w:r>
          </w:p>
        </w:tc>
        <w:tc>
          <w:tcPr>
            <w:tcW w:w="4119" w:type="pct"/>
            <w:gridSpan w:val="3"/>
            <w:vAlign w:val="center"/>
          </w:tcPr>
          <w:p w14:paraId="7E81E2F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应免费提供本系统所能使用的所有正版软件，软件中提供的所有程序都必须有详细的注释；编程和监控软件界面、程序的Tag名称、注释等必须包含中文或英文。负责提供本系统内开发的PLC程序及上位机组态程序</w:t>
            </w:r>
          </w:p>
          <w:tbl>
            <w:tblPr>
              <w:tblStyle w:val="44"/>
              <w:tblpPr w:leftFromText="180" w:rightFromText="180" w:vertAnchor="text" w:horzAnchor="margin" w:tblpXSpec="center" w:tblpY="133"/>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972"/>
              <w:gridCol w:w="709"/>
              <w:gridCol w:w="3777"/>
            </w:tblGrid>
            <w:tr w14:paraId="3DB9B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72" w:type="dxa"/>
                  <w:tcBorders>
                    <w:top w:val="single" w:color="auto" w:sz="4" w:space="0"/>
                    <w:bottom w:val="single" w:color="auto" w:sz="4" w:space="0"/>
                    <w:right w:val="single" w:color="auto" w:sz="4" w:space="0"/>
                  </w:tcBorders>
                </w:tcPr>
                <w:p w14:paraId="34E1962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软件名称</w:t>
                  </w:r>
                </w:p>
              </w:tc>
              <w:tc>
                <w:tcPr>
                  <w:tcW w:w="709" w:type="dxa"/>
                  <w:tcBorders>
                    <w:top w:val="single" w:color="auto" w:sz="4" w:space="0"/>
                    <w:left w:val="single" w:color="auto" w:sz="4" w:space="0"/>
                    <w:bottom w:val="single" w:color="auto" w:sz="4" w:space="0"/>
                    <w:right w:val="single" w:color="auto" w:sz="4" w:space="0"/>
                  </w:tcBorders>
                </w:tcPr>
                <w:p w14:paraId="4AB2DD5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数量</w:t>
                  </w:r>
                </w:p>
              </w:tc>
              <w:tc>
                <w:tcPr>
                  <w:tcW w:w="3777" w:type="dxa"/>
                  <w:tcBorders>
                    <w:top w:val="single" w:color="auto" w:sz="4" w:space="0"/>
                    <w:left w:val="single" w:color="auto" w:sz="4" w:space="0"/>
                    <w:bottom w:val="single" w:color="auto" w:sz="4" w:space="0"/>
                    <w:right w:val="single" w:color="auto" w:sz="4" w:space="0"/>
                  </w:tcBorders>
                </w:tcPr>
                <w:p w14:paraId="5A1AC77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备注</w:t>
                  </w:r>
                </w:p>
              </w:tc>
            </w:tr>
            <w:tr w14:paraId="7FA61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72" w:type="dxa"/>
                  <w:tcBorders>
                    <w:top w:val="single" w:color="auto" w:sz="4" w:space="0"/>
                    <w:left w:val="single" w:color="auto" w:sz="4" w:space="0"/>
                    <w:bottom w:val="single" w:color="auto" w:sz="4" w:space="0"/>
                    <w:right w:val="single" w:color="auto" w:sz="4" w:space="0"/>
                  </w:tcBorders>
                </w:tcPr>
                <w:p w14:paraId="7C68BD8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上位机监控电脑组态软件安装盘</w:t>
                  </w:r>
                </w:p>
              </w:tc>
              <w:tc>
                <w:tcPr>
                  <w:tcW w:w="709" w:type="dxa"/>
                  <w:tcBorders>
                    <w:top w:val="single" w:color="auto" w:sz="4" w:space="0"/>
                    <w:left w:val="single" w:color="auto" w:sz="4" w:space="0"/>
                    <w:bottom w:val="single" w:color="auto" w:sz="4" w:space="0"/>
                    <w:right w:val="single" w:color="auto" w:sz="4" w:space="0"/>
                  </w:tcBorders>
                </w:tcPr>
                <w:p w14:paraId="1BFC2C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2434BAE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安装在各机器人站的上位机监控电脑上，含软件的运行时授权</w:t>
                  </w:r>
                </w:p>
              </w:tc>
            </w:tr>
            <w:tr w14:paraId="53D39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72" w:type="dxa"/>
                  <w:tcBorders>
                    <w:top w:val="single" w:color="auto" w:sz="4" w:space="0"/>
                    <w:left w:val="single" w:color="auto" w:sz="4" w:space="0"/>
                    <w:bottom w:val="single" w:color="auto" w:sz="4" w:space="0"/>
                    <w:right w:val="single" w:color="auto" w:sz="4" w:space="0"/>
                  </w:tcBorders>
                </w:tcPr>
                <w:p w14:paraId="286BB4A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机器人离线编程软件</w:t>
                  </w:r>
                </w:p>
              </w:tc>
              <w:tc>
                <w:tcPr>
                  <w:tcW w:w="709" w:type="dxa"/>
                  <w:tcBorders>
                    <w:top w:val="single" w:color="auto" w:sz="4" w:space="0"/>
                    <w:left w:val="single" w:color="auto" w:sz="4" w:space="0"/>
                    <w:bottom w:val="single" w:color="auto" w:sz="4" w:space="0"/>
                    <w:right w:val="single" w:color="auto" w:sz="4" w:space="0"/>
                  </w:tcBorders>
                </w:tcPr>
                <w:p w14:paraId="5AF5CCD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12D9A53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08AAF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972" w:type="dxa"/>
                  <w:tcBorders>
                    <w:top w:val="single" w:color="auto" w:sz="4" w:space="0"/>
                    <w:left w:val="single" w:color="auto" w:sz="4" w:space="0"/>
                    <w:bottom w:val="single" w:color="auto" w:sz="4" w:space="0"/>
                    <w:right w:val="single" w:color="auto" w:sz="4" w:space="0"/>
                  </w:tcBorders>
                </w:tcPr>
                <w:p w14:paraId="5D75731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PLC控制程序</w:t>
                  </w:r>
                </w:p>
              </w:tc>
              <w:tc>
                <w:tcPr>
                  <w:tcW w:w="709" w:type="dxa"/>
                  <w:tcBorders>
                    <w:top w:val="single" w:color="auto" w:sz="4" w:space="0"/>
                    <w:left w:val="single" w:color="auto" w:sz="4" w:space="0"/>
                    <w:bottom w:val="single" w:color="auto" w:sz="4" w:space="0"/>
                    <w:right w:val="single" w:color="auto" w:sz="4" w:space="0"/>
                  </w:tcBorders>
                </w:tcPr>
                <w:p w14:paraId="0C45EC6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6D9A776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提供源程序带注释（光盘备份）</w:t>
                  </w:r>
                </w:p>
              </w:tc>
            </w:tr>
            <w:tr w14:paraId="20C43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972" w:type="dxa"/>
                  <w:tcBorders>
                    <w:top w:val="single" w:color="auto" w:sz="4" w:space="0"/>
                    <w:left w:val="single" w:color="auto" w:sz="4" w:space="0"/>
                    <w:bottom w:val="single" w:color="auto" w:sz="4" w:space="0"/>
                    <w:right w:val="single" w:color="auto" w:sz="4" w:space="0"/>
                  </w:tcBorders>
                </w:tcPr>
                <w:p w14:paraId="3BF0529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主控机监控程序</w:t>
                  </w:r>
                </w:p>
              </w:tc>
              <w:tc>
                <w:tcPr>
                  <w:tcW w:w="709" w:type="dxa"/>
                  <w:tcBorders>
                    <w:top w:val="single" w:color="auto" w:sz="4" w:space="0"/>
                    <w:left w:val="single" w:color="auto" w:sz="4" w:space="0"/>
                    <w:bottom w:val="single" w:color="auto" w:sz="4" w:space="0"/>
                    <w:right w:val="single" w:color="auto" w:sz="4" w:space="0"/>
                  </w:tcBorders>
                </w:tcPr>
                <w:p w14:paraId="710DA9D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57EC341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提供备份文件可及时故障恢复</w:t>
                  </w:r>
                </w:p>
              </w:tc>
            </w:tr>
            <w:tr w14:paraId="6E321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972" w:type="dxa"/>
                  <w:tcBorders>
                    <w:top w:val="single" w:color="auto" w:sz="4" w:space="0"/>
                    <w:left w:val="single" w:color="auto" w:sz="4" w:space="0"/>
                    <w:bottom w:val="single" w:color="auto" w:sz="4" w:space="0"/>
                    <w:right w:val="single" w:color="auto" w:sz="4" w:space="0"/>
                  </w:tcBorders>
                </w:tcPr>
                <w:p w14:paraId="0CEF468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PLC编程</w:t>
                  </w:r>
                </w:p>
              </w:tc>
              <w:tc>
                <w:tcPr>
                  <w:tcW w:w="709" w:type="dxa"/>
                  <w:tcBorders>
                    <w:top w:val="single" w:color="auto" w:sz="4" w:space="0"/>
                    <w:left w:val="single" w:color="auto" w:sz="4" w:space="0"/>
                    <w:bottom w:val="single" w:color="auto" w:sz="4" w:space="0"/>
                    <w:right w:val="single" w:color="auto" w:sz="4" w:space="0"/>
                  </w:tcBorders>
                </w:tcPr>
                <w:p w14:paraId="0E342A4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625F9B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安装在提供的笔记本上</w:t>
                  </w:r>
                </w:p>
              </w:tc>
            </w:tr>
            <w:tr w14:paraId="59C8A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972" w:type="dxa"/>
                  <w:tcBorders>
                    <w:top w:val="single" w:color="auto" w:sz="4" w:space="0"/>
                    <w:left w:val="single" w:color="auto" w:sz="4" w:space="0"/>
                    <w:bottom w:val="single" w:color="auto" w:sz="4" w:space="0"/>
                    <w:right w:val="single" w:color="auto" w:sz="4" w:space="0"/>
                  </w:tcBorders>
                </w:tcPr>
                <w:p w14:paraId="24B4498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lang w:val="en-US" w:eastAsia="zh-CN"/>
                    </w:rPr>
                  </w:pPr>
                  <w:r>
                    <w:rPr>
                      <w:rFonts w:hint="eastAsia" w:ascii="宋体" w:hAnsi="宋体" w:eastAsia="宋体" w:cs="宋体"/>
                      <w:color w:val="auto"/>
                    </w:rPr>
                    <w:t>PLC编程</w:t>
                  </w:r>
                  <w:r>
                    <w:rPr>
                      <w:rFonts w:hint="eastAsia" w:ascii="宋体" w:hAnsi="宋体" w:eastAsia="宋体" w:cs="宋体"/>
                      <w:color w:val="auto"/>
                      <w:lang w:val="en-US" w:eastAsia="zh-CN"/>
                    </w:rPr>
                    <w:t>数据线</w:t>
                  </w:r>
                </w:p>
              </w:tc>
              <w:tc>
                <w:tcPr>
                  <w:tcW w:w="709" w:type="dxa"/>
                  <w:tcBorders>
                    <w:top w:val="single" w:color="auto" w:sz="4" w:space="0"/>
                    <w:left w:val="single" w:color="auto" w:sz="4" w:space="0"/>
                    <w:bottom w:val="single" w:color="auto" w:sz="4" w:space="0"/>
                    <w:right w:val="single" w:color="auto" w:sz="4" w:space="0"/>
                  </w:tcBorders>
                </w:tcPr>
                <w:p w14:paraId="4FC053F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3013AB0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支持CPU每个程序传递接口</w:t>
                  </w:r>
                </w:p>
              </w:tc>
            </w:tr>
            <w:tr w14:paraId="04030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972" w:type="dxa"/>
                  <w:tcBorders>
                    <w:top w:val="single" w:color="auto" w:sz="4" w:space="0"/>
                    <w:left w:val="single" w:color="auto" w:sz="4" w:space="0"/>
                    <w:bottom w:val="single" w:color="auto" w:sz="4" w:space="0"/>
                    <w:right w:val="single" w:color="auto" w:sz="4" w:space="0"/>
                  </w:tcBorders>
                </w:tcPr>
                <w:p w14:paraId="4056224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主控机、组态软件</w:t>
                  </w:r>
                </w:p>
              </w:tc>
              <w:tc>
                <w:tcPr>
                  <w:tcW w:w="709" w:type="dxa"/>
                  <w:tcBorders>
                    <w:top w:val="single" w:color="auto" w:sz="4" w:space="0"/>
                    <w:left w:val="single" w:color="auto" w:sz="4" w:space="0"/>
                    <w:bottom w:val="single" w:color="auto" w:sz="4" w:space="0"/>
                    <w:right w:val="single" w:color="auto" w:sz="4" w:space="0"/>
                  </w:tcBorders>
                </w:tcPr>
                <w:p w14:paraId="53B1069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1套</w:t>
                  </w:r>
                </w:p>
              </w:tc>
              <w:tc>
                <w:tcPr>
                  <w:tcW w:w="3777" w:type="dxa"/>
                  <w:tcBorders>
                    <w:top w:val="single" w:color="auto" w:sz="4" w:space="0"/>
                    <w:left w:val="single" w:color="auto" w:sz="4" w:space="0"/>
                    <w:bottom w:val="single" w:color="auto" w:sz="4" w:space="0"/>
                    <w:right w:val="single" w:color="auto" w:sz="4" w:space="0"/>
                  </w:tcBorders>
                </w:tcPr>
                <w:p w14:paraId="7F10B9E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安装在上位机监控电脑上，含授权</w:t>
                  </w:r>
                </w:p>
              </w:tc>
            </w:tr>
          </w:tbl>
          <w:p w14:paraId="43A320A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bl>
    <w:p w14:paraId="5B53AB71">
      <w:pPr>
        <w:pStyle w:val="210"/>
        <w:pageBreakBefore w:val="0"/>
        <w:kinsoku/>
        <w:wordWrap/>
        <w:topLinePunct w:val="0"/>
        <w:bidi w:val="0"/>
        <w:adjustRightInd w:val="0"/>
        <w:snapToGrid w:val="0"/>
        <w:spacing w:afterAutospacing="0" w:line="360" w:lineRule="auto"/>
        <w:ind w:left="0" w:leftChars="0" w:firstLine="0" w:firstLineChars="0"/>
        <w:rPr>
          <w:rFonts w:hint="default" w:ascii="宋体" w:hAnsi="宋体" w:eastAsia="宋体" w:cs="宋体"/>
          <w:color w:val="auto"/>
          <w:sz w:val="21"/>
          <w:szCs w:val="21"/>
          <w:lang w:val="en-US" w:eastAsia="zh-CN"/>
        </w:rPr>
      </w:pPr>
    </w:p>
    <w:p w14:paraId="42CB3525">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培训</w:t>
      </w:r>
    </w:p>
    <w:p w14:paraId="44AD0B81">
      <w:pPr>
        <w:pStyle w:val="17"/>
        <w:pageBreakBefore w:val="0"/>
        <w:numPr>
          <w:ilvl w:val="0"/>
          <w:numId w:val="19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机器人的电气培训</w:t>
      </w:r>
    </w:p>
    <w:p w14:paraId="704D6E95">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机器人的工作方式：包括手动模式、自动模式、维修模式、清洗模式、模拟模式，机器人的运行模式，程序执行方法等。</w:t>
      </w:r>
    </w:p>
    <w:p w14:paraId="6A15AD7C">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PLC、机器人工作站、机器人控制单元之间的信息交换的通讯方式、设置方法及程序实现方法。</w:t>
      </w:r>
    </w:p>
    <w:p w14:paraId="4EA993B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机器人工作站的硬件配置，软件安装及维护方法；机器人控制单元的维护方法，相关设备部件的功能及位置，包括机器人臂内器件的位置及安装拆卸方法。</w:t>
      </w:r>
    </w:p>
    <w:p w14:paraId="32A1A31F">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机器人控制面板的设置、修改方法。</w:t>
      </w:r>
    </w:p>
    <w:p w14:paraId="13FC4FC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机器人PLC的程序结构，包括报警、换色、清洗、填充控制，安全控制，电磁阀控制，喷涂运行的数据管理及传输等等。</w:t>
      </w:r>
    </w:p>
    <w:p w14:paraId="61FC9AD3">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机器人安全PLC的硬件及软件维护方法。机器人系统参数、网络通讯参数、故障编码的设定。</w:t>
      </w:r>
    </w:p>
    <w:p w14:paraId="5167C081">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机器人喷涂参数的定义及设定方法。</w:t>
      </w:r>
    </w:p>
    <w:p w14:paraId="23923D95">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机器人的数据管理车型和颜色的判别校验方法。</w:t>
      </w:r>
    </w:p>
    <w:p w14:paraId="1AEB60C7">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机器人参数表格的设定和维护方法，如表格扩充。</w:t>
      </w:r>
    </w:p>
    <w:p w14:paraId="538D199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机器人的电气元器件维护方法；例如：高压控制器的参数设定及故障原因分析；伺服控制器的参数设定及故障原因分析。</w:t>
      </w:r>
    </w:p>
    <w:p w14:paraId="7B3F0A7F">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设备报警和故障处理，对机器人典型故障的分析。机器人示教器的使用方法，基准位的校准方法及软件使用。</w:t>
      </w:r>
    </w:p>
    <w:p w14:paraId="4807823E">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机器人喷涂系统检测与控制方式，如转速，高压，流量，运动等等。</w:t>
      </w:r>
    </w:p>
    <w:p w14:paraId="4BE510DA">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喷涂质量与设备运行状态之间的关系。机器人坐标系统、机器人之间的位置参数定义。</w:t>
      </w:r>
    </w:p>
    <w:p w14:paraId="313DF71A">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机器人系统与其它相关系统（如输送、烘干炉、空调、消防系统等）的硬件连接及逻辑控制关系。</w:t>
      </w:r>
    </w:p>
    <w:p w14:paraId="6A4A0FA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机器人各种降级运行模式及注意事项。</w:t>
      </w:r>
    </w:p>
    <w:p w14:paraId="4D77DE07">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机器人喷涂系统主要部件出现故障时的应急处理方法。总线的软件组态及地址分配。</w:t>
      </w:r>
    </w:p>
    <w:p w14:paraId="1F6DDC8D">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PLC的编址、编译及功能增加。</w:t>
      </w:r>
    </w:p>
    <w:p w14:paraId="085CABFE">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总线及网络拓扑图。</w:t>
      </w:r>
    </w:p>
    <w:p w14:paraId="4ADFFEB3">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各控制电柜之间的信号交换。</w:t>
      </w:r>
    </w:p>
    <w:p w14:paraId="215BFE36">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断电后重启机器人。 </w:t>
      </w:r>
    </w:p>
    <w:p w14:paraId="4E790D92">
      <w:pPr>
        <w:pStyle w:val="17"/>
        <w:pageBreakBefore w:val="0"/>
        <w:numPr>
          <w:ilvl w:val="0"/>
          <w:numId w:val="19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15" w:name="_Toc281318914"/>
      <w:bookmarkStart w:id="216" w:name="_Toc249343772"/>
      <w:bookmarkStart w:id="217" w:name="_Toc286316430"/>
      <w:r>
        <w:rPr>
          <w:rFonts w:hint="eastAsia" w:ascii="宋体" w:hAnsi="宋体" w:eastAsia="宋体" w:cs="宋体"/>
        </w:rPr>
        <w:t>机器人的机械培训</w:t>
      </w:r>
      <w:bookmarkEnd w:id="215"/>
      <w:bookmarkEnd w:id="216"/>
      <w:bookmarkEnd w:id="217"/>
    </w:p>
    <w:p w14:paraId="7CB78A34">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机器人结构总体说明。</w:t>
      </w:r>
    </w:p>
    <w:p w14:paraId="487E41A6">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机器人各自由度及传动系统结构。</w:t>
      </w:r>
    </w:p>
    <w:p w14:paraId="3506F83D">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平衡系统结构及工作原理。</w:t>
      </w:r>
    </w:p>
    <w:p w14:paraId="07B9C9E3">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机器人位置校准方法。</w:t>
      </w:r>
    </w:p>
    <w:p w14:paraId="4F773DCB">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喷涂系统总体结构及工作原理。</w:t>
      </w:r>
    </w:p>
    <w:p w14:paraId="711F84D2">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喷涂系统主要元件（如齿轮泵、换色阀、换色模块、减速箱、联轴器、雾化器、比例阀、调压器、气动涡轮、安全阀、杯头等）的工作原理、更换方法。</w:t>
      </w:r>
    </w:p>
    <w:p w14:paraId="30D80C50">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比例阀的校准方法。</w:t>
      </w:r>
    </w:p>
    <w:p w14:paraId="1E760EC4">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齿轮泵的流量检测和校准方法。</w:t>
      </w:r>
    </w:p>
    <w:p w14:paraId="4A41F32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喷涂系统的气动控制原理。</w:t>
      </w:r>
    </w:p>
    <w:p w14:paraId="4CE1C11A">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机器人运动系统及喷涂系统工作过程。</w:t>
      </w:r>
    </w:p>
    <w:p w14:paraId="421F0AB6">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机器人消防系统工作原理。</w:t>
      </w:r>
    </w:p>
    <w:p w14:paraId="67ECDD83">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机器人运动系统（位置错误、涡轮工作异常、杯头粘结等）及喷涂系统（如高压、串色、雾化不良、整形气不正常、喷涂不出漆等）常见故障及排除方法。</w:t>
      </w:r>
    </w:p>
    <w:p w14:paraId="6F0215F0">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功能分析。</w:t>
      </w:r>
    </w:p>
    <w:p w14:paraId="32FE5ADB">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配备的空气增压设备的结构/工作原理/常见故障及排除方法/设备维护方法。</w:t>
      </w:r>
    </w:p>
    <w:p w14:paraId="31094C65">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机器人清洁方法。</w:t>
      </w:r>
    </w:p>
    <w:p w14:paraId="7CACD38E">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机器人各轴的更换方法及轴内气体管道护套的更换方法。</w:t>
      </w:r>
    </w:p>
    <w:p w14:paraId="32212E81">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润滑。</w:t>
      </w:r>
    </w:p>
    <w:p w14:paraId="13197DBF">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机器人臂内的空气保护（吹扫）系统的工作原理及维护方法。</w:t>
      </w:r>
    </w:p>
    <w:p w14:paraId="0D36E60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机器人电磁阀的工作原理及维护（含更换）方法。</w:t>
      </w:r>
    </w:p>
    <w:p w14:paraId="7287E4D0">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18" w:name="_Toc249343773"/>
      <w:bookmarkStart w:id="219" w:name="_Toc281318915"/>
      <w:bookmarkStart w:id="220" w:name="_Toc286316431"/>
      <w:r>
        <w:rPr>
          <w:rFonts w:hint="eastAsia" w:ascii="宋体" w:hAnsi="宋体" w:eastAsia="宋体" w:cs="宋体"/>
        </w:rPr>
        <w:t>机器人的工艺培训</w:t>
      </w:r>
      <w:bookmarkEnd w:id="218"/>
      <w:bookmarkEnd w:id="219"/>
      <w:bookmarkEnd w:id="220"/>
      <w:r>
        <w:rPr>
          <w:rFonts w:hint="eastAsia" w:ascii="宋体" w:hAnsi="宋体" w:eastAsia="宋体" w:cs="宋体"/>
        </w:rPr>
        <w:t>。</w:t>
      </w:r>
    </w:p>
    <w:p w14:paraId="46914716">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机器人PLC的操作。</w:t>
      </w:r>
    </w:p>
    <w:p w14:paraId="751B4B35">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离线编程软件使用。</w:t>
      </w:r>
    </w:p>
    <w:p w14:paraId="1BEC5F7B">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示教器的基本操作、PLC、程序、轨迹修改程序、机器人操作的每个功能。</w:t>
      </w:r>
    </w:p>
    <w:p w14:paraId="3AE61BF8">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新车型导入配置设置。</w:t>
      </w:r>
    </w:p>
    <w:p w14:paraId="0703E89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旋杯喷涂参数校准，如流量、转速、高压、整形气流等；各种坐标系的建立、校准</w:t>
      </w:r>
    </w:p>
    <w:p w14:paraId="57505765">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机器人数据备份、恢复操作。</w:t>
      </w:r>
    </w:p>
    <w:p w14:paraId="665E4E4B">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利用离线编程软件完成一个工件的轨迹参数及模拟。</w:t>
      </w:r>
    </w:p>
    <w:p w14:paraId="45B7AF01">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机器人零位校准方法。</w:t>
      </w:r>
    </w:p>
    <w:p w14:paraId="7242FED2">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喷涂系统各单元工作原理。</w:t>
      </w:r>
    </w:p>
    <w:p w14:paraId="39B2512E">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喷涂、清洗参数设置。</w:t>
      </w:r>
      <w:bookmarkStart w:id="221" w:name="_Toc285437369"/>
      <w:bookmarkEnd w:id="221"/>
      <w:bookmarkStart w:id="222" w:name="_Toc285269715"/>
      <w:bookmarkEnd w:id="222"/>
    </w:p>
    <w:p w14:paraId="0E3EBC6F">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机器人仿真</w:t>
      </w:r>
    </w:p>
    <w:p w14:paraId="29B010B7">
      <w:pPr>
        <w:pStyle w:val="17"/>
        <w:pageBreakBefore w:val="0"/>
        <w:numPr>
          <w:ilvl w:val="0"/>
          <w:numId w:val="19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机器人运行轨迹的技术要求和漆膜厚度的要求要保持一致，且在工件上左右两边喷涂相同区域的膜厚偏差在±</w:t>
      </w:r>
      <w:r>
        <w:rPr>
          <w:rFonts w:hint="eastAsia" w:ascii="宋体" w:hAnsi="宋体" w:eastAsia="宋体" w:cs="宋体"/>
          <w:lang w:val="en-US" w:eastAsia="zh-CN"/>
        </w:rPr>
        <w:t>3</w:t>
      </w:r>
      <w:r>
        <w:rPr>
          <w:rFonts w:hint="eastAsia" w:ascii="宋体" w:hAnsi="宋体" w:eastAsia="宋体" w:cs="宋体"/>
        </w:rPr>
        <w:t>μm内，轨迹检查必须通过屏幕显示，厚度和偏差必须可视且能确保。</w:t>
      </w:r>
    </w:p>
    <w:p w14:paraId="3D2EFCE3">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每个机器人站使用一个图形可视界面。</w:t>
      </w:r>
    </w:p>
    <w:p w14:paraId="61800DC5">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具有跟踪输送链的功能。</w:t>
      </w:r>
    </w:p>
    <w:p w14:paraId="23784B10">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带机器人或不带机器人的工作窗口可视界面。</w:t>
      </w:r>
    </w:p>
    <w:p w14:paraId="431CCE52">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具有停止输送链运行的功能。</w:t>
      </w:r>
    </w:p>
    <w:p w14:paraId="25502132">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模拟时间要充分保证。</w:t>
      </w:r>
    </w:p>
    <w:p w14:paraId="0E77E1E9">
      <w:pPr>
        <w:pStyle w:val="17"/>
        <w:pageBreakBefore w:val="0"/>
        <w:numPr>
          <w:ilvl w:val="0"/>
          <w:numId w:val="18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所有模拟结果都可保存为可视数字视频文件，在办公用PC上可以观看。</w:t>
      </w:r>
    </w:p>
    <w:p w14:paraId="58EA22AA">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模拟仿真结论</w:t>
      </w:r>
    </w:p>
    <w:p w14:paraId="5390B7F1">
      <w:pPr>
        <w:pStyle w:val="17"/>
        <w:pageBreakBefore w:val="0"/>
        <w:numPr>
          <w:ilvl w:val="0"/>
          <w:numId w:val="19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安装平面布置图的完成。</w:t>
      </w:r>
    </w:p>
    <w:p w14:paraId="33CCABB4">
      <w:pPr>
        <w:pStyle w:val="17"/>
        <w:pageBreakBefore w:val="0"/>
        <w:numPr>
          <w:ilvl w:val="0"/>
          <w:numId w:val="19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每个机器人的轨迹分配情况；所有的轨迹必须通过图形、点表示出来。</w:t>
      </w:r>
    </w:p>
    <w:p w14:paraId="3B612F96">
      <w:pPr>
        <w:pStyle w:val="17"/>
        <w:pageBreakBefore w:val="0"/>
        <w:numPr>
          <w:ilvl w:val="0"/>
          <w:numId w:val="19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每个机器人的有效工作区域，区域界线明显。</w:t>
      </w:r>
    </w:p>
    <w:p w14:paraId="1A0348BB">
      <w:pPr>
        <w:pStyle w:val="17"/>
        <w:pageBreakBefore w:val="0"/>
        <w:numPr>
          <w:ilvl w:val="0"/>
          <w:numId w:val="19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每个机器人的工作周期时间，有模拟过程节拍记录。</w:t>
      </w:r>
    </w:p>
    <w:p w14:paraId="68CC5E24">
      <w:pPr>
        <w:pStyle w:val="17"/>
        <w:pageBreakBefore w:val="0"/>
        <w:numPr>
          <w:ilvl w:val="0"/>
          <w:numId w:val="171"/>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调试计划与调试报告</w:t>
      </w:r>
    </w:p>
    <w:p w14:paraId="366FAD4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bCs/>
          <w:szCs w:val="21"/>
        </w:rPr>
      </w:pPr>
      <w:r>
        <w:rPr>
          <w:rFonts w:hint="eastAsia" w:ascii="宋体" w:hAnsi="宋体" w:cs="宋体"/>
          <w:lang w:eastAsia="zh-CN"/>
        </w:rPr>
        <w:t>投标人</w:t>
      </w:r>
      <w:r>
        <w:rPr>
          <w:rFonts w:hint="eastAsia" w:ascii="宋体" w:hAnsi="宋体" w:eastAsia="宋体" w:cs="宋体"/>
        </w:rPr>
        <w:t>在进场前做好调试计划，并交给</w:t>
      </w:r>
      <w:r>
        <w:rPr>
          <w:rFonts w:hint="eastAsia" w:ascii="宋体" w:hAnsi="宋体" w:cs="宋体"/>
          <w:lang w:eastAsia="zh-CN"/>
        </w:rPr>
        <w:t>招标人</w:t>
      </w:r>
      <w:r>
        <w:rPr>
          <w:rFonts w:hint="eastAsia" w:ascii="宋体" w:hAnsi="宋体" w:eastAsia="宋体" w:cs="宋体"/>
        </w:rPr>
        <w:t>审核通过后，才可进场。调试过程中出现的问题以报告形式记录交给</w:t>
      </w:r>
      <w:r>
        <w:rPr>
          <w:rFonts w:hint="eastAsia" w:ascii="宋体" w:hAnsi="宋体" w:cs="宋体"/>
          <w:lang w:eastAsia="zh-CN"/>
        </w:rPr>
        <w:t>招标人</w:t>
      </w:r>
      <w:r>
        <w:rPr>
          <w:rFonts w:hint="eastAsia" w:ascii="宋体" w:hAnsi="宋体" w:eastAsia="宋体" w:cs="宋体"/>
        </w:rPr>
        <w:t>存档；项目</w:t>
      </w:r>
      <w:r>
        <w:rPr>
          <w:rFonts w:hint="eastAsia" w:ascii="宋体" w:hAnsi="宋体" w:cs="宋体"/>
          <w:lang w:eastAsia="zh-CN"/>
        </w:rPr>
        <w:t>调试验收</w:t>
      </w:r>
      <w:r>
        <w:rPr>
          <w:rFonts w:hint="eastAsia" w:ascii="宋体" w:hAnsi="宋体" w:eastAsia="宋体" w:cs="宋体"/>
        </w:rPr>
        <w:t>前提供完整的调试报告交给</w:t>
      </w:r>
      <w:r>
        <w:rPr>
          <w:rFonts w:hint="eastAsia" w:ascii="宋体" w:hAnsi="宋体" w:cs="宋体"/>
          <w:lang w:eastAsia="zh-CN"/>
        </w:rPr>
        <w:t>招标人</w:t>
      </w:r>
      <w:r>
        <w:rPr>
          <w:rFonts w:hint="eastAsia" w:ascii="宋体" w:hAnsi="宋体" w:eastAsia="宋体" w:cs="宋体"/>
        </w:rPr>
        <w:t>。</w:t>
      </w:r>
    </w:p>
    <w:p w14:paraId="4DE1F43E">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23" w:name="_Toc20179"/>
      <w:r>
        <w:rPr>
          <w:rFonts w:hint="eastAsia" w:ascii="宋体" w:hAnsi="宋体" w:eastAsia="宋体" w:cs="宋体"/>
          <w:b/>
          <w:bCs/>
          <w:sz w:val="24"/>
          <w:szCs w:val="24"/>
        </w:rPr>
        <w:t>质量要求</w:t>
      </w:r>
      <w:bookmarkEnd w:id="223"/>
    </w:p>
    <w:p w14:paraId="55C586ED">
      <w:pPr>
        <w:pStyle w:val="17"/>
        <w:pageBreakBefore w:val="0"/>
        <w:numPr>
          <w:ilvl w:val="0"/>
          <w:numId w:val="19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bookmarkStart w:id="224" w:name="_Toc408384352"/>
      <w:r>
        <w:rPr>
          <w:rFonts w:hint="eastAsia" w:ascii="宋体" w:hAnsi="宋体" w:eastAsia="宋体" w:cs="宋体"/>
        </w:rPr>
        <w:t>喷涂试验</w:t>
      </w:r>
      <w:bookmarkEnd w:id="224"/>
    </w:p>
    <w:p w14:paraId="1C2D4A22">
      <w:pPr>
        <w:pStyle w:val="17"/>
        <w:pageBreakBefore w:val="0"/>
        <w:numPr>
          <w:ilvl w:val="0"/>
          <w:numId w:val="194"/>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机器人站的功能总成测试需有</w:t>
      </w:r>
      <w:r>
        <w:rPr>
          <w:rFonts w:hint="eastAsia" w:ascii="宋体" w:hAnsi="宋体" w:cs="宋体"/>
          <w:lang w:eastAsia="zh-CN"/>
        </w:rPr>
        <w:t>招标人</w:t>
      </w:r>
      <w:r>
        <w:rPr>
          <w:rFonts w:hint="eastAsia" w:ascii="宋体" w:hAnsi="宋体" w:eastAsia="宋体" w:cs="宋体"/>
        </w:rPr>
        <w:t>参加。</w:t>
      </w:r>
    </w:p>
    <w:p w14:paraId="7A7798F5">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25" w:name="_Toc11369"/>
      <w:r>
        <w:rPr>
          <w:rFonts w:hint="eastAsia" w:ascii="宋体" w:hAnsi="宋体" w:eastAsia="宋体" w:cs="宋体"/>
          <w:b/>
          <w:bCs/>
          <w:sz w:val="24"/>
          <w:szCs w:val="24"/>
        </w:rPr>
        <w:t>设备安装</w:t>
      </w:r>
      <w:bookmarkEnd w:id="225"/>
    </w:p>
    <w:p w14:paraId="48075AF1">
      <w:pPr>
        <w:pStyle w:val="17"/>
        <w:pageBreakBefore w:val="0"/>
        <w:numPr>
          <w:ilvl w:val="0"/>
          <w:numId w:val="19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安装调试内容包括：</w:t>
      </w:r>
    </w:p>
    <w:p w14:paraId="71C02265">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w:t>
      </w:r>
    </w:p>
    <w:p w14:paraId="45B91116">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系统所有连接管线；</w:t>
      </w:r>
    </w:p>
    <w:p w14:paraId="1C5ED481">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系统电气线路；</w:t>
      </w:r>
    </w:p>
    <w:p w14:paraId="291C9425">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所有设备组件技术功能的空运行；</w:t>
      </w:r>
    </w:p>
    <w:p w14:paraId="1B33D5EA">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控制程序的运行；</w:t>
      </w:r>
    </w:p>
    <w:p w14:paraId="02CE2DB6">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系统设备联机运行，所有性能参数在设备技术要求范围内；</w:t>
      </w:r>
    </w:p>
    <w:p w14:paraId="7E9E0070">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工艺调试与系统负荷测试，涂层品质满足</w:t>
      </w:r>
      <w:r>
        <w:rPr>
          <w:rFonts w:hint="eastAsia" w:ascii="宋体" w:hAnsi="宋体" w:cs="宋体"/>
          <w:lang w:eastAsia="zh-CN"/>
        </w:rPr>
        <w:t>招标人</w:t>
      </w:r>
      <w:r>
        <w:rPr>
          <w:rFonts w:hint="eastAsia" w:ascii="宋体" w:hAnsi="宋体" w:eastAsia="宋体" w:cs="宋体"/>
        </w:rPr>
        <w:t>质量要求；</w:t>
      </w:r>
    </w:p>
    <w:p w14:paraId="0A2F4F71">
      <w:pPr>
        <w:pStyle w:val="17"/>
        <w:pageBreakBefore w:val="0"/>
        <w:numPr>
          <w:ilvl w:val="0"/>
          <w:numId w:val="196"/>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须负责按照</w:t>
      </w:r>
      <w:r>
        <w:rPr>
          <w:rFonts w:hint="eastAsia" w:ascii="宋体" w:hAnsi="宋体" w:cs="宋体"/>
          <w:lang w:eastAsia="zh-CN"/>
        </w:rPr>
        <w:t>招标人</w:t>
      </w:r>
      <w:r>
        <w:rPr>
          <w:rFonts w:hint="eastAsia" w:ascii="宋体" w:hAnsi="宋体" w:eastAsia="宋体" w:cs="宋体"/>
        </w:rPr>
        <w:t>工厂管理规定对设备颜色及标识进行施工制作。</w:t>
      </w:r>
    </w:p>
    <w:p w14:paraId="2A4E3617">
      <w:pPr>
        <w:pStyle w:val="522"/>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安装及调试工作分配表</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6425"/>
        <w:gridCol w:w="950"/>
        <w:gridCol w:w="933"/>
      </w:tblGrid>
      <w:tr w14:paraId="1F430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DE606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序号</w:t>
            </w:r>
          </w:p>
        </w:tc>
        <w:tc>
          <w:tcPr>
            <w:tcW w:w="6425" w:type="dxa"/>
            <w:vAlign w:val="center"/>
          </w:tcPr>
          <w:p w14:paraId="6FA15F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内    容</w:t>
            </w:r>
          </w:p>
        </w:tc>
        <w:tc>
          <w:tcPr>
            <w:tcW w:w="950" w:type="dxa"/>
            <w:vAlign w:val="center"/>
          </w:tcPr>
          <w:p w14:paraId="10DC223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lang w:eastAsia="zh-CN"/>
              </w:rPr>
            </w:pPr>
            <w:r>
              <w:rPr>
                <w:rFonts w:hint="eastAsia" w:ascii="宋体" w:hAnsi="宋体" w:cs="宋体"/>
                <w:sz w:val="24"/>
                <w:szCs w:val="24"/>
                <w:lang w:eastAsia="zh-CN"/>
              </w:rPr>
              <w:t>招标人</w:t>
            </w:r>
          </w:p>
        </w:tc>
        <w:tc>
          <w:tcPr>
            <w:tcW w:w="933" w:type="dxa"/>
            <w:vAlign w:val="center"/>
          </w:tcPr>
          <w:p w14:paraId="01D1928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lang w:eastAsia="zh-CN"/>
              </w:rPr>
            </w:pPr>
            <w:r>
              <w:rPr>
                <w:rFonts w:hint="eastAsia" w:ascii="宋体" w:hAnsi="宋体" w:cs="宋体"/>
                <w:sz w:val="24"/>
                <w:szCs w:val="24"/>
                <w:lang w:eastAsia="zh-CN"/>
              </w:rPr>
              <w:t>投标人</w:t>
            </w:r>
          </w:p>
        </w:tc>
      </w:tr>
      <w:tr w14:paraId="596E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D60BF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1</w:t>
            </w:r>
          </w:p>
        </w:tc>
        <w:tc>
          <w:tcPr>
            <w:tcW w:w="6425" w:type="dxa"/>
            <w:vAlign w:val="center"/>
          </w:tcPr>
          <w:p w14:paraId="3C8A49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安装调试工作</w:t>
            </w:r>
          </w:p>
        </w:tc>
        <w:tc>
          <w:tcPr>
            <w:tcW w:w="950" w:type="dxa"/>
            <w:vAlign w:val="center"/>
          </w:tcPr>
          <w:p w14:paraId="193268B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w:t>
            </w:r>
          </w:p>
        </w:tc>
        <w:tc>
          <w:tcPr>
            <w:tcW w:w="933" w:type="dxa"/>
            <w:vAlign w:val="center"/>
          </w:tcPr>
          <w:p w14:paraId="1AB163C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w:t>
            </w:r>
          </w:p>
        </w:tc>
      </w:tr>
      <w:tr w14:paraId="301B7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25B26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2</w:t>
            </w:r>
          </w:p>
        </w:tc>
        <w:tc>
          <w:tcPr>
            <w:tcW w:w="6425" w:type="dxa"/>
            <w:vAlign w:val="center"/>
          </w:tcPr>
          <w:p w14:paraId="1622BF5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安装所需通用工具、专用工具、检测工具</w:t>
            </w:r>
          </w:p>
        </w:tc>
        <w:tc>
          <w:tcPr>
            <w:tcW w:w="950" w:type="dxa"/>
            <w:vAlign w:val="center"/>
          </w:tcPr>
          <w:p w14:paraId="6449680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w:t>
            </w:r>
          </w:p>
        </w:tc>
        <w:tc>
          <w:tcPr>
            <w:tcW w:w="933" w:type="dxa"/>
            <w:vAlign w:val="center"/>
          </w:tcPr>
          <w:p w14:paraId="475D81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w:t>
            </w:r>
          </w:p>
        </w:tc>
      </w:tr>
      <w:tr w14:paraId="6162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E503B0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3</w:t>
            </w:r>
          </w:p>
        </w:tc>
        <w:tc>
          <w:tcPr>
            <w:tcW w:w="6425" w:type="dxa"/>
            <w:vAlign w:val="center"/>
          </w:tcPr>
          <w:p w14:paraId="0FE4A9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起重和吊装设备（含有各种吊具）</w:t>
            </w:r>
          </w:p>
        </w:tc>
        <w:tc>
          <w:tcPr>
            <w:tcW w:w="950" w:type="dxa"/>
            <w:vAlign w:val="center"/>
          </w:tcPr>
          <w:p w14:paraId="28C23E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w:t>
            </w:r>
          </w:p>
        </w:tc>
        <w:tc>
          <w:tcPr>
            <w:tcW w:w="933" w:type="dxa"/>
            <w:vAlign w:val="center"/>
          </w:tcPr>
          <w:p w14:paraId="730D8A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w:t>
            </w:r>
          </w:p>
        </w:tc>
      </w:tr>
      <w:tr w14:paraId="6672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467BD0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4</w:t>
            </w:r>
          </w:p>
        </w:tc>
        <w:tc>
          <w:tcPr>
            <w:tcW w:w="6425" w:type="dxa"/>
            <w:vAlign w:val="center"/>
          </w:tcPr>
          <w:p w14:paraId="3E4B35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安装废料的处理</w:t>
            </w:r>
          </w:p>
        </w:tc>
        <w:tc>
          <w:tcPr>
            <w:tcW w:w="950" w:type="dxa"/>
            <w:vAlign w:val="center"/>
          </w:tcPr>
          <w:p w14:paraId="6D78C33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w:t>
            </w:r>
          </w:p>
        </w:tc>
        <w:tc>
          <w:tcPr>
            <w:tcW w:w="933" w:type="dxa"/>
            <w:vAlign w:val="center"/>
          </w:tcPr>
          <w:p w14:paraId="4D37DAF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w:t>
            </w:r>
          </w:p>
        </w:tc>
      </w:tr>
      <w:tr w14:paraId="3D01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27883F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5</w:t>
            </w:r>
          </w:p>
        </w:tc>
        <w:tc>
          <w:tcPr>
            <w:tcW w:w="6425" w:type="dxa"/>
            <w:vAlign w:val="center"/>
          </w:tcPr>
          <w:p w14:paraId="488F2C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设备的二次涂漆</w:t>
            </w:r>
          </w:p>
        </w:tc>
        <w:tc>
          <w:tcPr>
            <w:tcW w:w="950" w:type="dxa"/>
            <w:vAlign w:val="center"/>
          </w:tcPr>
          <w:p w14:paraId="25990A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w:t>
            </w:r>
          </w:p>
        </w:tc>
        <w:tc>
          <w:tcPr>
            <w:tcW w:w="933" w:type="dxa"/>
            <w:vAlign w:val="center"/>
          </w:tcPr>
          <w:p w14:paraId="61FBA7F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w:t>
            </w:r>
          </w:p>
        </w:tc>
      </w:tr>
      <w:tr w14:paraId="6E236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020B717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6</w:t>
            </w:r>
          </w:p>
        </w:tc>
        <w:tc>
          <w:tcPr>
            <w:tcW w:w="6425" w:type="dxa"/>
            <w:vAlign w:val="center"/>
          </w:tcPr>
          <w:p w14:paraId="6D04BD7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调试用润滑油</w:t>
            </w:r>
          </w:p>
        </w:tc>
        <w:tc>
          <w:tcPr>
            <w:tcW w:w="950" w:type="dxa"/>
            <w:vAlign w:val="center"/>
          </w:tcPr>
          <w:p w14:paraId="2E307A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w:t>
            </w:r>
          </w:p>
        </w:tc>
        <w:tc>
          <w:tcPr>
            <w:tcW w:w="933" w:type="dxa"/>
            <w:vAlign w:val="center"/>
          </w:tcPr>
          <w:p w14:paraId="51169EA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sz w:val="24"/>
                <w:szCs w:val="24"/>
              </w:rPr>
              <w:t>√</w:t>
            </w:r>
          </w:p>
        </w:tc>
      </w:tr>
    </w:tbl>
    <w:p w14:paraId="0BC1A3A5">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szCs w:val="21"/>
        </w:rPr>
      </w:pPr>
    </w:p>
    <w:p w14:paraId="6E5664AD">
      <w:pPr>
        <w:pStyle w:val="17"/>
        <w:pageBreakBefore w:val="0"/>
        <w:numPr>
          <w:ilvl w:val="0"/>
          <w:numId w:val="19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制造安装要求，详见设备制造技术要求；</w:t>
      </w:r>
    </w:p>
    <w:p w14:paraId="647B5D5E">
      <w:pPr>
        <w:pStyle w:val="17"/>
        <w:pageBreakBefore w:val="0"/>
        <w:numPr>
          <w:ilvl w:val="0"/>
          <w:numId w:val="19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安装调试要求，详见安装调试技术要求；在外部条件具备的前提下，系统的单机调试由</w:t>
      </w:r>
      <w:r>
        <w:rPr>
          <w:rFonts w:hint="eastAsia" w:ascii="宋体" w:hAnsi="宋体" w:cs="宋体"/>
          <w:lang w:eastAsia="zh-CN"/>
        </w:rPr>
        <w:t>投标人</w:t>
      </w:r>
      <w:r>
        <w:rPr>
          <w:rFonts w:hint="eastAsia" w:ascii="宋体" w:hAnsi="宋体" w:eastAsia="宋体" w:cs="宋体"/>
        </w:rPr>
        <w:t>负责，联机和工艺调试由</w:t>
      </w:r>
      <w:r>
        <w:rPr>
          <w:rFonts w:hint="eastAsia" w:ascii="宋体" w:hAnsi="宋体" w:cs="宋体"/>
          <w:lang w:eastAsia="zh-CN"/>
        </w:rPr>
        <w:t>招标人</w:t>
      </w:r>
      <w:r>
        <w:rPr>
          <w:rFonts w:hint="eastAsia" w:ascii="宋体" w:hAnsi="宋体" w:eastAsia="宋体" w:cs="宋体"/>
        </w:rPr>
        <w:t>和</w:t>
      </w:r>
      <w:r>
        <w:rPr>
          <w:rFonts w:hint="eastAsia" w:ascii="宋体" w:hAnsi="宋体" w:cs="宋体"/>
          <w:lang w:eastAsia="zh-CN"/>
        </w:rPr>
        <w:t>投标人</w:t>
      </w:r>
      <w:r>
        <w:rPr>
          <w:rFonts w:hint="eastAsia" w:ascii="宋体" w:hAnsi="宋体" w:eastAsia="宋体" w:cs="宋体"/>
        </w:rPr>
        <w:t>共同进行。</w:t>
      </w:r>
    </w:p>
    <w:p w14:paraId="2CFC0CE0">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其他要求</w:t>
      </w:r>
    </w:p>
    <w:p w14:paraId="6D880596">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提供机器人供应商与</w:t>
      </w:r>
      <w:r>
        <w:rPr>
          <w:rFonts w:hint="eastAsia" w:ascii="宋体" w:hAnsi="宋体" w:cs="宋体"/>
          <w:lang w:eastAsia="zh-CN"/>
        </w:rPr>
        <w:t>招标人</w:t>
      </w:r>
      <w:r>
        <w:rPr>
          <w:rFonts w:hint="eastAsia" w:ascii="宋体" w:hAnsi="宋体" w:eastAsia="宋体" w:cs="宋体"/>
        </w:rPr>
        <w:t>的接口清单。</w:t>
      </w:r>
    </w:p>
    <w:p w14:paraId="2C7EA6D3">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提供机器人培训清单。</w:t>
      </w:r>
    </w:p>
    <w:p w14:paraId="1C45FA9F">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机器人验收清单。</w:t>
      </w:r>
    </w:p>
    <w:p w14:paraId="1D5E09C1">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机器人调试报告。</w:t>
      </w:r>
    </w:p>
    <w:p w14:paraId="59619B9D">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机器人控制柜功能要求。</w:t>
      </w:r>
    </w:p>
    <w:p w14:paraId="1A866B16">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机器人项目进度表。</w:t>
      </w:r>
    </w:p>
    <w:p w14:paraId="70728F06">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机器人信号调试接。</w:t>
      </w:r>
    </w:p>
    <w:p w14:paraId="1BC39C51">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布局图、动力及电缆桥架布局图。</w:t>
      </w:r>
    </w:p>
    <w:p w14:paraId="3C52ADC7">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负责提供设备技术要求、清单及其附件，</w:t>
      </w:r>
      <w:r>
        <w:rPr>
          <w:rFonts w:hint="eastAsia" w:ascii="宋体" w:hAnsi="宋体" w:cs="宋体"/>
          <w:lang w:eastAsia="zh-CN"/>
        </w:rPr>
        <w:t>投标人</w:t>
      </w:r>
      <w:r>
        <w:rPr>
          <w:rFonts w:hint="eastAsia" w:ascii="宋体" w:hAnsi="宋体" w:eastAsia="宋体" w:cs="宋体"/>
        </w:rPr>
        <w:t>必须对设备技术要求、清单及其附件的技术准确性负责。</w:t>
      </w:r>
    </w:p>
    <w:p w14:paraId="26622D2A">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负责对设备承包单位现场施工临时用电、用气量设计并提供</w:t>
      </w:r>
      <w:r>
        <w:rPr>
          <w:rFonts w:hint="eastAsia" w:ascii="宋体" w:hAnsi="宋体" w:cs="宋体"/>
          <w:lang w:eastAsia="zh-CN"/>
        </w:rPr>
        <w:t>招标人</w:t>
      </w:r>
      <w:r>
        <w:rPr>
          <w:rFonts w:hint="eastAsia" w:ascii="宋体" w:hAnsi="宋体" w:eastAsia="宋体" w:cs="宋体"/>
        </w:rPr>
        <w:t>，保证提供用量的准确性。</w:t>
      </w:r>
    </w:p>
    <w:p w14:paraId="6D3B00BA">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要求承包商关注软管接头的设计，我们提醒承包商，即使是一个螺栓设计引起的油漆泄漏，承包商都必须承担相关责任。</w:t>
      </w:r>
    </w:p>
    <w:p w14:paraId="5F4C2AF9">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避免火灾造成的设备损失和人身伤害。</w:t>
      </w:r>
    </w:p>
    <w:p w14:paraId="7AFFEDAD">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在测试期间, 油漆管路应使用溶剂，在正常压力的1.5倍下进行测试，以保证管路及接头的密封性。</w:t>
      </w:r>
    </w:p>
    <w:p w14:paraId="13244EA4">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制造商提供的设备维护保养合同应包含全年 365 天 24 小时的电话支持援助。</w:t>
      </w:r>
    </w:p>
    <w:p w14:paraId="3D78D9BE">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移交的文档中必需包含紧急备件清单。</w:t>
      </w:r>
    </w:p>
    <w:p w14:paraId="66C50A19">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对于能确保设备良好运行的每一个元件，供应商都应提供备件清单（包括品牌、型号、数量、价格、本地供应商地址、进口件标示、供货期等）。</w:t>
      </w:r>
    </w:p>
    <w:p w14:paraId="157F83B0">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文档中必需包含维护保养计划。该计划应可能详尽，且必需包含每一个元件的拆卸/重装时间。</w:t>
      </w:r>
    </w:p>
    <w:p w14:paraId="331649BB">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供应商在设计过程中选择备件时，必需考虑现场或</w:t>
      </w:r>
      <w:r>
        <w:rPr>
          <w:rFonts w:hint="eastAsia" w:ascii="宋体" w:hAnsi="宋体" w:cs="宋体"/>
          <w:lang w:eastAsia="zh-CN"/>
        </w:rPr>
        <w:t>招标人</w:t>
      </w:r>
      <w:r>
        <w:rPr>
          <w:rFonts w:hint="eastAsia" w:ascii="宋体" w:hAnsi="宋体" w:eastAsia="宋体" w:cs="宋体"/>
        </w:rPr>
        <w:t>其它工厂已有的备件。在项目开始阶段需确定备件选择的大方针。</w:t>
      </w:r>
    </w:p>
    <w:p w14:paraId="6E22C520">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供应商需在备件清单里提供机器人整体检修的报价。</w:t>
      </w:r>
    </w:p>
    <w:p w14:paraId="4861513A">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供应商设备维护保养所需的特殊工具要求在涂装线启动前运达</w:t>
      </w:r>
      <w:r>
        <w:rPr>
          <w:rFonts w:hint="eastAsia" w:ascii="宋体" w:hAnsi="宋体" w:cs="宋体"/>
          <w:lang w:eastAsia="zh-CN"/>
        </w:rPr>
        <w:t>招标人</w:t>
      </w:r>
      <w:r>
        <w:rPr>
          <w:rFonts w:hint="eastAsia" w:ascii="宋体" w:hAnsi="宋体" w:eastAsia="宋体" w:cs="宋体"/>
        </w:rPr>
        <w:t>现场。</w:t>
      </w:r>
    </w:p>
    <w:p w14:paraId="1738E663">
      <w:pPr>
        <w:pStyle w:val="17"/>
        <w:pageBreakBefore w:val="0"/>
        <w:numPr>
          <w:ilvl w:val="0"/>
          <w:numId w:val="19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调试计划与调试报告</w:t>
      </w:r>
    </w:p>
    <w:p w14:paraId="5584648A">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在进场前做好调试计划，并交给</w:t>
      </w:r>
      <w:r>
        <w:rPr>
          <w:rFonts w:hint="eastAsia" w:ascii="宋体" w:hAnsi="宋体" w:cs="宋体"/>
          <w:lang w:eastAsia="zh-CN"/>
        </w:rPr>
        <w:t>招标人</w:t>
      </w:r>
      <w:r>
        <w:rPr>
          <w:rFonts w:hint="eastAsia" w:ascii="宋体" w:hAnsi="宋体" w:eastAsia="宋体" w:cs="宋体"/>
        </w:rPr>
        <w:t>审核通过后，才可进场。</w:t>
      </w:r>
    </w:p>
    <w:p w14:paraId="1740ABA0">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调试过程中出现的问题以报告形式记录交给</w:t>
      </w:r>
      <w:r>
        <w:rPr>
          <w:rFonts w:hint="eastAsia" w:ascii="宋体" w:hAnsi="宋体" w:cs="宋体"/>
          <w:lang w:eastAsia="zh-CN"/>
        </w:rPr>
        <w:t>招标人</w:t>
      </w:r>
      <w:r>
        <w:rPr>
          <w:rFonts w:hint="eastAsia" w:ascii="宋体" w:hAnsi="宋体" w:eastAsia="宋体" w:cs="宋体"/>
        </w:rPr>
        <w:t>存档；项目</w:t>
      </w:r>
      <w:r>
        <w:rPr>
          <w:rFonts w:hint="eastAsia" w:ascii="宋体" w:hAnsi="宋体" w:cs="宋体"/>
          <w:lang w:eastAsia="zh-CN"/>
        </w:rPr>
        <w:t>调试验收</w:t>
      </w:r>
      <w:r>
        <w:rPr>
          <w:rFonts w:hint="eastAsia" w:ascii="宋体" w:hAnsi="宋体" w:eastAsia="宋体" w:cs="宋体"/>
        </w:rPr>
        <w:t>前提供完整的调试报告交给</w:t>
      </w:r>
      <w:r>
        <w:rPr>
          <w:rFonts w:hint="eastAsia" w:ascii="宋体" w:hAnsi="宋体" w:cs="宋体"/>
          <w:lang w:eastAsia="zh-CN"/>
        </w:rPr>
        <w:t>招标人</w:t>
      </w:r>
      <w:r>
        <w:rPr>
          <w:rFonts w:hint="eastAsia" w:ascii="宋体" w:hAnsi="宋体" w:eastAsia="宋体" w:cs="宋体"/>
        </w:rPr>
        <w:t>。</w:t>
      </w:r>
    </w:p>
    <w:p w14:paraId="62774E88">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26" w:name="_Toc23775"/>
      <w:r>
        <w:rPr>
          <w:rFonts w:hint="eastAsia" w:ascii="宋体" w:hAnsi="宋体" w:eastAsia="宋体" w:cs="宋体"/>
          <w:b/>
          <w:bCs/>
          <w:sz w:val="24"/>
          <w:szCs w:val="24"/>
        </w:rPr>
        <w:t>培训</w:t>
      </w:r>
      <w:bookmarkEnd w:id="226"/>
    </w:p>
    <w:p w14:paraId="7F693FF9">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在培训开始2周前，提供所有培训课程教材和培训计划，其他培训都在</w:t>
      </w:r>
      <w:r>
        <w:rPr>
          <w:rFonts w:hint="eastAsia" w:ascii="宋体" w:hAnsi="宋体" w:cs="宋体"/>
          <w:lang w:eastAsia="zh-CN"/>
        </w:rPr>
        <w:t>招标人</w:t>
      </w:r>
      <w:r>
        <w:rPr>
          <w:rFonts w:hint="eastAsia" w:ascii="宋体" w:hAnsi="宋体" w:eastAsia="宋体" w:cs="宋体"/>
        </w:rPr>
        <w:t>车间现场及培训教室。培训效果要求实际操作和理论试卷确认，双方共同讨论测试课题，</w:t>
      </w:r>
      <w:r>
        <w:rPr>
          <w:rFonts w:hint="eastAsia" w:ascii="宋体" w:hAnsi="宋体" w:cs="宋体"/>
          <w:lang w:eastAsia="zh-CN"/>
        </w:rPr>
        <w:t>招标人</w:t>
      </w:r>
      <w:r>
        <w:rPr>
          <w:rFonts w:hint="eastAsia" w:ascii="宋体" w:hAnsi="宋体" w:eastAsia="宋体" w:cs="宋体"/>
        </w:rPr>
        <w:t>员工需达到独立操作、维护、保养设备，机械部件更换，PLC 编程组态及排除故障等。</w:t>
      </w:r>
    </w:p>
    <w:p w14:paraId="49154AC8">
      <w:pPr>
        <w:pStyle w:val="3"/>
        <w:pageBreakBefore w:val="0"/>
        <w:numPr>
          <w:ilvl w:val="0"/>
          <w:numId w:val="199"/>
        </w:numPr>
        <w:tabs>
          <w:tab w:val="left" w:pos="0"/>
        </w:tabs>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具体的培训清单如下：</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51"/>
        <w:gridCol w:w="1050"/>
        <w:gridCol w:w="3271"/>
        <w:gridCol w:w="13"/>
        <w:gridCol w:w="779"/>
        <w:gridCol w:w="6"/>
        <w:gridCol w:w="1706"/>
        <w:gridCol w:w="1967"/>
        <w:gridCol w:w="11"/>
      </w:tblGrid>
      <w:tr w14:paraId="7B4C4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trHeight w:val="390" w:hRule="atLeast"/>
          <w:jc w:val="center"/>
        </w:trPr>
        <w:tc>
          <w:tcPr>
            <w:tcW w:w="344" w:type="pct"/>
            <w:shd w:val="clear" w:color="auto" w:fill="auto"/>
            <w:tcMar>
              <w:top w:w="15" w:type="dxa"/>
              <w:left w:w="15" w:type="dxa"/>
              <w:bottom w:w="0" w:type="dxa"/>
              <w:right w:w="15" w:type="dxa"/>
            </w:tcMar>
            <w:vAlign w:val="center"/>
          </w:tcPr>
          <w:p w14:paraId="5D280D5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序号</w:t>
            </w:r>
          </w:p>
        </w:tc>
        <w:tc>
          <w:tcPr>
            <w:tcW w:w="555" w:type="pct"/>
            <w:shd w:val="clear" w:color="auto" w:fill="auto"/>
            <w:tcMar>
              <w:top w:w="15" w:type="dxa"/>
              <w:left w:w="15" w:type="dxa"/>
              <w:bottom w:w="0" w:type="dxa"/>
              <w:right w:w="15" w:type="dxa"/>
            </w:tcMar>
            <w:vAlign w:val="center"/>
          </w:tcPr>
          <w:p w14:paraId="76679A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培训项目</w:t>
            </w:r>
          </w:p>
        </w:tc>
        <w:tc>
          <w:tcPr>
            <w:tcW w:w="1736" w:type="pct"/>
            <w:gridSpan w:val="2"/>
            <w:shd w:val="clear" w:color="auto" w:fill="auto"/>
            <w:tcMar>
              <w:top w:w="15" w:type="dxa"/>
              <w:left w:w="15" w:type="dxa"/>
              <w:bottom w:w="0" w:type="dxa"/>
              <w:right w:w="15" w:type="dxa"/>
            </w:tcMar>
            <w:vAlign w:val="center"/>
          </w:tcPr>
          <w:p w14:paraId="56686F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培训内容</w:t>
            </w:r>
          </w:p>
        </w:tc>
        <w:tc>
          <w:tcPr>
            <w:tcW w:w="412" w:type="pct"/>
            <w:shd w:val="clear" w:color="auto" w:fill="auto"/>
            <w:tcMar>
              <w:top w:w="15" w:type="dxa"/>
              <w:left w:w="15" w:type="dxa"/>
              <w:bottom w:w="0" w:type="dxa"/>
              <w:right w:w="15" w:type="dxa"/>
            </w:tcMar>
            <w:vAlign w:val="center"/>
          </w:tcPr>
          <w:p w14:paraId="273CB6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课时</w:t>
            </w:r>
          </w:p>
        </w:tc>
        <w:tc>
          <w:tcPr>
            <w:tcW w:w="905" w:type="pct"/>
            <w:gridSpan w:val="2"/>
            <w:shd w:val="clear" w:color="auto" w:fill="auto"/>
            <w:tcMar>
              <w:top w:w="15" w:type="dxa"/>
              <w:left w:w="15" w:type="dxa"/>
              <w:bottom w:w="0" w:type="dxa"/>
              <w:right w:w="15" w:type="dxa"/>
            </w:tcMar>
            <w:vAlign w:val="center"/>
          </w:tcPr>
          <w:p w14:paraId="7C1FD5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培训时间</w:t>
            </w:r>
          </w:p>
        </w:tc>
        <w:tc>
          <w:tcPr>
            <w:tcW w:w="1040" w:type="pct"/>
            <w:shd w:val="clear" w:color="auto" w:fill="auto"/>
            <w:vAlign w:val="center"/>
          </w:tcPr>
          <w:p w14:paraId="3EA637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培训对象</w:t>
            </w:r>
          </w:p>
        </w:tc>
      </w:tr>
      <w:tr w14:paraId="078C3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trHeight w:val="915" w:hRule="atLeast"/>
          <w:jc w:val="center"/>
        </w:trPr>
        <w:tc>
          <w:tcPr>
            <w:tcW w:w="344" w:type="pct"/>
            <w:shd w:val="clear" w:color="auto" w:fill="auto"/>
            <w:tcMar>
              <w:top w:w="15" w:type="dxa"/>
              <w:left w:w="15" w:type="dxa"/>
              <w:bottom w:w="0" w:type="dxa"/>
              <w:right w:w="15" w:type="dxa"/>
            </w:tcMar>
            <w:vAlign w:val="center"/>
          </w:tcPr>
          <w:p w14:paraId="03A43E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555" w:type="pct"/>
            <w:shd w:val="clear" w:color="auto" w:fill="auto"/>
            <w:tcMar>
              <w:top w:w="15" w:type="dxa"/>
              <w:left w:w="15" w:type="dxa"/>
              <w:bottom w:w="0" w:type="dxa"/>
              <w:right w:w="15" w:type="dxa"/>
            </w:tcMar>
            <w:vAlign w:val="center"/>
          </w:tcPr>
          <w:p w14:paraId="2842AF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设备使用说明书</w:t>
            </w:r>
          </w:p>
        </w:tc>
        <w:tc>
          <w:tcPr>
            <w:tcW w:w="1736" w:type="pct"/>
            <w:gridSpan w:val="2"/>
            <w:shd w:val="clear" w:color="auto" w:fill="auto"/>
            <w:tcMar>
              <w:top w:w="15" w:type="dxa"/>
              <w:left w:w="15" w:type="dxa"/>
              <w:bottom w:w="0" w:type="dxa"/>
              <w:right w:w="15" w:type="dxa"/>
            </w:tcMar>
            <w:vAlign w:val="center"/>
          </w:tcPr>
          <w:p w14:paraId="1AA3F92B">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设备安全操作、点检、保养、润滑、一般故障处理等</w:t>
            </w:r>
          </w:p>
        </w:tc>
        <w:tc>
          <w:tcPr>
            <w:tcW w:w="412" w:type="pct"/>
            <w:shd w:val="clear" w:color="auto" w:fill="auto"/>
            <w:tcMar>
              <w:top w:w="15" w:type="dxa"/>
              <w:left w:w="15" w:type="dxa"/>
              <w:bottom w:w="0" w:type="dxa"/>
              <w:right w:w="15" w:type="dxa"/>
            </w:tcMar>
            <w:vAlign w:val="center"/>
          </w:tcPr>
          <w:p w14:paraId="7221BA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shd w:val="clear" w:color="auto" w:fill="auto"/>
            <w:tcMar>
              <w:top w:w="15" w:type="dxa"/>
              <w:left w:w="15" w:type="dxa"/>
              <w:bottom w:w="0" w:type="dxa"/>
              <w:right w:w="15" w:type="dxa"/>
            </w:tcMar>
            <w:vAlign w:val="center"/>
          </w:tcPr>
          <w:p w14:paraId="12F917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设备安装调试结束后2个月之内</w:t>
            </w:r>
          </w:p>
        </w:tc>
        <w:tc>
          <w:tcPr>
            <w:tcW w:w="1040" w:type="pct"/>
            <w:shd w:val="clear" w:color="auto" w:fill="auto"/>
            <w:vAlign w:val="center"/>
          </w:tcPr>
          <w:p w14:paraId="4B168F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操作工、维修工、技师、设备工程师</w:t>
            </w:r>
          </w:p>
        </w:tc>
      </w:tr>
      <w:tr w14:paraId="7FEBF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6" w:type="pct"/>
          <w:trHeight w:val="1099" w:hRule="atLeast"/>
          <w:jc w:val="center"/>
        </w:trPr>
        <w:tc>
          <w:tcPr>
            <w:tcW w:w="344" w:type="pct"/>
            <w:shd w:val="clear" w:color="auto" w:fill="auto"/>
            <w:tcMar>
              <w:top w:w="15" w:type="dxa"/>
              <w:left w:w="15" w:type="dxa"/>
              <w:bottom w:w="0" w:type="dxa"/>
              <w:right w:w="15" w:type="dxa"/>
            </w:tcMar>
            <w:vAlign w:val="center"/>
          </w:tcPr>
          <w:p w14:paraId="6284F1B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555" w:type="pct"/>
            <w:shd w:val="clear" w:color="auto" w:fill="auto"/>
            <w:tcMar>
              <w:top w:w="15" w:type="dxa"/>
              <w:left w:w="15" w:type="dxa"/>
              <w:bottom w:w="0" w:type="dxa"/>
              <w:right w:w="15" w:type="dxa"/>
            </w:tcMar>
            <w:vAlign w:val="center"/>
          </w:tcPr>
          <w:p w14:paraId="03758F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电气培训</w:t>
            </w:r>
          </w:p>
        </w:tc>
        <w:tc>
          <w:tcPr>
            <w:tcW w:w="1736" w:type="pct"/>
            <w:gridSpan w:val="2"/>
            <w:shd w:val="clear" w:color="auto" w:fill="auto"/>
            <w:tcMar>
              <w:top w:w="15" w:type="dxa"/>
              <w:left w:w="15" w:type="dxa"/>
              <w:bottom w:w="0" w:type="dxa"/>
              <w:right w:w="15" w:type="dxa"/>
            </w:tcMar>
            <w:vAlign w:val="center"/>
          </w:tcPr>
          <w:p w14:paraId="555ADADD">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1.PLC基础知识；</w:t>
            </w:r>
          </w:p>
          <w:p w14:paraId="5326C8A8">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2.编程软件使用，硬件组态；</w:t>
            </w:r>
          </w:p>
          <w:p w14:paraId="2D8657DE">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3.程序修改及编程，常用指令使用。</w:t>
            </w:r>
          </w:p>
        </w:tc>
        <w:tc>
          <w:tcPr>
            <w:tcW w:w="412" w:type="pct"/>
            <w:shd w:val="clear" w:color="auto" w:fill="auto"/>
            <w:tcMar>
              <w:top w:w="15" w:type="dxa"/>
              <w:left w:w="15" w:type="dxa"/>
              <w:bottom w:w="0" w:type="dxa"/>
              <w:right w:w="15" w:type="dxa"/>
            </w:tcMar>
            <w:vAlign w:val="center"/>
          </w:tcPr>
          <w:p w14:paraId="47CC136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40小时</w:t>
            </w:r>
          </w:p>
        </w:tc>
        <w:tc>
          <w:tcPr>
            <w:tcW w:w="905" w:type="pct"/>
            <w:gridSpan w:val="2"/>
            <w:shd w:val="clear" w:color="auto" w:fill="auto"/>
            <w:tcMar>
              <w:top w:w="15" w:type="dxa"/>
              <w:left w:w="15" w:type="dxa"/>
              <w:bottom w:w="0" w:type="dxa"/>
              <w:right w:w="15" w:type="dxa"/>
            </w:tcMar>
            <w:vAlign w:val="center"/>
          </w:tcPr>
          <w:p w14:paraId="4EDAB1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设备进厂期间</w:t>
            </w:r>
          </w:p>
        </w:tc>
        <w:tc>
          <w:tcPr>
            <w:tcW w:w="1040" w:type="pct"/>
            <w:vMerge w:val="restart"/>
            <w:shd w:val="clear" w:color="auto" w:fill="auto"/>
            <w:vAlign w:val="center"/>
          </w:tcPr>
          <w:p w14:paraId="158FD1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维修技师、设备工程师</w:t>
            </w:r>
          </w:p>
        </w:tc>
      </w:tr>
      <w:tr w14:paraId="63F2F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6" w:type="pct"/>
          <w:cantSplit/>
          <w:trHeight w:val="1442" w:hRule="atLeast"/>
          <w:jc w:val="center"/>
        </w:trPr>
        <w:tc>
          <w:tcPr>
            <w:tcW w:w="344" w:type="pct"/>
            <w:shd w:val="clear" w:color="auto" w:fill="auto"/>
            <w:tcMar>
              <w:top w:w="15" w:type="dxa"/>
              <w:left w:w="15" w:type="dxa"/>
              <w:bottom w:w="0" w:type="dxa"/>
              <w:right w:w="15" w:type="dxa"/>
            </w:tcMar>
            <w:vAlign w:val="center"/>
          </w:tcPr>
          <w:p w14:paraId="655505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555" w:type="pct"/>
            <w:vMerge w:val="restart"/>
            <w:shd w:val="clear" w:color="auto" w:fill="auto"/>
            <w:tcMar>
              <w:top w:w="15" w:type="dxa"/>
              <w:left w:w="15" w:type="dxa"/>
              <w:bottom w:w="0" w:type="dxa"/>
              <w:right w:w="15" w:type="dxa"/>
            </w:tcMar>
            <w:vAlign w:val="center"/>
          </w:tcPr>
          <w:p w14:paraId="7BA998D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电气现场培训</w:t>
            </w:r>
          </w:p>
        </w:tc>
        <w:tc>
          <w:tcPr>
            <w:tcW w:w="1736" w:type="pct"/>
            <w:gridSpan w:val="2"/>
            <w:shd w:val="clear" w:color="auto" w:fill="auto"/>
            <w:tcMar>
              <w:top w:w="15" w:type="dxa"/>
              <w:left w:w="15" w:type="dxa"/>
              <w:bottom w:w="0" w:type="dxa"/>
              <w:right w:w="15" w:type="dxa"/>
            </w:tcMar>
            <w:vAlign w:val="center"/>
          </w:tcPr>
          <w:p w14:paraId="741F698B">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1.PLC程序上传下载步骤；</w:t>
            </w:r>
          </w:p>
          <w:p w14:paraId="664D54DE">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2.各区域程序结构、控制逻辑；</w:t>
            </w:r>
          </w:p>
          <w:p w14:paraId="76C71C72">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3.网络故障查找步骤方法；</w:t>
            </w:r>
          </w:p>
          <w:p w14:paraId="7C1DD53E">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4.日常使用注意事项。</w:t>
            </w:r>
          </w:p>
        </w:tc>
        <w:tc>
          <w:tcPr>
            <w:tcW w:w="412" w:type="pct"/>
            <w:shd w:val="clear" w:color="auto" w:fill="auto"/>
            <w:tcMar>
              <w:top w:w="15" w:type="dxa"/>
              <w:left w:w="15" w:type="dxa"/>
              <w:bottom w:w="0" w:type="dxa"/>
              <w:right w:w="15" w:type="dxa"/>
            </w:tcMar>
            <w:vAlign w:val="center"/>
          </w:tcPr>
          <w:p w14:paraId="1EA29A8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40小时</w:t>
            </w:r>
          </w:p>
        </w:tc>
        <w:tc>
          <w:tcPr>
            <w:tcW w:w="905" w:type="pct"/>
            <w:gridSpan w:val="2"/>
            <w:shd w:val="clear" w:color="auto" w:fill="auto"/>
            <w:tcMar>
              <w:top w:w="15" w:type="dxa"/>
              <w:left w:w="15" w:type="dxa"/>
              <w:bottom w:w="0" w:type="dxa"/>
              <w:right w:w="15" w:type="dxa"/>
            </w:tcMar>
            <w:vAlign w:val="center"/>
          </w:tcPr>
          <w:p w14:paraId="7950D34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w:t>
            </w:r>
            <w:r>
              <w:rPr>
                <w:rFonts w:hint="eastAsia" w:ascii="宋体" w:hAnsi="宋体" w:cs="宋体"/>
                <w:sz w:val="24"/>
                <w:lang w:eastAsia="zh-CN"/>
              </w:rPr>
              <w:t>调试验收</w:t>
            </w:r>
            <w:r>
              <w:rPr>
                <w:rFonts w:hint="eastAsia" w:ascii="宋体" w:hAnsi="宋体" w:eastAsia="宋体" w:cs="宋体"/>
                <w:sz w:val="24"/>
              </w:rPr>
              <w:t>前</w:t>
            </w:r>
          </w:p>
        </w:tc>
        <w:tc>
          <w:tcPr>
            <w:tcW w:w="1040" w:type="pct"/>
            <w:vMerge w:val="continue"/>
            <w:shd w:val="clear" w:color="auto" w:fill="auto"/>
            <w:vAlign w:val="center"/>
          </w:tcPr>
          <w:p w14:paraId="48A0F0B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4BE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cantSplit/>
          <w:trHeight w:val="359" w:hRule="atLeast"/>
          <w:jc w:val="center"/>
        </w:trPr>
        <w:tc>
          <w:tcPr>
            <w:tcW w:w="344" w:type="pct"/>
            <w:shd w:val="clear" w:color="auto" w:fill="auto"/>
            <w:tcMar>
              <w:top w:w="15" w:type="dxa"/>
              <w:left w:w="15" w:type="dxa"/>
              <w:bottom w:w="0" w:type="dxa"/>
              <w:right w:w="15" w:type="dxa"/>
            </w:tcMar>
            <w:vAlign w:val="center"/>
          </w:tcPr>
          <w:p w14:paraId="7059EB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555" w:type="pct"/>
            <w:vMerge w:val="continue"/>
            <w:shd w:val="clear" w:color="auto" w:fill="auto"/>
            <w:tcMar>
              <w:top w:w="15" w:type="dxa"/>
              <w:left w:w="15" w:type="dxa"/>
              <w:bottom w:w="0" w:type="dxa"/>
              <w:right w:w="15" w:type="dxa"/>
            </w:tcMar>
            <w:vAlign w:val="center"/>
          </w:tcPr>
          <w:p w14:paraId="6E9260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5FB757CA">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现场电气原理图、接线图。</w:t>
            </w:r>
          </w:p>
        </w:tc>
        <w:tc>
          <w:tcPr>
            <w:tcW w:w="412" w:type="pct"/>
            <w:shd w:val="clear" w:color="auto" w:fill="auto"/>
            <w:tcMar>
              <w:top w:w="15" w:type="dxa"/>
              <w:left w:w="15" w:type="dxa"/>
              <w:bottom w:w="0" w:type="dxa"/>
              <w:right w:w="15" w:type="dxa"/>
            </w:tcMar>
            <w:vAlign w:val="center"/>
          </w:tcPr>
          <w:p w14:paraId="312486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vMerge w:val="restart"/>
            <w:shd w:val="clear" w:color="auto" w:fill="auto"/>
            <w:tcMar>
              <w:top w:w="15" w:type="dxa"/>
              <w:left w:w="15" w:type="dxa"/>
              <w:bottom w:w="0" w:type="dxa"/>
              <w:right w:w="15" w:type="dxa"/>
            </w:tcMar>
            <w:vAlign w:val="center"/>
          </w:tcPr>
          <w:p w14:paraId="17F5872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设备安装调试结束后2个月之内</w:t>
            </w:r>
          </w:p>
        </w:tc>
        <w:tc>
          <w:tcPr>
            <w:tcW w:w="1040" w:type="pct"/>
            <w:vMerge w:val="continue"/>
            <w:shd w:val="clear" w:color="auto" w:fill="auto"/>
            <w:vAlign w:val="center"/>
          </w:tcPr>
          <w:p w14:paraId="5F0BF86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204D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cantSplit/>
          <w:trHeight w:val="1160" w:hRule="atLeast"/>
          <w:jc w:val="center"/>
        </w:trPr>
        <w:tc>
          <w:tcPr>
            <w:tcW w:w="344" w:type="pct"/>
            <w:shd w:val="clear" w:color="auto" w:fill="auto"/>
            <w:tcMar>
              <w:top w:w="15" w:type="dxa"/>
              <w:left w:w="15" w:type="dxa"/>
              <w:bottom w:w="0" w:type="dxa"/>
              <w:right w:w="15" w:type="dxa"/>
            </w:tcMar>
            <w:vAlign w:val="center"/>
          </w:tcPr>
          <w:p w14:paraId="5DE14EF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555" w:type="pct"/>
            <w:vMerge w:val="continue"/>
            <w:shd w:val="clear" w:color="auto" w:fill="auto"/>
            <w:tcMar>
              <w:top w:w="15" w:type="dxa"/>
              <w:left w:w="15" w:type="dxa"/>
              <w:bottom w:w="0" w:type="dxa"/>
              <w:right w:w="15" w:type="dxa"/>
            </w:tcMar>
            <w:vAlign w:val="center"/>
          </w:tcPr>
          <w:p w14:paraId="3DAABE3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7DB229DB">
            <w:pPr>
              <w:pageBreakBefore w:val="0"/>
              <w:kinsoku/>
              <w:wordWrap/>
              <w:topLinePunct w:val="0"/>
              <w:autoSpaceDE w:val="0"/>
              <w:autoSpaceDN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1.伺服调速参数设定；</w:t>
            </w:r>
          </w:p>
          <w:p w14:paraId="7F6AECF7">
            <w:pPr>
              <w:pageBreakBefore w:val="0"/>
              <w:kinsoku/>
              <w:wordWrap/>
              <w:topLinePunct w:val="0"/>
              <w:autoSpaceDE w:val="0"/>
              <w:autoSpaceDN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2.伺服电机、伺服控制器器日常保养；</w:t>
            </w:r>
          </w:p>
          <w:p w14:paraId="1C857510">
            <w:pPr>
              <w:pageBreakBefore w:val="0"/>
              <w:kinsoku/>
              <w:wordWrap/>
              <w:topLinePunct w:val="0"/>
              <w:autoSpaceDE w:val="0"/>
              <w:autoSpaceDN w:val="0"/>
              <w:bidi w:val="0"/>
              <w:adjustRightInd w:val="0"/>
              <w:snapToGrid w:val="0"/>
              <w:spacing w:afterAutospacing="0" w:line="240" w:lineRule="auto"/>
              <w:ind w:left="0" w:leftChars="0" w:firstLine="0" w:firstLineChars="0"/>
              <w:jc w:val="left"/>
              <w:rPr>
                <w:rFonts w:hint="eastAsia" w:ascii="宋体" w:hAnsi="宋体" w:eastAsia="宋体" w:cs="宋体"/>
                <w:kern w:val="0"/>
                <w:sz w:val="24"/>
              </w:rPr>
            </w:pPr>
            <w:r>
              <w:rPr>
                <w:rFonts w:hint="eastAsia" w:ascii="宋体" w:hAnsi="宋体" w:eastAsia="宋体" w:cs="宋体"/>
                <w:sz w:val="24"/>
              </w:rPr>
              <w:t>3.常见故障处理。</w:t>
            </w:r>
          </w:p>
        </w:tc>
        <w:tc>
          <w:tcPr>
            <w:tcW w:w="412" w:type="pct"/>
            <w:shd w:val="clear" w:color="auto" w:fill="auto"/>
            <w:tcMar>
              <w:top w:w="15" w:type="dxa"/>
              <w:left w:w="15" w:type="dxa"/>
              <w:bottom w:w="0" w:type="dxa"/>
              <w:right w:w="15" w:type="dxa"/>
            </w:tcMar>
            <w:vAlign w:val="center"/>
          </w:tcPr>
          <w:p w14:paraId="65F630C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vMerge w:val="continue"/>
            <w:shd w:val="clear" w:color="auto" w:fill="auto"/>
            <w:tcMar>
              <w:top w:w="15" w:type="dxa"/>
              <w:left w:w="15" w:type="dxa"/>
              <w:bottom w:w="0" w:type="dxa"/>
              <w:right w:w="15" w:type="dxa"/>
            </w:tcMar>
            <w:vAlign w:val="center"/>
          </w:tcPr>
          <w:p w14:paraId="17926C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vMerge w:val="continue"/>
            <w:shd w:val="clear" w:color="auto" w:fill="auto"/>
            <w:vAlign w:val="center"/>
          </w:tcPr>
          <w:p w14:paraId="1C0E49F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2A85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6" w:type="pct"/>
          <w:cantSplit/>
          <w:trHeight w:val="1049" w:hRule="atLeast"/>
          <w:jc w:val="center"/>
        </w:trPr>
        <w:tc>
          <w:tcPr>
            <w:tcW w:w="344" w:type="pct"/>
            <w:shd w:val="clear" w:color="auto" w:fill="auto"/>
            <w:tcMar>
              <w:top w:w="15" w:type="dxa"/>
              <w:left w:w="15" w:type="dxa"/>
              <w:bottom w:w="0" w:type="dxa"/>
              <w:right w:w="15" w:type="dxa"/>
            </w:tcMar>
            <w:vAlign w:val="center"/>
          </w:tcPr>
          <w:p w14:paraId="19D42A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555" w:type="pct"/>
            <w:vMerge w:val="continue"/>
            <w:shd w:val="clear" w:color="auto" w:fill="auto"/>
            <w:tcMar>
              <w:top w:w="15" w:type="dxa"/>
              <w:left w:w="15" w:type="dxa"/>
              <w:bottom w:w="0" w:type="dxa"/>
              <w:right w:w="15" w:type="dxa"/>
            </w:tcMar>
            <w:vAlign w:val="center"/>
          </w:tcPr>
          <w:p w14:paraId="0CC393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35AB4193">
            <w:pPr>
              <w:pageBreakBefore w:val="0"/>
              <w:kinsoku/>
              <w:wordWrap/>
              <w:topLinePunct w:val="0"/>
              <w:autoSpaceDE w:val="0"/>
              <w:autoSpaceDN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1.HMI人机界面的操作、运行。</w:t>
            </w:r>
          </w:p>
        </w:tc>
        <w:tc>
          <w:tcPr>
            <w:tcW w:w="412" w:type="pct"/>
            <w:shd w:val="clear" w:color="auto" w:fill="auto"/>
            <w:tcMar>
              <w:top w:w="15" w:type="dxa"/>
              <w:left w:w="15" w:type="dxa"/>
              <w:bottom w:w="0" w:type="dxa"/>
              <w:right w:w="15" w:type="dxa"/>
            </w:tcMar>
            <w:vAlign w:val="center"/>
          </w:tcPr>
          <w:p w14:paraId="05EB35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vMerge w:val="continue"/>
            <w:shd w:val="clear" w:color="auto" w:fill="auto"/>
            <w:tcMar>
              <w:top w:w="15" w:type="dxa"/>
              <w:left w:w="15" w:type="dxa"/>
              <w:bottom w:w="0" w:type="dxa"/>
              <w:right w:w="15" w:type="dxa"/>
            </w:tcMar>
            <w:vAlign w:val="center"/>
          </w:tcPr>
          <w:p w14:paraId="7117AB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shd w:val="clear" w:color="auto" w:fill="auto"/>
            <w:vAlign w:val="center"/>
          </w:tcPr>
          <w:p w14:paraId="176107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操作工、维修工、设备工程师</w:t>
            </w:r>
          </w:p>
        </w:tc>
      </w:tr>
      <w:tr w14:paraId="4216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6" w:type="pct"/>
          <w:cantSplit/>
          <w:trHeight w:val="422" w:hRule="atLeast"/>
          <w:jc w:val="center"/>
        </w:trPr>
        <w:tc>
          <w:tcPr>
            <w:tcW w:w="344" w:type="pct"/>
            <w:shd w:val="clear" w:color="auto" w:fill="auto"/>
            <w:tcMar>
              <w:top w:w="15" w:type="dxa"/>
              <w:left w:w="15" w:type="dxa"/>
              <w:bottom w:w="0" w:type="dxa"/>
              <w:right w:w="15" w:type="dxa"/>
            </w:tcMar>
            <w:vAlign w:val="center"/>
          </w:tcPr>
          <w:p w14:paraId="4A2A13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555" w:type="pct"/>
            <w:vMerge w:val="continue"/>
            <w:shd w:val="clear" w:color="auto" w:fill="auto"/>
            <w:tcMar>
              <w:top w:w="15" w:type="dxa"/>
              <w:left w:w="15" w:type="dxa"/>
              <w:bottom w:w="0" w:type="dxa"/>
              <w:right w:w="15" w:type="dxa"/>
            </w:tcMar>
            <w:vAlign w:val="center"/>
          </w:tcPr>
          <w:p w14:paraId="3E8E01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46A33D75">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1.现场故障查询及处理。</w:t>
            </w:r>
          </w:p>
        </w:tc>
        <w:tc>
          <w:tcPr>
            <w:tcW w:w="412" w:type="pct"/>
            <w:shd w:val="clear" w:color="auto" w:fill="auto"/>
            <w:tcMar>
              <w:top w:w="15" w:type="dxa"/>
              <w:left w:w="15" w:type="dxa"/>
              <w:bottom w:w="0" w:type="dxa"/>
              <w:right w:w="15" w:type="dxa"/>
            </w:tcMar>
            <w:vAlign w:val="center"/>
          </w:tcPr>
          <w:p w14:paraId="680679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vMerge w:val="continue"/>
            <w:shd w:val="clear" w:color="auto" w:fill="auto"/>
            <w:tcMar>
              <w:top w:w="15" w:type="dxa"/>
              <w:left w:w="15" w:type="dxa"/>
              <w:bottom w:w="0" w:type="dxa"/>
              <w:right w:w="15" w:type="dxa"/>
            </w:tcMar>
            <w:vAlign w:val="center"/>
          </w:tcPr>
          <w:p w14:paraId="7E88C9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vMerge w:val="restart"/>
            <w:shd w:val="clear" w:color="auto" w:fill="auto"/>
            <w:vAlign w:val="center"/>
          </w:tcPr>
          <w:p w14:paraId="13CC0F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操作工、维修技师、设备工程师</w:t>
            </w:r>
          </w:p>
        </w:tc>
      </w:tr>
      <w:tr w14:paraId="1BF67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cantSplit/>
          <w:trHeight w:val="386" w:hRule="atLeast"/>
          <w:jc w:val="center"/>
        </w:trPr>
        <w:tc>
          <w:tcPr>
            <w:tcW w:w="344" w:type="pct"/>
            <w:shd w:val="clear" w:color="auto" w:fill="auto"/>
            <w:tcMar>
              <w:top w:w="15" w:type="dxa"/>
              <w:left w:w="15" w:type="dxa"/>
              <w:bottom w:w="0" w:type="dxa"/>
              <w:right w:w="15" w:type="dxa"/>
            </w:tcMar>
            <w:vAlign w:val="center"/>
          </w:tcPr>
          <w:p w14:paraId="059218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w:t>
            </w:r>
          </w:p>
        </w:tc>
        <w:tc>
          <w:tcPr>
            <w:tcW w:w="555" w:type="pct"/>
            <w:vMerge w:val="continue"/>
            <w:shd w:val="clear" w:color="auto" w:fill="auto"/>
            <w:tcMar>
              <w:top w:w="15" w:type="dxa"/>
              <w:left w:w="15" w:type="dxa"/>
              <w:bottom w:w="0" w:type="dxa"/>
              <w:right w:w="15" w:type="dxa"/>
            </w:tcMar>
            <w:vAlign w:val="center"/>
          </w:tcPr>
          <w:p w14:paraId="407379F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20ED05AF">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1.设备数据、程序备份。</w:t>
            </w:r>
          </w:p>
        </w:tc>
        <w:tc>
          <w:tcPr>
            <w:tcW w:w="412" w:type="pct"/>
            <w:shd w:val="clear" w:color="auto" w:fill="auto"/>
            <w:tcMar>
              <w:top w:w="15" w:type="dxa"/>
              <w:left w:w="15" w:type="dxa"/>
              <w:bottom w:w="0" w:type="dxa"/>
              <w:right w:w="15" w:type="dxa"/>
            </w:tcMar>
            <w:vAlign w:val="center"/>
          </w:tcPr>
          <w:p w14:paraId="23EFEC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4小时</w:t>
            </w:r>
          </w:p>
        </w:tc>
        <w:tc>
          <w:tcPr>
            <w:tcW w:w="905" w:type="pct"/>
            <w:gridSpan w:val="2"/>
            <w:vMerge w:val="continue"/>
            <w:shd w:val="clear" w:color="auto" w:fill="auto"/>
            <w:tcMar>
              <w:top w:w="15" w:type="dxa"/>
              <w:left w:w="15" w:type="dxa"/>
              <w:bottom w:w="0" w:type="dxa"/>
              <w:right w:w="15" w:type="dxa"/>
            </w:tcMar>
            <w:vAlign w:val="center"/>
          </w:tcPr>
          <w:p w14:paraId="0429D4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vMerge w:val="continue"/>
            <w:shd w:val="clear" w:color="auto" w:fill="auto"/>
            <w:vAlign w:val="center"/>
          </w:tcPr>
          <w:p w14:paraId="6559E21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23D3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cantSplit/>
          <w:trHeight w:val="405" w:hRule="atLeast"/>
          <w:jc w:val="center"/>
        </w:trPr>
        <w:tc>
          <w:tcPr>
            <w:tcW w:w="344" w:type="pct"/>
            <w:shd w:val="clear" w:color="auto" w:fill="auto"/>
            <w:tcMar>
              <w:top w:w="15" w:type="dxa"/>
              <w:left w:w="15" w:type="dxa"/>
              <w:bottom w:w="0" w:type="dxa"/>
              <w:right w:w="15" w:type="dxa"/>
            </w:tcMar>
            <w:vAlign w:val="center"/>
          </w:tcPr>
          <w:p w14:paraId="091647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w:t>
            </w:r>
          </w:p>
        </w:tc>
        <w:tc>
          <w:tcPr>
            <w:tcW w:w="555" w:type="pct"/>
            <w:vMerge w:val="restart"/>
            <w:shd w:val="clear" w:color="auto" w:fill="auto"/>
            <w:tcMar>
              <w:top w:w="15" w:type="dxa"/>
              <w:left w:w="15" w:type="dxa"/>
              <w:bottom w:w="0" w:type="dxa"/>
              <w:right w:w="15" w:type="dxa"/>
            </w:tcMar>
            <w:vAlign w:val="center"/>
          </w:tcPr>
          <w:p w14:paraId="29BD19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机械培训</w:t>
            </w:r>
          </w:p>
        </w:tc>
        <w:tc>
          <w:tcPr>
            <w:tcW w:w="1736" w:type="pct"/>
            <w:gridSpan w:val="2"/>
            <w:shd w:val="clear" w:color="auto" w:fill="auto"/>
            <w:tcMar>
              <w:top w:w="15" w:type="dxa"/>
              <w:left w:w="15" w:type="dxa"/>
              <w:bottom w:w="0" w:type="dxa"/>
              <w:right w:w="15" w:type="dxa"/>
            </w:tcMar>
            <w:vAlign w:val="center"/>
          </w:tcPr>
          <w:p w14:paraId="12DF2EF4">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1.设备机械结构，设备机械图纸。</w:t>
            </w:r>
          </w:p>
        </w:tc>
        <w:tc>
          <w:tcPr>
            <w:tcW w:w="412" w:type="pct"/>
            <w:shd w:val="clear" w:color="auto" w:fill="auto"/>
            <w:tcMar>
              <w:top w:w="15" w:type="dxa"/>
              <w:left w:w="15" w:type="dxa"/>
              <w:bottom w:w="0" w:type="dxa"/>
              <w:right w:w="15" w:type="dxa"/>
            </w:tcMar>
            <w:vAlign w:val="center"/>
          </w:tcPr>
          <w:p w14:paraId="3A38BD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24小时</w:t>
            </w:r>
          </w:p>
        </w:tc>
        <w:tc>
          <w:tcPr>
            <w:tcW w:w="905" w:type="pct"/>
            <w:gridSpan w:val="2"/>
            <w:vMerge w:val="restart"/>
            <w:shd w:val="clear" w:color="auto" w:fill="auto"/>
            <w:tcMar>
              <w:top w:w="15" w:type="dxa"/>
              <w:left w:w="15" w:type="dxa"/>
              <w:bottom w:w="0" w:type="dxa"/>
              <w:right w:w="15" w:type="dxa"/>
            </w:tcMar>
            <w:vAlign w:val="center"/>
          </w:tcPr>
          <w:p w14:paraId="0FB28FD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设备安装调试结束后2个月之内</w:t>
            </w:r>
          </w:p>
        </w:tc>
        <w:tc>
          <w:tcPr>
            <w:tcW w:w="1040" w:type="pct"/>
            <w:vMerge w:val="continue"/>
            <w:shd w:val="clear" w:color="auto" w:fill="auto"/>
            <w:vAlign w:val="center"/>
          </w:tcPr>
          <w:p w14:paraId="04078B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EB5B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cantSplit/>
          <w:trHeight w:val="397" w:hRule="atLeast"/>
          <w:jc w:val="center"/>
        </w:trPr>
        <w:tc>
          <w:tcPr>
            <w:tcW w:w="344" w:type="pct"/>
            <w:shd w:val="clear" w:color="auto" w:fill="auto"/>
            <w:tcMar>
              <w:top w:w="15" w:type="dxa"/>
              <w:left w:w="15" w:type="dxa"/>
              <w:bottom w:w="0" w:type="dxa"/>
              <w:right w:w="15" w:type="dxa"/>
            </w:tcMar>
            <w:vAlign w:val="center"/>
          </w:tcPr>
          <w:p w14:paraId="3E9255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10</w:t>
            </w:r>
          </w:p>
        </w:tc>
        <w:tc>
          <w:tcPr>
            <w:tcW w:w="555" w:type="pct"/>
            <w:vMerge w:val="continue"/>
            <w:shd w:val="clear" w:color="auto" w:fill="auto"/>
            <w:tcMar>
              <w:top w:w="15" w:type="dxa"/>
              <w:left w:w="15" w:type="dxa"/>
              <w:bottom w:w="0" w:type="dxa"/>
              <w:right w:w="15" w:type="dxa"/>
            </w:tcMar>
            <w:vAlign w:val="center"/>
          </w:tcPr>
          <w:p w14:paraId="3C0B82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3A7C6377">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2.设备润滑及保养。</w:t>
            </w:r>
          </w:p>
        </w:tc>
        <w:tc>
          <w:tcPr>
            <w:tcW w:w="412" w:type="pct"/>
            <w:shd w:val="clear" w:color="auto" w:fill="auto"/>
            <w:tcMar>
              <w:top w:w="15" w:type="dxa"/>
              <w:left w:w="15" w:type="dxa"/>
              <w:bottom w:w="0" w:type="dxa"/>
              <w:right w:w="15" w:type="dxa"/>
            </w:tcMar>
            <w:vAlign w:val="center"/>
          </w:tcPr>
          <w:p w14:paraId="0AC708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8小时</w:t>
            </w:r>
          </w:p>
        </w:tc>
        <w:tc>
          <w:tcPr>
            <w:tcW w:w="905" w:type="pct"/>
            <w:gridSpan w:val="2"/>
            <w:vMerge w:val="continue"/>
            <w:shd w:val="clear" w:color="auto" w:fill="auto"/>
            <w:tcMar>
              <w:top w:w="15" w:type="dxa"/>
              <w:left w:w="15" w:type="dxa"/>
              <w:bottom w:w="0" w:type="dxa"/>
              <w:right w:w="15" w:type="dxa"/>
            </w:tcMar>
            <w:vAlign w:val="center"/>
          </w:tcPr>
          <w:p w14:paraId="788B24B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vMerge w:val="continue"/>
            <w:shd w:val="clear" w:color="auto" w:fill="auto"/>
            <w:vAlign w:val="center"/>
          </w:tcPr>
          <w:p w14:paraId="1FCA6A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9460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6" w:type="pct"/>
          <w:cantSplit/>
          <w:trHeight w:val="510" w:hRule="atLeast"/>
          <w:jc w:val="center"/>
        </w:trPr>
        <w:tc>
          <w:tcPr>
            <w:tcW w:w="344" w:type="pct"/>
            <w:shd w:val="clear" w:color="auto" w:fill="auto"/>
            <w:tcMar>
              <w:top w:w="15" w:type="dxa"/>
              <w:left w:w="15" w:type="dxa"/>
              <w:bottom w:w="0" w:type="dxa"/>
              <w:right w:w="15" w:type="dxa"/>
            </w:tcMar>
            <w:vAlign w:val="center"/>
          </w:tcPr>
          <w:p w14:paraId="72A514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11</w:t>
            </w:r>
          </w:p>
        </w:tc>
        <w:tc>
          <w:tcPr>
            <w:tcW w:w="555" w:type="pct"/>
            <w:vMerge w:val="continue"/>
            <w:shd w:val="clear" w:color="auto" w:fill="auto"/>
            <w:tcMar>
              <w:top w:w="15" w:type="dxa"/>
              <w:left w:w="15" w:type="dxa"/>
              <w:bottom w:w="0" w:type="dxa"/>
              <w:right w:w="15" w:type="dxa"/>
            </w:tcMar>
            <w:vAlign w:val="center"/>
          </w:tcPr>
          <w:p w14:paraId="6B65B6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06CAD4D4">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3.设备易损件更换及维修。</w:t>
            </w:r>
          </w:p>
        </w:tc>
        <w:tc>
          <w:tcPr>
            <w:tcW w:w="412" w:type="pct"/>
            <w:shd w:val="clear" w:color="auto" w:fill="auto"/>
            <w:tcMar>
              <w:top w:w="15" w:type="dxa"/>
              <w:left w:w="15" w:type="dxa"/>
              <w:bottom w:w="0" w:type="dxa"/>
              <w:right w:w="15" w:type="dxa"/>
            </w:tcMar>
            <w:vAlign w:val="center"/>
          </w:tcPr>
          <w:p w14:paraId="54CF0A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vMerge w:val="continue"/>
            <w:shd w:val="clear" w:color="auto" w:fill="auto"/>
            <w:tcMar>
              <w:top w:w="15" w:type="dxa"/>
              <w:left w:w="15" w:type="dxa"/>
              <w:bottom w:w="0" w:type="dxa"/>
              <w:right w:w="15" w:type="dxa"/>
            </w:tcMar>
            <w:vAlign w:val="center"/>
          </w:tcPr>
          <w:p w14:paraId="5760DF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vMerge w:val="continue"/>
            <w:shd w:val="clear" w:color="auto" w:fill="auto"/>
            <w:vAlign w:val="center"/>
          </w:tcPr>
          <w:p w14:paraId="6CCE188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1624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gridAfter w:val="1"/>
          <w:wAfter w:w="6" w:type="pct"/>
          <w:cantSplit/>
          <w:trHeight w:val="435" w:hRule="atLeast"/>
          <w:jc w:val="center"/>
        </w:trPr>
        <w:tc>
          <w:tcPr>
            <w:tcW w:w="344" w:type="pct"/>
            <w:shd w:val="clear" w:color="auto" w:fill="auto"/>
            <w:tcMar>
              <w:top w:w="15" w:type="dxa"/>
              <w:left w:w="15" w:type="dxa"/>
              <w:bottom w:w="0" w:type="dxa"/>
              <w:right w:w="15" w:type="dxa"/>
            </w:tcMar>
            <w:vAlign w:val="center"/>
          </w:tcPr>
          <w:p w14:paraId="035D45D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w:t>
            </w:r>
          </w:p>
        </w:tc>
        <w:tc>
          <w:tcPr>
            <w:tcW w:w="555" w:type="pct"/>
            <w:vMerge w:val="continue"/>
            <w:shd w:val="clear" w:color="auto" w:fill="auto"/>
            <w:tcMar>
              <w:top w:w="15" w:type="dxa"/>
              <w:left w:w="15" w:type="dxa"/>
              <w:bottom w:w="0" w:type="dxa"/>
              <w:right w:w="15" w:type="dxa"/>
            </w:tcMar>
            <w:vAlign w:val="center"/>
          </w:tcPr>
          <w:p w14:paraId="11EDF0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736" w:type="pct"/>
            <w:gridSpan w:val="2"/>
            <w:shd w:val="clear" w:color="auto" w:fill="auto"/>
            <w:tcMar>
              <w:top w:w="15" w:type="dxa"/>
              <w:left w:w="15" w:type="dxa"/>
              <w:bottom w:w="0" w:type="dxa"/>
              <w:right w:w="15" w:type="dxa"/>
            </w:tcMar>
            <w:vAlign w:val="center"/>
          </w:tcPr>
          <w:p w14:paraId="371163C7">
            <w:pPr>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4.主要机械部件更换及维修。</w:t>
            </w:r>
          </w:p>
        </w:tc>
        <w:tc>
          <w:tcPr>
            <w:tcW w:w="412" w:type="pct"/>
            <w:shd w:val="clear" w:color="auto" w:fill="auto"/>
            <w:tcMar>
              <w:top w:w="15" w:type="dxa"/>
              <w:left w:w="15" w:type="dxa"/>
              <w:bottom w:w="0" w:type="dxa"/>
              <w:right w:w="15" w:type="dxa"/>
            </w:tcMar>
            <w:vAlign w:val="center"/>
          </w:tcPr>
          <w:p w14:paraId="1D2FA3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905" w:type="pct"/>
            <w:gridSpan w:val="2"/>
            <w:vMerge w:val="continue"/>
            <w:shd w:val="clear" w:color="auto" w:fill="auto"/>
            <w:tcMar>
              <w:top w:w="15" w:type="dxa"/>
              <w:left w:w="15" w:type="dxa"/>
              <w:bottom w:w="0" w:type="dxa"/>
              <w:right w:w="15" w:type="dxa"/>
            </w:tcMar>
            <w:vAlign w:val="center"/>
          </w:tcPr>
          <w:p w14:paraId="239D8F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1040" w:type="pct"/>
            <w:vMerge w:val="continue"/>
            <w:shd w:val="clear" w:color="auto" w:fill="auto"/>
            <w:vAlign w:val="center"/>
          </w:tcPr>
          <w:p w14:paraId="7FA20C7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E1740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58" w:hRule="atLeast"/>
          <w:jc w:val="center"/>
        </w:trPr>
        <w:tc>
          <w:tcPr>
            <w:tcW w:w="344" w:type="pct"/>
            <w:vMerge w:val="restart"/>
            <w:shd w:val="clear" w:color="auto" w:fill="auto"/>
            <w:vAlign w:val="center"/>
          </w:tcPr>
          <w:p w14:paraId="4F22DB9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19</w:t>
            </w:r>
          </w:p>
        </w:tc>
        <w:tc>
          <w:tcPr>
            <w:tcW w:w="555" w:type="pct"/>
            <w:vMerge w:val="restart"/>
            <w:shd w:val="clear" w:color="auto" w:fill="auto"/>
            <w:vAlign w:val="center"/>
          </w:tcPr>
          <w:p w14:paraId="3FE503F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机器人培训</w:t>
            </w:r>
          </w:p>
        </w:tc>
        <w:tc>
          <w:tcPr>
            <w:tcW w:w="1729" w:type="pct"/>
            <w:shd w:val="clear" w:color="auto" w:fill="auto"/>
            <w:vAlign w:val="center"/>
          </w:tcPr>
          <w:p w14:paraId="4CC9BA68">
            <w:pPr>
              <w:pStyle w:val="210"/>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color w:val="auto"/>
              </w:rPr>
            </w:pPr>
            <w:r>
              <w:rPr>
                <w:rFonts w:hint="eastAsia" w:ascii="宋体" w:hAnsi="宋体" w:eastAsia="宋体" w:cs="宋体"/>
                <w:color w:val="auto"/>
              </w:rPr>
              <w:t>1.理论培训(在</w:t>
            </w:r>
            <w:r>
              <w:rPr>
                <w:rFonts w:hint="eastAsia" w:ascii="宋体" w:hAnsi="宋体" w:cs="宋体"/>
                <w:color w:val="auto"/>
                <w:lang w:eastAsia="zh-CN"/>
              </w:rPr>
              <w:t>投标人</w:t>
            </w:r>
            <w:r>
              <w:rPr>
                <w:rFonts w:hint="eastAsia" w:ascii="宋体" w:hAnsi="宋体" w:eastAsia="宋体" w:cs="宋体"/>
                <w:color w:val="auto"/>
              </w:rPr>
              <w:t>设备生产厂家) ，4～6人，2周。</w:t>
            </w:r>
          </w:p>
        </w:tc>
        <w:tc>
          <w:tcPr>
            <w:tcW w:w="422" w:type="pct"/>
            <w:gridSpan w:val="3"/>
            <w:vMerge w:val="restart"/>
            <w:shd w:val="clear" w:color="auto" w:fill="auto"/>
            <w:vAlign w:val="center"/>
          </w:tcPr>
          <w:p w14:paraId="51D5934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1个月</w:t>
            </w:r>
          </w:p>
        </w:tc>
        <w:tc>
          <w:tcPr>
            <w:tcW w:w="901" w:type="pct"/>
            <w:vMerge w:val="restart"/>
            <w:shd w:val="clear" w:color="auto" w:fill="auto"/>
            <w:vAlign w:val="center"/>
          </w:tcPr>
          <w:p w14:paraId="6D3AEFB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046" w:type="pct"/>
            <w:gridSpan w:val="2"/>
            <w:vMerge w:val="restart"/>
            <w:shd w:val="clear" w:color="auto" w:fill="auto"/>
            <w:vAlign w:val="center"/>
          </w:tcPr>
          <w:p w14:paraId="69B8A8C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理论培训在设备进场前培训，与预验收一起进行；理论培训费用由</w:t>
            </w:r>
            <w:r>
              <w:rPr>
                <w:rFonts w:hint="eastAsia" w:ascii="宋体" w:hAnsi="宋体" w:cs="宋体"/>
                <w:color w:val="auto"/>
                <w:lang w:eastAsia="zh-CN"/>
              </w:rPr>
              <w:t>投标人</w:t>
            </w:r>
            <w:r>
              <w:rPr>
                <w:rFonts w:hint="eastAsia" w:ascii="宋体" w:hAnsi="宋体" w:eastAsia="宋体" w:cs="宋体"/>
                <w:color w:val="auto"/>
              </w:rPr>
              <w:t>安排。</w:t>
            </w:r>
          </w:p>
        </w:tc>
      </w:tr>
      <w:tr w14:paraId="2522D3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86" w:hRule="atLeast"/>
          <w:jc w:val="center"/>
        </w:trPr>
        <w:tc>
          <w:tcPr>
            <w:tcW w:w="344" w:type="pct"/>
            <w:vMerge w:val="continue"/>
            <w:shd w:val="clear" w:color="auto" w:fill="auto"/>
            <w:vAlign w:val="center"/>
          </w:tcPr>
          <w:p w14:paraId="733BFFA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555" w:type="pct"/>
            <w:vMerge w:val="continue"/>
            <w:shd w:val="clear" w:color="auto" w:fill="auto"/>
            <w:vAlign w:val="center"/>
          </w:tcPr>
          <w:p w14:paraId="51C096C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729" w:type="pct"/>
            <w:shd w:val="clear" w:color="auto" w:fill="auto"/>
            <w:vAlign w:val="center"/>
          </w:tcPr>
          <w:p w14:paraId="04EFFD19">
            <w:pPr>
              <w:pStyle w:val="210"/>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color w:val="auto"/>
              </w:rPr>
            </w:pPr>
            <w:r>
              <w:rPr>
                <w:rFonts w:hint="eastAsia" w:ascii="宋体" w:hAnsi="宋体" w:eastAsia="宋体" w:cs="宋体"/>
                <w:color w:val="auto"/>
              </w:rPr>
              <w:t>2.现场培训（在最终用户现场）4～6人，2周。</w:t>
            </w:r>
          </w:p>
        </w:tc>
        <w:tc>
          <w:tcPr>
            <w:tcW w:w="422" w:type="pct"/>
            <w:gridSpan w:val="3"/>
            <w:vMerge w:val="continue"/>
            <w:shd w:val="clear" w:color="auto" w:fill="auto"/>
            <w:vAlign w:val="center"/>
          </w:tcPr>
          <w:p w14:paraId="4D3676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901" w:type="pct"/>
            <w:vMerge w:val="continue"/>
            <w:shd w:val="clear" w:color="auto" w:fill="auto"/>
            <w:vAlign w:val="center"/>
          </w:tcPr>
          <w:p w14:paraId="33C0129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c>
          <w:tcPr>
            <w:tcW w:w="1046" w:type="pct"/>
            <w:gridSpan w:val="2"/>
            <w:vMerge w:val="continue"/>
            <w:shd w:val="clear" w:color="auto" w:fill="auto"/>
            <w:vAlign w:val="center"/>
          </w:tcPr>
          <w:p w14:paraId="135E641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p>
        </w:tc>
      </w:tr>
      <w:tr w14:paraId="29E266E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10" w:hRule="atLeast"/>
          <w:jc w:val="center"/>
        </w:trPr>
        <w:tc>
          <w:tcPr>
            <w:tcW w:w="344" w:type="pct"/>
            <w:shd w:val="clear" w:color="auto" w:fill="auto"/>
            <w:vAlign w:val="center"/>
          </w:tcPr>
          <w:p w14:paraId="4262D96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20</w:t>
            </w:r>
          </w:p>
        </w:tc>
        <w:tc>
          <w:tcPr>
            <w:tcW w:w="555" w:type="pct"/>
            <w:shd w:val="clear" w:color="auto" w:fill="auto"/>
            <w:vAlign w:val="center"/>
          </w:tcPr>
          <w:p w14:paraId="37FAC12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陪产</w:t>
            </w:r>
          </w:p>
        </w:tc>
        <w:tc>
          <w:tcPr>
            <w:tcW w:w="1729" w:type="pct"/>
            <w:shd w:val="clear" w:color="auto" w:fill="auto"/>
            <w:vAlign w:val="center"/>
          </w:tcPr>
          <w:p w14:paraId="5637308E">
            <w:pPr>
              <w:pStyle w:val="210"/>
              <w:pageBreakBefore w:val="0"/>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color w:val="auto"/>
              </w:rPr>
            </w:pPr>
            <w:r>
              <w:rPr>
                <w:rFonts w:hint="eastAsia" w:ascii="宋体" w:hAnsi="宋体" w:eastAsia="宋体" w:cs="宋体"/>
                <w:color w:val="auto"/>
              </w:rPr>
              <w:t>8小时/1班/天，1人。</w:t>
            </w:r>
          </w:p>
        </w:tc>
        <w:tc>
          <w:tcPr>
            <w:tcW w:w="422" w:type="pct"/>
            <w:gridSpan w:val="3"/>
            <w:shd w:val="clear" w:color="auto" w:fill="auto"/>
            <w:vAlign w:val="center"/>
          </w:tcPr>
          <w:p w14:paraId="5BFA4CD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lang w:val="en-US" w:eastAsia="zh-CN"/>
              </w:rPr>
              <w:t>2</w:t>
            </w:r>
            <w:r>
              <w:rPr>
                <w:rFonts w:hint="eastAsia" w:ascii="宋体" w:hAnsi="宋体" w:eastAsia="宋体" w:cs="宋体"/>
                <w:color w:val="auto"/>
              </w:rPr>
              <w:t>个月</w:t>
            </w:r>
          </w:p>
        </w:tc>
        <w:tc>
          <w:tcPr>
            <w:tcW w:w="901" w:type="pct"/>
            <w:shd w:val="clear" w:color="auto" w:fill="auto"/>
            <w:vAlign w:val="center"/>
          </w:tcPr>
          <w:p w14:paraId="0C74917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c>
          <w:tcPr>
            <w:tcW w:w="1046" w:type="pct"/>
            <w:gridSpan w:val="2"/>
            <w:shd w:val="clear" w:color="auto" w:fill="auto"/>
            <w:vAlign w:val="center"/>
          </w:tcPr>
          <w:p w14:paraId="57C5C7E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t>/</w:t>
            </w:r>
          </w:p>
        </w:tc>
      </w:tr>
    </w:tbl>
    <w:p w14:paraId="5AB18757">
      <w:pPr>
        <w:pStyle w:val="3"/>
        <w:pageBreakBefore w:val="0"/>
        <w:numPr>
          <w:ilvl w:val="0"/>
          <w:numId w:val="199"/>
        </w:numPr>
        <w:tabs>
          <w:tab w:val="left" w:pos="0"/>
        </w:tabs>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招标人</w:t>
      </w:r>
      <w:r>
        <w:rPr>
          <w:rFonts w:hint="eastAsia" w:ascii="宋体" w:hAnsi="宋体" w:eastAsia="宋体" w:cs="宋体"/>
          <w:sz w:val="24"/>
          <w:szCs w:val="24"/>
        </w:rPr>
        <w:t>受训人员掌握技能目标：</w:t>
      </w:r>
    </w:p>
    <w:p w14:paraId="384F82EF">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参加培训的人员可以独立正确操作、点检及保养设备。</w:t>
      </w:r>
    </w:p>
    <w:p w14:paraId="10BFB76F">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能熟练的浏览人机界面及利用人机界面查找故障。</w:t>
      </w:r>
    </w:p>
    <w:p w14:paraId="5E77192F">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参加培训的人员能掌握设备的电气原理、机械结构及性能。</w:t>
      </w:r>
    </w:p>
    <w:p w14:paraId="0F073527">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能够进行电气、机械故障排查及维修。</w:t>
      </w:r>
    </w:p>
    <w:p w14:paraId="43238C39">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能够熟练使用编程软件、程序查看、程序修改、上传和下载程序。</w:t>
      </w:r>
    </w:p>
    <w:p w14:paraId="74974581">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能够熟练使用人机界面编程软件并能对人机画面修改，并对程序下载。</w:t>
      </w:r>
    </w:p>
    <w:p w14:paraId="4DF0A494">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能够熟练对机器人参数进行修改，并知道每个参数的功能及作用。</w:t>
      </w:r>
    </w:p>
    <w:p w14:paraId="60DC991E">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能够独立更换电气及机械元件。</w:t>
      </w:r>
    </w:p>
    <w:p w14:paraId="0F79CD0C">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能够掌握离线仿真。</w:t>
      </w:r>
    </w:p>
    <w:p w14:paraId="2D85FC4A">
      <w:pPr>
        <w:pStyle w:val="17"/>
        <w:pageBreakBefore w:val="0"/>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能够掌握机器人各个坐标系的定义文件路径，wold frame；userframe；objectframe；robotbaseframe；所有机器人定义完成后，要求具备可复制和镜像功能。</w:t>
      </w:r>
    </w:p>
    <w:p w14:paraId="7DC81CBC">
      <w:pPr>
        <w:pStyle w:val="17"/>
        <w:pageBreakBefore w:val="0"/>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能够掌握喷涂控制系统每个电路板的功能解释，应用原理。</w:t>
      </w:r>
    </w:p>
    <w:p w14:paraId="61907A28">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主计算机模块：Main Computer；</w:t>
      </w:r>
    </w:p>
    <w:p w14:paraId="54F02B63">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轴驱动单元模块：Drive Unit；</w:t>
      </w:r>
    </w:p>
    <w:p w14:paraId="69B19559">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控制器模块：PIB,SIB,MIB,SCB,TIB,ALED ；</w:t>
      </w:r>
    </w:p>
    <w:p w14:paraId="53B777D9">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分布式输入/输出&amp;通讯模块:I/O， Profibus，CCLink，Process I/O…；</w:t>
      </w:r>
    </w:p>
    <w:p w14:paraId="1794BF24">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电源模块: PDB；</w:t>
      </w:r>
    </w:p>
    <w:p w14:paraId="2A3A1E8C">
      <w:pPr>
        <w:pStyle w:val="17"/>
        <w:pageBreakBefore w:val="0"/>
        <w:widowControl/>
        <w:numPr>
          <w:ilvl w:val="0"/>
          <w:numId w:val="19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机械手模块MCOB…；</w:t>
      </w:r>
    </w:p>
    <w:p w14:paraId="1A2F47EA">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吹扫设置。</w:t>
      </w:r>
    </w:p>
    <w:p w14:paraId="0F018A22">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与PLC连接的设备。</w:t>
      </w:r>
    </w:p>
    <w:p w14:paraId="205876E8">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工艺输入输出板- PIO设置；工艺输入输出板- PIO。</w:t>
      </w:r>
    </w:p>
    <w:p w14:paraId="52A86BE5">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镜像精度必修提出来，保证机器人的安装精度。</w:t>
      </w:r>
    </w:p>
    <w:p w14:paraId="36D08ED6">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工具坐标TCP数据的直接输入，定义的路径。</w:t>
      </w:r>
    </w:p>
    <w:p w14:paraId="5D4ED9D9">
      <w:pPr>
        <w:pStyle w:val="17"/>
        <w:pageBreakBefore w:val="0"/>
        <w:widowControl/>
        <w:numPr>
          <w:ilvl w:val="0"/>
          <w:numId w:val="20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必须确保培训的有效性，使受训的</w:t>
      </w:r>
      <w:r>
        <w:rPr>
          <w:rFonts w:hint="eastAsia" w:ascii="宋体" w:hAnsi="宋体" w:cs="宋体"/>
          <w:lang w:eastAsia="zh-CN"/>
        </w:rPr>
        <w:t>招标人</w:t>
      </w:r>
      <w:r>
        <w:rPr>
          <w:rFonts w:hint="eastAsia" w:ascii="宋体" w:hAnsi="宋体" w:eastAsia="宋体" w:cs="宋体"/>
        </w:rPr>
        <w:t>员工能够独立地解决和排除相应的设备问题。培训结束后</w:t>
      </w:r>
      <w:r>
        <w:rPr>
          <w:rFonts w:hint="eastAsia" w:ascii="宋体" w:hAnsi="宋体" w:cs="宋体"/>
          <w:lang w:eastAsia="zh-CN"/>
        </w:rPr>
        <w:t>招标人</w:t>
      </w:r>
      <w:r>
        <w:rPr>
          <w:rFonts w:hint="eastAsia" w:ascii="宋体" w:hAnsi="宋体" w:eastAsia="宋体" w:cs="宋体"/>
        </w:rPr>
        <w:t>对其测评，测评内容为培训内容，</w:t>
      </w:r>
      <w:r>
        <w:rPr>
          <w:rFonts w:hint="eastAsia" w:ascii="宋体" w:hAnsi="宋体" w:cs="宋体"/>
          <w:lang w:eastAsia="zh-CN"/>
        </w:rPr>
        <w:t>招标人</w:t>
      </w:r>
      <w:r>
        <w:rPr>
          <w:rFonts w:hint="eastAsia" w:ascii="宋体" w:hAnsi="宋体" w:eastAsia="宋体" w:cs="宋体"/>
        </w:rPr>
        <w:t>受训人员未达到80%以上合格的，</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再次培训（免费），直到</w:t>
      </w:r>
      <w:r>
        <w:rPr>
          <w:rFonts w:hint="eastAsia" w:ascii="宋体" w:hAnsi="宋体" w:cs="宋体"/>
          <w:lang w:eastAsia="zh-CN"/>
        </w:rPr>
        <w:t>招标人</w:t>
      </w:r>
      <w:r>
        <w:rPr>
          <w:rFonts w:hint="eastAsia" w:ascii="宋体" w:hAnsi="宋体" w:eastAsia="宋体" w:cs="宋体"/>
        </w:rPr>
        <w:t>受训人员达到80%以上合格为止。</w:t>
      </w:r>
    </w:p>
    <w:p w14:paraId="56C1A6C7">
      <w:pPr>
        <w:pStyle w:val="2"/>
        <w:pageBreakBefore w:val="0"/>
        <w:numPr>
          <w:ilvl w:val="0"/>
          <w:numId w:val="16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27" w:name="_Toc26376"/>
      <w:r>
        <w:rPr>
          <w:rFonts w:hint="eastAsia" w:ascii="宋体" w:hAnsi="宋体" w:eastAsia="宋体" w:cs="宋体"/>
          <w:b/>
          <w:bCs/>
          <w:sz w:val="24"/>
          <w:szCs w:val="24"/>
        </w:rPr>
        <w:t>资料、辅件</w:t>
      </w:r>
      <w:bookmarkEnd w:id="227"/>
    </w:p>
    <w:p w14:paraId="4D5DDB62">
      <w:pPr>
        <w:pStyle w:val="17"/>
        <w:pageBreakBefore w:val="0"/>
        <w:numPr>
          <w:ilvl w:val="0"/>
          <w:numId w:val="20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按照以下列表及时提供相关资料：</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2"/>
        <w:gridCol w:w="3085"/>
        <w:gridCol w:w="2832"/>
        <w:gridCol w:w="1596"/>
        <w:gridCol w:w="939"/>
      </w:tblGrid>
      <w:tr w14:paraId="27B0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623" w:type="pct"/>
            <w:vAlign w:val="center"/>
          </w:tcPr>
          <w:p w14:paraId="245E8C3D">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资料名称</w:t>
            </w:r>
          </w:p>
        </w:tc>
        <w:tc>
          <w:tcPr>
            <w:tcW w:w="1597" w:type="pct"/>
            <w:vAlign w:val="center"/>
          </w:tcPr>
          <w:p w14:paraId="7DBC5721">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内容描述</w:t>
            </w:r>
          </w:p>
        </w:tc>
        <w:tc>
          <w:tcPr>
            <w:tcW w:w="1466" w:type="pct"/>
            <w:vAlign w:val="center"/>
          </w:tcPr>
          <w:p w14:paraId="5E16EBDF">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826" w:type="pct"/>
            <w:vAlign w:val="center"/>
          </w:tcPr>
          <w:p w14:paraId="41B226EE">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提供时间</w:t>
            </w:r>
          </w:p>
        </w:tc>
        <w:tc>
          <w:tcPr>
            <w:tcW w:w="486" w:type="pct"/>
            <w:vAlign w:val="center"/>
          </w:tcPr>
          <w:p w14:paraId="7C2816E9">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备注</w:t>
            </w:r>
          </w:p>
        </w:tc>
      </w:tr>
      <w:tr w14:paraId="71D6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16FC31E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设计图纸</w:t>
            </w:r>
          </w:p>
        </w:tc>
        <w:tc>
          <w:tcPr>
            <w:tcW w:w="1597" w:type="pct"/>
            <w:vAlign w:val="center"/>
          </w:tcPr>
          <w:p w14:paraId="2EBF6D5F">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包括机械部分及电气部分。</w:t>
            </w:r>
          </w:p>
        </w:tc>
        <w:tc>
          <w:tcPr>
            <w:tcW w:w="1466" w:type="pct"/>
            <w:vAlign w:val="center"/>
          </w:tcPr>
          <w:p w14:paraId="607EF5FC">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33EDF15B">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kern w:val="0"/>
                <w:sz w:val="24"/>
                <w:szCs w:val="24"/>
              </w:rPr>
              <w:t>收到中标通知书后一个月内</w:t>
            </w:r>
          </w:p>
        </w:tc>
        <w:tc>
          <w:tcPr>
            <w:tcW w:w="486" w:type="pct"/>
            <w:vAlign w:val="center"/>
          </w:tcPr>
          <w:p w14:paraId="7A955857">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6C675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5C676F14">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接口要求</w:t>
            </w:r>
          </w:p>
        </w:tc>
        <w:tc>
          <w:tcPr>
            <w:tcW w:w="1597" w:type="pct"/>
            <w:vAlign w:val="center"/>
          </w:tcPr>
          <w:p w14:paraId="01E370AB">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包括对能源、动力、载荷、环境、洞口预留等方面的要求。</w:t>
            </w:r>
          </w:p>
        </w:tc>
        <w:tc>
          <w:tcPr>
            <w:tcW w:w="1466" w:type="pct"/>
            <w:vAlign w:val="center"/>
          </w:tcPr>
          <w:p w14:paraId="6DA2D76A">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2070B9EF">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合同签订后15天内</w:t>
            </w:r>
          </w:p>
        </w:tc>
        <w:tc>
          <w:tcPr>
            <w:tcW w:w="486" w:type="pct"/>
            <w:vAlign w:val="center"/>
          </w:tcPr>
          <w:p w14:paraId="07771D87">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32941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0C2D42CD">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试验资料</w:t>
            </w:r>
          </w:p>
        </w:tc>
        <w:tc>
          <w:tcPr>
            <w:tcW w:w="1597" w:type="pct"/>
            <w:vAlign w:val="center"/>
          </w:tcPr>
          <w:p w14:paraId="1B7CD9D6">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包括涂料及工艺部分。</w:t>
            </w:r>
          </w:p>
        </w:tc>
        <w:tc>
          <w:tcPr>
            <w:tcW w:w="1466" w:type="pct"/>
            <w:vAlign w:val="center"/>
          </w:tcPr>
          <w:p w14:paraId="1C99BE9E">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05D2FD3F">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工艺调试结束</w:t>
            </w:r>
          </w:p>
        </w:tc>
        <w:tc>
          <w:tcPr>
            <w:tcW w:w="486" w:type="pct"/>
            <w:vAlign w:val="center"/>
          </w:tcPr>
          <w:p w14:paraId="4258F1EB">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7EA0F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6E749254">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培训资料</w:t>
            </w:r>
          </w:p>
        </w:tc>
        <w:tc>
          <w:tcPr>
            <w:tcW w:w="1597" w:type="pct"/>
            <w:vAlign w:val="center"/>
          </w:tcPr>
          <w:p w14:paraId="579A9C99">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培训中所有涉及到的资料。</w:t>
            </w:r>
          </w:p>
        </w:tc>
        <w:tc>
          <w:tcPr>
            <w:tcW w:w="1466" w:type="pct"/>
            <w:vAlign w:val="center"/>
          </w:tcPr>
          <w:p w14:paraId="3311A617">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中文、英文电子档</w:t>
            </w:r>
            <w:r>
              <w:rPr>
                <w:rFonts w:hint="eastAsia" w:ascii="宋体" w:hAnsi="宋体" w:cs="宋体"/>
                <w:bCs/>
                <w:sz w:val="24"/>
                <w:szCs w:val="24"/>
                <w:lang w:val="en-US" w:eastAsia="zh-CN"/>
              </w:rPr>
              <w:t>4</w:t>
            </w:r>
            <w:r>
              <w:rPr>
                <w:rFonts w:hint="eastAsia" w:ascii="宋体" w:hAnsi="宋体" w:eastAsia="宋体" w:cs="宋体"/>
                <w:bCs/>
                <w:sz w:val="24"/>
                <w:szCs w:val="24"/>
              </w:rPr>
              <w:t>套，参训人员人手一份打印版培训资料（</w:t>
            </w:r>
            <w:r>
              <w:rPr>
                <w:rFonts w:hint="eastAsia" w:ascii="宋体" w:hAnsi="宋体" w:cs="宋体"/>
                <w:bCs/>
                <w:sz w:val="24"/>
                <w:szCs w:val="24"/>
                <w:lang w:eastAsia="zh-CN"/>
              </w:rPr>
              <w:t>投标人</w:t>
            </w:r>
            <w:r>
              <w:rPr>
                <w:rFonts w:hint="eastAsia" w:ascii="宋体" w:hAnsi="宋体" w:eastAsia="宋体" w:cs="宋体"/>
                <w:bCs/>
                <w:sz w:val="24"/>
                <w:szCs w:val="24"/>
              </w:rPr>
              <w:t>须提供参训人员的签收原始记录）。</w:t>
            </w:r>
          </w:p>
        </w:tc>
        <w:tc>
          <w:tcPr>
            <w:tcW w:w="826" w:type="pct"/>
            <w:vAlign w:val="center"/>
          </w:tcPr>
          <w:p w14:paraId="60562CDC">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培训前10个工作日提供电子档，参训当日提供打印版</w:t>
            </w:r>
          </w:p>
        </w:tc>
        <w:tc>
          <w:tcPr>
            <w:tcW w:w="486" w:type="pct"/>
            <w:vAlign w:val="center"/>
          </w:tcPr>
          <w:p w14:paraId="4C1DE724">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2132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32D3E584">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预验收报告</w:t>
            </w:r>
          </w:p>
        </w:tc>
        <w:tc>
          <w:tcPr>
            <w:tcW w:w="1597" w:type="pct"/>
            <w:vAlign w:val="center"/>
          </w:tcPr>
          <w:p w14:paraId="42E76333">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空载连续试机、出厂检验合格报告。</w:t>
            </w:r>
          </w:p>
        </w:tc>
        <w:tc>
          <w:tcPr>
            <w:tcW w:w="1466" w:type="pct"/>
            <w:vAlign w:val="center"/>
          </w:tcPr>
          <w:p w14:paraId="2A6644BE">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1AF4F7CF">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预验收</w:t>
            </w:r>
          </w:p>
        </w:tc>
        <w:tc>
          <w:tcPr>
            <w:tcW w:w="486" w:type="pct"/>
            <w:vAlign w:val="center"/>
          </w:tcPr>
          <w:p w14:paraId="5994FA1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2F3A5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5735C6BD">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施工/安装图纸</w:t>
            </w:r>
          </w:p>
        </w:tc>
        <w:tc>
          <w:tcPr>
            <w:tcW w:w="1597" w:type="pct"/>
            <w:vAlign w:val="center"/>
          </w:tcPr>
          <w:p w14:paraId="5C1F12D2">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包括机械部分及电气部分。</w:t>
            </w:r>
          </w:p>
        </w:tc>
        <w:tc>
          <w:tcPr>
            <w:tcW w:w="1466" w:type="pct"/>
            <w:vAlign w:val="center"/>
          </w:tcPr>
          <w:p w14:paraId="1ABBBAC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46070E49">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设备进场前5个工作日</w:t>
            </w:r>
          </w:p>
        </w:tc>
        <w:tc>
          <w:tcPr>
            <w:tcW w:w="486" w:type="pct"/>
            <w:vAlign w:val="center"/>
          </w:tcPr>
          <w:p w14:paraId="63713207">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4970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074D3C47">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到货资料</w:t>
            </w:r>
          </w:p>
        </w:tc>
        <w:tc>
          <w:tcPr>
            <w:tcW w:w="1597" w:type="pct"/>
            <w:vAlign w:val="center"/>
          </w:tcPr>
          <w:p w14:paraId="2BC3C84E">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装箱单、合格证、原产地证明书。</w:t>
            </w:r>
          </w:p>
        </w:tc>
        <w:tc>
          <w:tcPr>
            <w:tcW w:w="1466" w:type="pct"/>
            <w:vAlign w:val="center"/>
          </w:tcPr>
          <w:p w14:paraId="1E16E5C8">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1套</w:t>
            </w:r>
          </w:p>
        </w:tc>
        <w:tc>
          <w:tcPr>
            <w:tcW w:w="826" w:type="pct"/>
            <w:vAlign w:val="center"/>
          </w:tcPr>
          <w:p w14:paraId="4520595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设备进场日</w:t>
            </w:r>
          </w:p>
        </w:tc>
        <w:tc>
          <w:tcPr>
            <w:tcW w:w="486" w:type="pct"/>
            <w:vAlign w:val="center"/>
          </w:tcPr>
          <w:p w14:paraId="0020429A">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47132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26743B85">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系统手册</w:t>
            </w:r>
          </w:p>
        </w:tc>
        <w:tc>
          <w:tcPr>
            <w:tcW w:w="1597" w:type="pct"/>
            <w:vAlign w:val="center"/>
          </w:tcPr>
          <w:p w14:paraId="34C68731">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包括主体设备及配套设备的操作、维护保养、维修、故障/报警的排查恢复等内容等。</w:t>
            </w:r>
          </w:p>
        </w:tc>
        <w:tc>
          <w:tcPr>
            <w:tcW w:w="1466" w:type="pct"/>
            <w:vAlign w:val="center"/>
          </w:tcPr>
          <w:p w14:paraId="44BC79DA">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套，附所有机器人随机光盘18张。</w:t>
            </w:r>
          </w:p>
        </w:tc>
        <w:tc>
          <w:tcPr>
            <w:tcW w:w="826" w:type="pct"/>
            <w:vAlign w:val="center"/>
          </w:tcPr>
          <w:p w14:paraId="08992583">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初验收前</w:t>
            </w:r>
          </w:p>
        </w:tc>
        <w:tc>
          <w:tcPr>
            <w:tcW w:w="486" w:type="pct"/>
            <w:vAlign w:val="center"/>
          </w:tcPr>
          <w:p w14:paraId="5DE76E6F">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1DE6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2294FE5A">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竣工图纸</w:t>
            </w:r>
          </w:p>
        </w:tc>
        <w:tc>
          <w:tcPr>
            <w:tcW w:w="1597" w:type="pct"/>
            <w:vAlign w:val="center"/>
          </w:tcPr>
          <w:p w14:paraId="55CC6DC3">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包括机械部分及电气部分，</w:t>
            </w:r>
          </w:p>
          <w:p w14:paraId="096ADF3D">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资料、备件及工具清单。</w:t>
            </w:r>
          </w:p>
        </w:tc>
        <w:tc>
          <w:tcPr>
            <w:tcW w:w="1466" w:type="pct"/>
            <w:vAlign w:val="center"/>
          </w:tcPr>
          <w:p w14:paraId="46183FFC">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0007D003">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初验收前</w:t>
            </w:r>
          </w:p>
        </w:tc>
        <w:tc>
          <w:tcPr>
            <w:tcW w:w="486" w:type="pct"/>
            <w:vAlign w:val="center"/>
          </w:tcPr>
          <w:p w14:paraId="67D23D98">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3639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61452D41">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说明书</w:t>
            </w:r>
          </w:p>
        </w:tc>
        <w:tc>
          <w:tcPr>
            <w:tcW w:w="1597" w:type="pct"/>
            <w:vAlign w:val="center"/>
          </w:tcPr>
          <w:p w14:paraId="15942AD8">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sz w:val="24"/>
                <w:szCs w:val="24"/>
              </w:rPr>
              <w:t>原始制造厂商提供的设备说明书.</w:t>
            </w:r>
          </w:p>
        </w:tc>
        <w:tc>
          <w:tcPr>
            <w:tcW w:w="1466" w:type="pct"/>
            <w:vAlign w:val="center"/>
          </w:tcPr>
          <w:p w14:paraId="4A18BB91">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1套</w:t>
            </w:r>
          </w:p>
        </w:tc>
        <w:tc>
          <w:tcPr>
            <w:tcW w:w="826" w:type="pct"/>
            <w:vAlign w:val="center"/>
          </w:tcPr>
          <w:p w14:paraId="78A0745B">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初验收前</w:t>
            </w:r>
          </w:p>
        </w:tc>
        <w:tc>
          <w:tcPr>
            <w:tcW w:w="486" w:type="pct"/>
            <w:vAlign w:val="center"/>
          </w:tcPr>
          <w:p w14:paraId="057D1A59">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23B6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623" w:type="pct"/>
            <w:vAlign w:val="center"/>
          </w:tcPr>
          <w:p w14:paraId="3F85312B">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程序说明</w:t>
            </w:r>
          </w:p>
        </w:tc>
        <w:tc>
          <w:tcPr>
            <w:tcW w:w="1597" w:type="pct"/>
            <w:vAlign w:val="center"/>
          </w:tcPr>
          <w:p w14:paraId="19F73136">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包括PLC程序及程序说明。</w:t>
            </w:r>
          </w:p>
        </w:tc>
        <w:tc>
          <w:tcPr>
            <w:tcW w:w="1466" w:type="pct"/>
            <w:vAlign w:val="center"/>
          </w:tcPr>
          <w:p w14:paraId="4B8496C5">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r>
              <w:rPr>
                <w:rFonts w:hint="eastAsia" w:ascii="宋体" w:hAnsi="宋体" w:eastAsia="宋体" w:cs="宋体"/>
                <w:sz w:val="24"/>
                <w:szCs w:val="24"/>
              </w:rPr>
              <w:t>另附全部程序光盘4张。</w:t>
            </w:r>
          </w:p>
        </w:tc>
        <w:tc>
          <w:tcPr>
            <w:tcW w:w="826" w:type="pct"/>
            <w:vAlign w:val="center"/>
          </w:tcPr>
          <w:p w14:paraId="13948FBB">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初验收前</w:t>
            </w:r>
          </w:p>
        </w:tc>
        <w:tc>
          <w:tcPr>
            <w:tcW w:w="486" w:type="pct"/>
            <w:vAlign w:val="center"/>
          </w:tcPr>
          <w:p w14:paraId="0872B140">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520E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1D9053C5">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调试报告</w:t>
            </w:r>
          </w:p>
        </w:tc>
        <w:tc>
          <w:tcPr>
            <w:tcW w:w="1597" w:type="pct"/>
            <w:vAlign w:val="center"/>
          </w:tcPr>
          <w:p w14:paraId="4F5E1997">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包括安装、调试及试运行三个阶段中出现的重大问题及造成的影响和最终解决办法。</w:t>
            </w:r>
          </w:p>
        </w:tc>
        <w:tc>
          <w:tcPr>
            <w:tcW w:w="1466" w:type="pct"/>
            <w:vAlign w:val="center"/>
          </w:tcPr>
          <w:p w14:paraId="2AF9438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460553F4">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初验收前</w:t>
            </w:r>
          </w:p>
        </w:tc>
        <w:tc>
          <w:tcPr>
            <w:tcW w:w="486" w:type="pct"/>
            <w:vAlign w:val="center"/>
          </w:tcPr>
          <w:p w14:paraId="78E5DD0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2E490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33CBCFF4">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初验收阶段报告</w:t>
            </w:r>
          </w:p>
        </w:tc>
        <w:tc>
          <w:tcPr>
            <w:tcW w:w="1597" w:type="pct"/>
            <w:vAlign w:val="center"/>
          </w:tcPr>
          <w:p w14:paraId="2BD414F5">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包括设备部分及资料部分。</w:t>
            </w:r>
          </w:p>
        </w:tc>
        <w:tc>
          <w:tcPr>
            <w:tcW w:w="1466" w:type="pct"/>
            <w:vAlign w:val="center"/>
          </w:tcPr>
          <w:p w14:paraId="5FA11CD0">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sv-SE"/>
              </w:rPr>
              <w:t>中英文技术资料各</w:t>
            </w:r>
            <w:r>
              <w:rPr>
                <w:rFonts w:hint="eastAsia" w:ascii="宋体" w:hAnsi="宋体" w:cs="宋体"/>
                <w:sz w:val="24"/>
                <w:szCs w:val="24"/>
                <w:lang w:val="en-US" w:eastAsia="zh-CN"/>
              </w:rPr>
              <w:t>4</w:t>
            </w:r>
            <w:r>
              <w:rPr>
                <w:rFonts w:hint="eastAsia" w:ascii="宋体" w:hAnsi="宋体" w:eastAsia="宋体" w:cs="宋体"/>
                <w:sz w:val="24"/>
                <w:szCs w:val="24"/>
                <w:lang w:val="sv-SE"/>
              </w:rPr>
              <w:t>套和电子版（可修改</w:t>
            </w:r>
            <w:r>
              <w:rPr>
                <w:rFonts w:hint="eastAsia" w:ascii="宋体" w:hAnsi="宋体" w:eastAsia="宋体" w:cs="宋体"/>
                <w:sz w:val="24"/>
                <w:szCs w:val="24"/>
              </w:rPr>
              <w:t>或PDF版本</w:t>
            </w:r>
            <w:r>
              <w:rPr>
                <w:rFonts w:hint="eastAsia" w:ascii="宋体" w:hAnsi="宋体" w:eastAsia="宋体" w:cs="宋体"/>
                <w:sz w:val="24"/>
                <w:szCs w:val="24"/>
                <w:lang w:val="sv-SE"/>
              </w:rPr>
              <w:t>）资料</w:t>
            </w:r>
            <w:r>
              <w:rPr>
                <w:rFonts w:hint="eastAsia" w:ascii="宋体" w:hAnsi="宋体" w:cs="宋体"/>
                <w:sz w:val="24"/>
                <w:szCs w:val="24"/>
                <w:lang w:val="en-US" w:eastAsia="zh-CN"/>
              </w:rPr>
              <w:t>2</w:t>
            </w:r>
            <w:r>
              <w:rPr>
                <w:rFonts w:hint="eastAsia" w:ascii="宋体" w:hAnsi="宋体" w:eastAsia="宋体" w:cs="宋体"/>
                <w:sz w:val="24"/>
                <w:szCs w:val="24"/>
                <w:lang w:val="sv-SE"/>
              </w:rPr>
              <w:t>套。</w:t>
            </w:r>
          </w:p>
        </w:tc>
        <w:tc>
          <w:tcPr>
            <w:tcW w:w="826" w:type="pct"/>
            <w:vAlign w:val="center"/>
          </w:tcPr>
          <w:p w14:paraId="3527EFCC">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初验收前</w:t>
            </w:r>
          </w:p>
        </w:tc>
        <w:tc>
          <w:tcPr>
            <w:tcW w:w="486" w:type="pct"/>
            <w:vAlign w:val="center"/>
          </w:tcPr>
          <w:p w14:paraId="2BCA1F63">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05BA8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50ECD5EC">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试喷报告</w:t>
            </w:r>
          </w:p>
        </w:tc>
        <w:tc>
          <w:tcPr>
            <w:tcW w:w="1597" w:type="pct"/>
            <w:vAlign w:val="center"/>
          </w:tcPr>
          <w:p w14:paraId="7D0A4F26">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包括参数设定/修订，缺陷原因分析及修正措施。</w:t>
            </w:r>
          </w:p>
        </w:tc>
        <w:tc>
          <w:tcPr>
            <w:tcW w:w="1466" w:type="pct"/>
            <w:vAlign w:val="center"/>
          </w:tcPr>
          <w:p w14:paraId="661FF1FF">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中文固定格式</w:t>
            </w:r>
          </w:p>
        </w:tc>
        <w:tc>
          <w:tcPr>
            <w:tcW w:w="826" w:type="pct"/>
            <w:vAlign w:val="center"/>
          </w:tcPr>
          <w:p w14:paraId="49BC4026">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每次喷涂</w:t>
            </w:r>
          </w:p>
        </w:tc>
        <w:tc>
          <w:tcPr>
            <w:tcW w:w="486" w:type="pct"/>
            <w:vAlign w:val="center"/>
          </w:tcPr>
          <w:p w14:paraId="75C79725">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514F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4B7C5608">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cs="宋体"/>
                <w:bCs/>
                <w:sz w:val="24"/>
                <w:szCs w:val="24"/>
                <w:lang w:eastAsia="zh-CN"/>
              </w:rPr>
              <w:t>调试验收</w:t>
            </w:r>
            <w:r>
              <w:rPr>
                <w:rFonts w:hint="eastAsia" w:ascii="宋体" w:hAnsi="宋体" w:eastAsia="宋体" w:cs="宋体"/>
                <w:bCs/>
                <w:sz w:val="24"/>
                <w:szCs w:val="24"/>
              </w:rPr>
              <w:t>报告</w:t>
            </w:r>
          </w:p>
        </w:tc>
        <w:tc>
          <w:tcPr>
            <w:tcW w:w="1597" w:type="pct"/>
            <w:vAlign w:val="center"/>
          </w:tcPr>
          <w:p w14:paraId="603AE7A5">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cs="宋体"/>
                <w:bCs/>
                <w:sz w:val="24"/>
                <w:szCs w:val="24"/>
                <w:lang w:eastAsia="zh-CN"/>
              </w:rPr>
              <w:t>调试验收</w:t>
            </w:r>
            <w:r>
              <w:rPr>
                <w:rFonts w:hint="eastAsia" w:ascii="宋体" w:hAnsi="宋体" w:eastAsia="宋体" w:cs="宋体"/>
                <w:bCs/>
                <w:sz w:val="24"/>
                <w:szCs w:val="24"/>
              </w:rPr>
              <w:t>申请</w:t>
            </w:r>
          </w:p>
        </w:tc>
        <w:tc>
          <w:tcPr>
            <w:tcW w:w="1466" w:type="pct"/>
            <w:vAlign w:val="center"/>
          </w:tcPr>
          <w:p w14:paraId="5CD0E363">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中文3套</w:t>
            </w:r>
          </w:p>
        </w:tc>
        <w:tc>
          <w:tcPr>
            <w:tcW w:w="826" w:type="pct"/>
            <w:vAlign w:val="center"/>
          </w:tcPr>
          <w:p w14:paraId="71A14A62">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cs="宋体"/>
                <w:bCs/>
                <w:sz w:val="24"/>
                <w:szCs w:val="24"/>
                <w:lang w:eastAsia="zh-CN"/>
              </w:rPr>
              <w:t>调试验收</w:t>
            </w:r>
            <w:r>
              <w:rPr>
                <w:rFonts w:hint="eastAsia" w:ascii="宋体" w:hAnsi="宋体" w:eastAsia="宋体" w:cs="宋体"/>
                <w:bCs/>
                <w:sz w:val="24"/>
                <w:szCs w:val="24"/>
              </w:rPr>
              <w:t>前</w:t>
            </w:r>
          </w:p>
        </w:tc>
        <w:tc>
          <w:tcPr>
            <w:tcW w:w="486" w:type="pct"/>
            <w:vAlign w:val="center"/>
          </w:tcPr>
          <w:p w14:paraId="1B4BED91">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w:t>
            </w:r>
          </w:p>
        </w:tc>
      </w:tr>
      <w:tr w14:paraId="60AE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3" w:type="pct"/>
            <w:vAlign w:val="center"/>
          </w:tcPr>
          <w:p w14:paraId="0FACFD3E">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工程及服务周报</w:t>
            </w:r>
          </w:p>
        </w:tc>
        <w:tc>
          <w:tcPr>
            <w:tcW w:w="1597" w:type="pct"/>
            <w:vAlign w:val="center"/>
          </w:tcPr>
          <w:p w14:paraId="0675D56F">
            <w:pPr>
              <w:pageBreakBefore w:val="0"/>
              <w:tabs>
                <w:tab w:val="left" w:pos="1980"/>
              </w:tabs>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 w:val="24"/>
                <w:szCs w:val="24"/>
              </w:rPr>
            </w:pPr>
            <w:r>
              <w:rPr>
                <w:rFonts w:hint="eastAsia" w:ascii="宋体" w:hAnsi="宋体" w:eastAsia="宋体" w:cs="宋体"/>
                <w:bCs/>
                <w:sz w:val="24"/>
                <w:szCs w:val="24"/>
              </w:rPr>
              <w:t>包括一周来的工程进度，主要工作，重大事件，需求事项以及对</w:t>
            </w:r>
            <w:r>
              <w:rPr>
                <w:rFonts w:hint="eastAsia" w:ascii="宋体" w:hAnsi="宋体" w:cs="宋体"/>
                <w:bCs/>
                <w:sz w:val="24"/>
                <w:szCs w:val="24"/>
                <w:lang w:eastAsia="zh-CN"/>
              </w:rPr>
              <w:t>招标人</w:t>
            </w:r>
            <w:r>
              <w:rPr>
                <w:rFonts w:hint="eastAsia" w:ascii="宋体" w:hAnsi="宋体" w:eastAsia="宋体" w:cs="宋体"/>
                <w:bCs/>
                <w:sz w:val="24"/>
                <w:szCs w:val="24"/>
              </w:rPr>
              <w:t>的建议。</w:t>
            </w:r>
          </w:p>
        </w:tc>
        <w:tc>
          <w:tcPr>
            <w:tcW w:w="1466" w:type="pct"/>
            <w:vAlign w:val="center"/>
          </w:tcPr>
          <w:p w14:paraId="7ABFD32A">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中文固定格式</w:t>
            </w:r>
          </w:p>
        </w:tc>
        <w:tc>
          <w:tcPr>
            <w:tcW w:w="826" w:type="pct"/>
            <w:vAlign w:val="center"/>
          </w:tcPr>
          <w:p w14:paraId="32376F63">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从进场直至陪产结束</w:t>
            </w:r>
          </w:p>
        </w:tc>
        <w:tc>
          <w:tcPr>
            <w:tcW w:w="486" w:type="pct"/>
            <w:vAlign w:val="center"/>
          </w:tcPr>
          <w:p w14:paraId="4141375E">
            <w:pPr>
              <w:pageBreakBefore w:val="0"/>
              <w:tabs>
                <w:tab w:val="left" w:pos="198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p w14:paraId="4E551B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p w14:paraId="62A46D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bl>
    <w:p w14:paraId="3265A6A2">
      <w:pPr>
        <w:pStyle w:val="17"/>
        <w:pageBreakBefore w:val="0"/>
        <w:numPr>
          <w:ilvl w:val="0"/>
          <w:numId w:val="20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设备线体主要元件品牌参考主要元器件清单。</w:t>
      </w:r>
    </w:p>
    <w:p w14:paraId="18676368">
      <w:pPr>
        <w:pStyle w:val="17"/>
        <w:pageBreakBefore w:val="0"/>
        <w:numPr>
          <w:ilvl w:val="0"/>
          <w:numId w:val="20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设备在设计过程中遇到其它未明确的各备件品牌，全部按主备件清单中使用的备件品牌，保证备件品牌统一。</w:t>
      </w:r>
    </w:p>
    <w:p w14:paraId="5E8D1008">
      <w:pPr>
        <w:pStyle w:val="17"/>
        <w:pageBreakBefore w:val="0"/>
        <w:numPr>
          <w:ilvl w:val="0"/>
          <w:numId w:val="20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备品备件清单（内容包括：型号、装机数量、价格），含随机备件、随机工具清单内容，但不局限此清单，</w:t>
      </w:r>
      <w:r>
        <w:rPr>
          <w:rFonts w:hint="eastAsia" w:ascii="宋体" w:hAnsi="宋体" w:cs="宋体"/>
          <w:lang w:eastAsia="zh-CN"/>
        </w:rPr>
        <w:t>投标人</w:t>
      </w:r>
      <w:r>
        <w:rPr>
          <w:rFonts w:hint="eastAsia" w:ascii="宋体" w:hAnsi="宋体" w:eastAsia="宋体" w:cs="宋体"/>
        </w:rPr>
        <w:t>提供随机备件和随机工具清单内容。</w:t>
      </w:r>
    </w:p>
    <w:p w14:paraId="261B0B4F">
      <w:pPr>
        <w:pStyle w:val="17"/>
        <w:pageBreakBefore w:val="0"/>
        <w:numPr>
          <w:ilvl w:val="0"/>
          <w:numId w:val="20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sz w:val="30"/>
          <w:szCs w:val="30"/>
          <w:lang w:val="en-US" w:eastAsia="zh-CN"/>
        </w:rPr>
      </w:pPr>
      <w:r>
        <w:rPr>
          <w:rFonts w:hint="eastAsia" w:ascii="宋体" w:hAnsi="宋体" w:eastAsia="宋体" w:cs="宋体"/>
        </w:rPr>
        <w:t>所有进口备件必须提供关税上缴证明（或相关的证明文件），并提供一级供应商资质证明（或与厂家直接购买的采购合同）。</w:t>
      </w:r>
    </w:p>
    <w:p w14:paraId="0E87E6E0">
      <w:pPr>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b/>
          <w:sz w:val="32"/>
          <w:szCs w:val="32"/>
          <w:lang w:val="en-US" w:eastAsia="zh-CN"/>
        </w:rPr>
      </w:pPr>
      <w:r>
        <w:rPr>
          <w:rFonts w:hint="eastAsia" w:ascii="宋体" w:hAnsi="宋体" w:eastAsia="宋体" w:cs="宋体"/>
          <w:b/>
          <w:sz w:val="30"/>
          <w:szCs w:val="30"/>
          <w:lang w:val="en-US" w:eastAsia="zh-CN"/>
        </w:rPr>
        <w:t>附件四</w:t>
      </w:r>
      <w:r>
        <w:rPr>
          <w:rFonts w:hint="eastAsia" w:ascii="宋体" w:hAnsi="宋体" w:cs="宋体"/>
          <w:b/>
          <w:sz w:val="30"/>
          <w:szCs w:val="30"/>
          <w:lang w:val="en-US" w:eastAsia="zh-CN"/>
        </w:rPr>
        <w:t>、</w:t>
      </w:r>
      <w:r>
        <w:rPr>
          <w:rFonts w:hint="eastAsia" w:ascii="宋体" w:hAnsi="宋体" w:eastAsia="宋体" w:cs="宋体"/>
          <w:b/>
          <w:sz w:val="30"/>
          <w:szCs w:val="30"/>
        </w:rPr>
        <w:t>涂装车间空调系统</w:t>
      </w:r>
      <w:r>
        <w:rPr>
          <w:rFonts w:hint="eastAsia" w:ascii="宋体" w:hAnsi="宋体" w:eastAsia="宋体" w:cs="宋体"/>
          <w:b/>
          <w:sz w:val="30"/>
          <w:szCs w:val="30"/>
          <w:lang w:val="en-US" w:eastAsia="zh-CN"/>
        </w:rPr>
        <w:t>技术要求</w:t>
      </w:r>
    </w:p>
    <w:p w14:paraId="1459D139">
      <w:pPr>
        <w:pStyle w:val="2"/>
        <w:pageBreakBefore w:val="0"/>
        <w:numPr>
          <w:ilvl w:val="0"/>
          <w:numId w:val="20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28" w:name="_Toc12372"/>
      <w:r>
        <w:rPr>
          <w:rFonts w:hint="eastAsia" w:ascii="宋体" w:hAnsi="宋体" w:eastAsia="宋体" w:cs="宋体"/>
          <w:b/>
          <w:bCs/>
          <w:sz w:val="24"/>
          <w:szCs w:val="24"/>
        </w:rPr>
        <w:t>项目前提说明</w:t>
      </w:r>
      <w:bookmarkEnd w:id="228"/>
    </w:p>
    <w:p w14:paraId="4A4A9085">
      <w:pPr>
        <w:pStyle w:val="3"/>
        <w:pageBreakBefore w:val="0"/>
        <w:numPr>
          <w:ilvl w:val="0"/>
          <w:numId w:val="20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目的</w:t>
      </w:r>
    </w:p>
    <w:p w14:paraId="283C108E">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bookmarkStart w:id="229" w:name="_Toc1038"/>
      <w:bookmarkStart w:id="230" w:name="_Toc26667"/>
      <w:r>
        <w:rPr>
          <w:rFonts w:hint="eastAsia" w:ascii="宋体" w:hAnsi="宋体" w:eastAsia="宋体" w:cs="宋体"/>
        </w:rPr>
        <w:t>本技术任务书主要针对南宁产投商用车涂装车间空调系统技改项目，对车间内空调系统设备设施等相关的技术要求进行明确，并作为履行合同的技术依据。</w:t>
      </w:r>
      <w:bookmarkEnd w:id="229"/>
      <w:bookmarkEnd w:id="230"/>
    </w:p>
    <w:p w14:paraId="5F6D6169">
      <w:pPr>
        <w:pStyle w:val="17"/>
        <w:pageBreakBefore w:val="0"/>
        <w:numPr>
          <w:ilvl w:val="0"/>
          <w:numId w:val="20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本技术任务书的目的是为了说明涂装车间空调系统技改项目的技术要求，以便顺利完成本项目。</w:t>
      </w:r>
      <w:r>
        <w:rPr>
          <w:rFonts w:hint="eastAsia" w:ascii="宋体" w:hAnsi="宋体" w:cs="宋体"/>
          <w:lang w:eastAsia="zh-CN"/>
        </w:rPr>
        <w:t>投标人</w:t>
      </w:r>
      <w:r>
        <w:rPr>
          <w:rFonts w:hint="eastAsia" w:ascii="宋体" w:hAnsi="宋体" w:eastAsia="宋体" w:cs="宋体"/>
        </w:rPr>
        <w:t>负责包括项目设备改造设计、制造、采购、运输、安装和调试等所有的内容。</w:t>
      </w:r>
      <w:r>
        <w:rPr>
          <w:rFonts w:hint="eastAsia" w:ascii="宋体" w:hAnsi="宋体" w:cs="宋体"/>
          <w:lang w:eastAsia="zh-CN"/>
        </w:rPr>
        <w:t>投标人</w:t>
      </w:r>
      <w:r>
        <w:rPr>
          <w:rFonts w:hint="eastAsia" w:ascii="宋体" w:hAnsi="宋体" w:eastAsia="宋体" w:cs="宋体"/>
        </w:rPr>
        <w:t>负责在改造完成后提供一个完整的工作系统，要求满足本技术任务书中明确的所有功能要求。</w:t>
      </w:r>
    </w:p>
    <w:p w14:paraId="07C27E2A">
      <w:pPr>
        <w:pStyle w:val="17"/>
        <w:pageBreakBefore w:val="0"/>
        <w:numPr>
          <w:ilvl w:val="0"/>
          <w:numId w:val="20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若本技术任务书中的内容出现相互对立的情况，则</w:t>
      </w:r>
      <w:r>
        <w:rPr>
          <w:rFonts w:hint="eastAsia" w:ascii="宋体" w:hAnsi="宋体" w:cs="宋体"/>
          <w:lang w:eastAsia="zh-CN"/>
        </w:rPr>
        <w:t>投标人</w:t>
      </w:r>
      <w:r>
        <w:rPr>
          <w:rFonts w:hint="eastAsia" w:ascii="宋体" w:hAnsi="宋体" w:eastAsia="宋体" w:cs="宋体"/>
        </w:rPr>
        <w:t>须遵循以下要求：遵循所有文件中要求最严格或标准要求最高的一个，国家、地区的所有法律法规须要满足，如果技术任务书中有内容和法律法规相冲突，则技术任务书中的此内容将被适用相应的法律法规。</w:t>
      </w:r>
    </w:p>
    <w:p w14:paraId="42ACB3E4">
      <w:pPr>
        <w:pStyle w:val="17"/>
        <w:pageBreakBefore w:val="0"/>
        <w:numPr>
          <w:ilvl w:val="0"/>
          <w:numId w:val="20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提供的项目设备系统应为全新的、符合相应国家标准且符合本合同目的的空调设备系统。</w:t>
      </w:r>
    </w:p>
    <w:p w14:paraId="2B72BBDE">
      <w:pPr>
        <w:pStyle w:val="3"/>
        <w:pageBreakBefore w:val="0"/>
        <w:numPr>
          <w:ilvl w:val="0"/>
          <w:numId w:val="20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现状</w:t>
      </w:r>
    </w:p>
    <w:p w14:paraId="472DF351">
      <w:pPr>
        <w:pageBreakBefore w:val="0"/>
        <w:numPr>
          <w:ilvl w:val="0"/>
          <w:numId w:val="205"/>
        </w:numPr>
        <w:kinsoku/>
        <w:wordWrap/>
        <w:topLinePunct w:val="0"/>
        <w:bidi w:val="0"/>
        <w:adjustRightInd w:val="0"/>
        <w:snapToGrid w:val="0"/>
        <w:spacing w:afterAutospacing="0" w:line="360" w:lineRule="auto"/>
        <w:ind w:left="0" w:leftChars="0"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现涂装车间空调设备主要内容：</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89"/>
        <w:gridCol w:w="528"/>
        <w:gridCol w:w="682"/>
        <w:gridCol w:w="529"/>
        <w:gridCol w:w="663"/>
        <w:gridCol w:w="663"/>
        <w:gridCol w:w="568"/>
        <w:gridCol w:w="821"/>
        <w:gridCol w:w="547"/>
        <w:gridCol w:w="547"/>
        <w:gridCol w:w="1849"/>
      </w:tblGrid>
      <w:tr w14:paraId="7811D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atLeast"/>
          <w:tblHeader/>
        </w:trPr>
        <w:tc>
          <w:tcPr>
            <w:tcW w:w="343" w:type="pct"/>
            <w:vAlign w:val="center"/>
          </w:tcPr>
          <w:p w14:paraId="497CC92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编号</w:t>
            </w:r>
          </w:p>
        </w:tc>
        <w:tc>
          <w:tcPr>
            <w:tcW w:w="823" w:type="pct"/>
            <w:vAlign w:val="center"/>
          </w:tcPr>
          <w:p w14:paraId="34B178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空调名称</w:t>
            </w:r>
          </w:p>
        </w:tc>
        <w:tc>
          <w:tcPr>
            <w:tcW w:w="274" w:type="pct"/>
            <w:vAlign w:val="center"/>
          </w:tcPr>
          <w:p w14:paraId="58462C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进风段</w:t>
            </w:r>
          </w:p>
        </w:tc>
        <w:tc>
          <w:tcPr>
            <w:tcW w:w="353" w:type="pct"/>
            <w:vAlign w:val="center"/>
          </w:tcPr>
          <w:p w14:paraId="463716C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漆雾过滤段</w:t>
            </w:r>
          </w:p>
        </w:tc>
        <w:tc>
          <w:tcPr>
            <w:tcW w:w="274" w:type="pct"/>
            <w:vAlign w:val="center"/>
          </w:tcPr>
          <w:p w14:paraId="490FBA19">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初效段</w:t>
            </w:r>
          </w:p>
        </w:tc>
        <w:tc>
          <w:tcPr>
            <w:tcW w:w="343" w:type="pct"/>
            <w:vAlign w:val="center"/>
          </w:tcPr>
          <w:p w14:paraId="0F3947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表</w:t>
            </w:r>
          </w:p>
          <w:p w14:paraId="7827EBC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冷</w:t>
            </w:r>
          </w:p>
          <w:p w14:paraId="6A5B9D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段</w:t>
            </w:r>
          </w:p>
        </w:tc>
        <w:tc>
          <w:tcPr>
            <w:tcW w:w="343" w:type="pct"/>
            <w:vAlign w:val="center"/>
          </w:tcPr>
          <w:p w14:paraId="34D4E8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天燃气加热段</w:t>
            </w:r>
          </w:p>
        </w:tc>
        <w:tc>
          <w:tcPr>
            <w:tcW w:w="294" w:type="pct"/>
            <w:vAlign w:val="center"/>
          </w:tcPr>
          <w:p w14:paraId="7AE2AC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加湿段</w:t>
            </w:r>
          </w:p>
        </w:tc>
        <w:tc>
          <w:tcPr>
            <w:tcW w:w="425" w:type="pct"/>
            <w:vAlign w:val="center"/>
          </w:tcPr>
          <w:p w14:paraId="6E80FA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热水加热段</w:t>
            </w:r>
          </w:p>
        </w:tc>
        <w:tc>
          <w:tcPr>
            <w:tcW w:w="283" w:type="pct"/>
            <w:vAlign w:val="center"/>
          </w:tcPr>
          <w:p w14:paraId="10F698F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中效段</w:t>
            </w:r>
          </w:p>
        </w:tc>
        <w:tc>
          <w:tcPr>
            <w:tcW w:w="283" w:type="pct"/>
            <w:vAlign w:val="center"/>
          </w:tcPr>
          <w:p w14:paraId="757057C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风机段</w:t>
            </w:r>
          </w:p>
        </w:tc>
        <w:tc>
          <w:tcPr>
            <w:tcW w:w="957" w:type="pct"/>
            <w:vAlign w:val="center"/>
          </w:tcPr>
          <w:p w14:paraId="210136A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7346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1D57E5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823" w:type="pct"/>
            <w:vAlign w:val="center"/>
          </w:tcPr>
          <w:p w14:paraId="69AC87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空调机组1</w:t>
            </w:r>
          </w:p>
        </w:tc>
        <w:tc>
          <w:tcPr>
            <w:tcW w:w="274" w:type="pct"/>
            <w:vAlign w:val="center"/>
          </w:tcPr>
          <w:p w14:paraId="10F9D0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53" w:type="pct"/>
            <w:vAlign w:val="center"/>
          </w:tcPr>
          <w:p w14:paraId="7775FE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096196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 xml:space="preserve">● </w:t>
            </w:r>
          </w:p>
        </w:tc>
        <w:tc>
          <w:tcPr>
            <w:tcW w:w="343" w:type="pct"/>
            <w:vAlign w:val="center"/>
          </w:tcPr>
          <w:p w14:paraId="5C9791C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75BD42"/>
                <w:sz w:val="24"/>
                <w:szCs w:val="24"/>
                <w:highlight w:val="yellow"/>
              </w:rPr>
            </w:pPr>
            <w:r>
              <w:rPr>
                <w:rFonts w:hint="eastAsia" w:ascii="宋体" w:hAnsi="宋体" w:eastAsia="宋体" w:cs="宋体"/>
                <w:sz w:val="24"/>
                <w:szCs w:val="24"/>
              </w:rPr>
              <w:t>/</w:t>
            </w:r>
          </w:p>
        </w:tc>
        <w:tc>
          <w:tcPr>
            <w:tcW w:w="343" w:type="pct"/>
            <w:vAlign w:val="center"/>
          </w:tcPr>
          <w:p w14:paraId="5054BE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vAlign w:val="center"/>
          </w:tcPr>
          <w:p w14:paraId="3A03280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425" w:type="pct"/>
            <w:vAlign w:val="center"/>
          </w:tcPr>
          <w:p w14:paraId="128390F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372C10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7CDE73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21DE71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p>
        </w:tc>
      </w:tr>
      <w:tr w14:paraId="5BA4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exact"/>
        </w:trPr>
        <w:tc>
          <w:tcPr>
            <w:tcW w:w="343" w:type="pct"/>
            <w:vAlign w:val="center"/>
          </w:tcPr>
          <w:p w14:paraId="421C228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823" w:type="pct"/>
            <w:vAlign w:val="center"/>
          </w:tcPr>
          <w:p w14:paraId="597F9F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bCs/>
                <w:sz w:val="24"/>
                <w:szCs w:val="24"/>
                <w:lang w:val="en-US" w:eastAsia="zh-CN"/>
              </w:rPr>
              <w:t>空调机组2</w:t>
            </w:r>
          </w:p>
        </w:tc>
        <w:tc>
          <w:tcPr>
            <w:tcW w:w="274" w:type="pct"/>
            <w:vAlign w:val="center"/>
          </w:tcPr>
          <w:p w14:paraId="29E974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53" w:type="pct"/>
            <w:vAlign w:val="center"/>
          </w:tcPr>
          <w:p w14:paraId="18D3523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2D95FA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791511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75BD42"/>
                <w:sz w:val="24"/>
                <w:szCs w:val="24"/>
                <w:highlight w:val="yellow"/>
              </w:rPr>
            </w:pPr>
            <w:r>
              <w:rPr>
                <w:rFonts w:hint="eastAsia" w:ascii="宋体" w:hAnsi="宋体" w:eastAsia="宋体" w:cs="宋体"/>
                <w:sz w:val="24"/>
                <w:szCs w:val="24"/>
              </w:rPr>
              <w:t>/</w:t>
            </w:r>
          </w:p>
        </w:tc>
        <w:tc>
          <w:tcPr>
            <w:tcW w:w="343" w:type="pct"/>
            <w:vAlign w:val="center"/>
          </w:tcPr>
          <w:p w14:paraId="23C9777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vAlign w:val="center"/>
          </w:tcPr>
          <w:p w14:paraId="2BE9BD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425" w:type="pct"/>
            <w:vAlign w:val="center"/>
          </w:tcPr>
          <w:p w14:paraId="11615F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4DB4928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BEABF6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00626B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D5C0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6B8C55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823" w:type="pct"/>
            <w:vAlign w:val="center"/>
          </w:tcPr>
          <w:p w14:paraId="0315DC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bCs/>
                <w:sz w:val="24"/>
                <w:szCs w:val="24"/>
                <w:lang w:val="en-US" w:eastAsia="zh-CN"/>
              </w:rPr>
              <w:t>空调机组3</w:t>
            </w:r>
          </w:p>
        </w:tc>
        <w:tc>
          <w:tcPr>
            <w:tcW w:w="274" w:type="pct"/>
            <w:vAlign w:val="center"/>
          </w:tcPr>
          <w:p w14:paraId="320E7E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53" w:type="pct"/>
            <w:vAlign w:val="center"/>
          </w:tcPr>
          <w:p w14:paraId="26620E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112117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5B433E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75BD42"/>
                <w:sz w:val="24"/>
                <w:szCs w:val="24"/>
                <w:highlight w:val="yellow"/>
              </w:rPr>
            </w:pPr>
            <w:r>
              <w:rPr>
                <w:rFonts w:hint="eastAsia" w:ascii="宋体" w:hAnsi="宋体" w:eastAsia="宋体" w:cs="宋体"/>
                <w:sz w:val="24"/>
                <w:szCs w:val="24"/>
              </w:rPr>
              <w:t>/</w:t>
            </w:r>
          </w:p>
        </w:tc>
        <w:tc>
          <w:tcPr>
            <w:tcW w:w="343" w:type="pct"/>
            <w:vAlign w:val="center"/>
          </w:tcPr>
          <w:p w14:paraId="044190C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vAlign w:val="center"/>
          </w:tcPr>
          <w:p w14:paraId="4D7E203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425" w:type="pct"/>
            <w:vAlign w:val="center"/>
          </w:tcPr>
          <w:p w14:paraId="169E37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0FD5A43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81F744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48F95B4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1CB1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5C27A5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23" w:type="pct"/>
            <w:vAlign w:val="center"/>
          </w:tcPr>
          <w:p w14:paraId="609A599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空调机组4</w:t>
            </w:r>
          </w:p>
        </w:tc>
        <w:tc>
          <w:tcPr>
            <w:tcW w:w="274" w:type="pct"/>
            <w:shd w:val="clear" w:color="auto" w:fill="auto"/>
            <w:vAlign w:val="center"/>
          </w:tcPr>
          <w:p w14:paraId="0B53DD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73EE4C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4FD603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19ED656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75BD42"/>
                <w:kern w:val="2"/>
                <w:sz w:val="24"/>
                <w:szCs w:val="24"/>
                <w:highlight w:val="yellow"/>
                <w:lang w:val="en-US" w:eastAsia="zh-CN" w:bidi="ar-SA"/>
              </w:rPr>
            </w:pPr>
            <w:r>
              <w:rPr>
                <w:rFonts w:hint="eastAsia" w:ascii="宋体" w:hAnsi="宋体" w:eastAsia="宋体" w:cs="宋体"/>
                <w:sz w:val="24"/>
                <w:szCs w:val="24"/>
              </w:rPr>
              <w:t>/</w:t>
            </w:r>
          </w:p>
        </w:tc>
        <w:tc>
          <w:tcPr>
            <w:tcW w:w="343" w:type="pct"/>
            <w:shd w:val="clear" w:color="auto" w:fill="auto"/>
            <w:vAlign w:val="center"/>
          </w:tcPr>
          <w:p w14:paraId="5E2A86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94" w:type="pct"/>
            <w:shd w:val="clear" w:color="auto" w:fill="auto"/>
            <w:vAlign w:val="center"/>
          </w:tcPr>
          <w:p w14:paraId="3B73E88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21F5897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29A847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70AB5F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shd w:val="clear" w:color="auto" w:fill="auto"/>
            <w:vAlign w:val="center"/>
          </w:tcPr>
          <w:p w14:paraId="333C52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p>
        </w:tc>
      </w:tr>
      <w:tr w14:paraId="609CF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1C363A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23" w:type="pct"/>
            <w:vAlign w:val="center"/>
          </w:tcPr>
          <w:p w14:paraId="634E33B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空调机组6</w:t>
            </w:r>
          </w:p>
        </w:tc>
        <w:tc>
          <w:tcPr>
            <w:tcW w:w="274" w:type="pct"/>
            <w:shd w:val="clear" w:color="auto" w:fill="auto"/>
            <w:vAlign w:val="center"/>
          </w:tcPr>
          <w:p w14:paraId="7C595D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247B693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433F6C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75ED5B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6B0717E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shd w:val="clear" w:color="auto" w:fill="auto"/>
            <w:vAlign w:val="center"/>
          </w:tcPr>
          <w:p w14:paraId="0731F3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352814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55A06E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52798AF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2AA284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p>
        </w:tc>
      </w:tr>
      <w:tr w14:paraId="1C24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7F8758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823" w:type="pct"/>
            <w:vAlign w:val="center"/>
          </w:tcPr>
          <w:p w14:paraId="02EF6F6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空调机组7</w:t>
            </w:r>
          </w:p>
        </w:tc>
        <w:tc>
          <w:tcPr>
            <w:tcW w:w="274" w:type="pct"/>
            <w:shd w:val="clear" w:color="auto" w:fill="auto"/>
            <w:vAlign w:val="center"/>
          </w:tcPr>
          <w:p w14:paraId="7A4854C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351BD0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13C90F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570759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3B8ABC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shd w:val="clear" w:color="auto" w:fill="auto"/>
            <w:vAlign w:val="center"/>
          </w:tcPr>
          <w:p w14:paraId="694492E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1B2D04B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6A9B0F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40D7F2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6780242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p>
        </w:tc>
      </w:tr>
      <w:tr w14:paraId="2F1F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5B3B0C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823" w:type="pct"/>
            <w:vAlign w:val="center"/>
          </w:tcPr>
          <w:p w14:paraId="307654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空调机组8</w:t>
            </w:r>
          </w:p>
        </w:tc>
        <w:tc>
          <w:tcPr>
            <w:tcW w:w="274" w:type="pct"/>
            <w:shd w:val="clear" w:color="auto" w:fill="auto"/>
            <w:vAlign w:val="center"/>
          </w:tcPr>
          <w:p w14:paraId="3D7A3D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4E78FAE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32C21A8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33EEA2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34019C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shd w:val="clear" w:color="auto" w:fill="auto"/>
            <w:vAlign w:val="center"/>
          </w:tcPr>
          <w:p w14:paraId="5348A0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0273C1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7F9EAC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05BFFD9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303ACDF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p>
        </w:tc>
      </w:tr>
      <w:tr w14:paraId="2165C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7ED4283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823" w:type="pct"/>
            <w:vAlign w:val="center"/>
          </w:tcPr>
          <w:p w14:paraId="78B3932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空调机组9</w:t>
            </w:r>
          </w:p>
        </w:tc>
        <w:tc>
          <w:tcPr>
            <w:tcW w:w="274" w:type="pct"/>
            <w:shd w:val="clear" w:color="auto" w:fill="auto"/>
            <w:vAlign w:val="center"/>
          </w:tcPr>
          <w:p w14:paraId="314E088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7292BD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7AA5DAA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5C7FF2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0117E0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4" w:type="pct"/>
            <w:shd w:val="clear" w:color="auto" w:fill="auto"/>
            <w:vAlign w:val="center"/>
          </w:tcPr>
          <w:p w14:paraId="608B21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18781D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7CA25AB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46BCED9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767AD23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p>
        </w:tc>
      </w:tr>
      <w:tr w14:paraId="60C09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1D9E421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823" w:type="pct"/>
            <w:shd w:val="clear" w:color="auto" w:fill="auto"/>
            <w:vAlign w:val="center"/>
          </w:tcPr>
          <w:p w14:paraId="62B363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空调机组10</w:t>
            </w:r>
          </w:p>
        </w:tc>
        <w:tc>
          <w:tcPr>
            <w:tcW w:w="274" w:type="pct"/>
            <w:shd w:val="clear" w:color="auto" w:fill="auto"/>
            <w:vAlign w:val="center"/>
          </w:tcPr>
          <w:p w14:paraId="0A098D4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shd w:val="clear" w:color="auto" w:fill="auto"/>
            <w:vAlign w:val="center"/>
          </w:tcPr>
          <w:p w14:paraId="2E50CE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74" w:type="pct"/>
            <w:shd w:val="clear" w:color="auto" w:fill="auto"/>
            <w:vAlign w:val="center"/>
          </w:tcPr>
          <w:p w14:paraId="068C52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5E8CE71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6B81A1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94" w:type="pct"/>
            <w:shd w:val="clear" w:color="auto" w:fill="auto"/>
            <w:vAlign w:val="center"/>
          </w:tcPr>
          <w:p w14:paraId="6EE685F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3D798DC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77C95E5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6BAA96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957" w:type="pct"/>
            <w:shd w:val="clear" w:color="auto" w:fill="auto"/>
            <w:vAlign w:val="center"/>
          </w:tcPr>
          <w:p w14:paraId="45A58C3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kern w:val="2"/>
                <w:sz w:val="24"/>
                <w:szCs w:val="24"/>
                <w:lang w:val="en-US" w:eastAsia="zh-CN" w:bidi="ar-SA"/>
              </w:rPr>
            </w:pPr>
          </w:p>
        </w:tc>
      </w:tr>
      <w:tr w14:paraId="214B2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16EF7D2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823" w:type="pct"/>
            <w:shd w:val="clear" w:color="auto" w:fill="auto"/>
            <w:vAlign w:val="center"/>
          </w:tcPr>
          <w:p w14:paraId="4BD4C98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空调机组11</w:t>
            </w:r>
          </w:p>
        </w:tc>
        <w:tc>
          <w:tcPr>
            <w:tcW w:w="274" w:type="pct"/>
            <w:shd w:val="clear" w:color="auto" w:fill="auto"/>
            <w:vAlign w:val="center"/>
          </w:tcPr>
          <w:p w14:paraId="121CA1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shd w:val="clear" w:color="auto" w:fill="auto"/>
            <w:vAlign w:val="center"/>
          </w:tcPr>
          <w:p w14:paraId="0A4DE2C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74" w:type="pct"/>
            <w:shd w:val="clear" w:color="auto" w:fill="auto"/>
            <w:vAlign w:val="center"/>
          </w:tcPr>
          <w:p w14:paraId="241D6B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33A04B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2A782E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94" w:type="pct"/>
            <w:shd w:val="clear" w:color="auto" w:fill="auto"/>
            <w:vAlign w:val="center"/>
          </w:tcPr>
          <w:p w14:paraId="683A566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218136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1292598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24E66D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957" w:type="pct"/>
            <w:shd w:val="clear" w:color="auto" w:fill="auto"/>
            <w:vAlign w:val="center"/>
          </w:tcPr>
          <w:p w14:paraId="37F9A26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kern w:val="2"/>
                <w:sz w:val="24"/>
                <w:szCs w:val="24"/>
                <w:lang w:val="en-US" w:eastAsia="zh-CN" w:bidi="ar-SA"/>
              </w:rPr>
            </w:pPr>
          </w:p>
        </w:tc>
      </w:tr>
      <w:tr w14:paraId="6668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43" w:type="pct"/>
            <w:vAlign w:val="center"/>
          </w:tcPr>
          <w:p w14:paraId="744CBB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823" w:type="pct"/>
            <w:shd w:val="clear" w:color="auto" w:fill="auto"/>
            <w:vAlign w:val="center"/>
          </w:tcPr>
          <w:p w14:paraId="1DEBB2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空调机组14</w:t>
            </w:r>
          </w:p>
        </w:tc>
        <w:tc>
          <w:tcPr>
            <w:tcW w:w="274" w:type="pct"/>
            <w:shd w:val="clear" w:color="auto" w:fill="auto"/>
            <w:vAlign w:val="center"/>
          </w:tcPr>
          <w:p w14:paraId="51416C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shd w:val="clear" w:color="auto" w:fill="auto"/>
            <w:vAlign w:val="center"/>
          </w:tcPr>
          <w:p w14:paraId="270C9A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74" w:type="pct"/>
            <w:shd w:val="clear" w:color="auto" w:fill="auto"/>
            <w:vAlign w:val="center"/>
          </w:tcPr>
          <w:p w14:paraId="4393CFD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430C7D2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5DDA0D1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94" w:type="pct"/>
            <w:shd w:val="clear" w:color="auto" w:fill="auto"/>
            <w:vAlign w:val="center"/>
          </w:tcPr>
          <w:p w14:paraId="0A516B3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524B30E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171A892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3643CCA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957" w:type="pct"/>
            <w:shd w:val="clear" w:color="auto" w:fill="auto"/>
            <w:vAlign w:val="center"/>
          </w:tcPr>
          <w:p w14:paraId="1D47A62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kern w:val="2"/>
                <w:sz w:val="24"/>
                <w:szCs w:val="24"/>
                <w:lang w:val="en-US" w:eastAsia="zh-CN" w:bidi="ar-SA"/>
              </w:rPr>
            </w:pPr>
          </w:p>
        </w:tc>
      </w:tr>
    </w:tbl>
    <w:p w14:paraId="65A0380C">
      <w:pPr>
        <w:pageBreakBefore w:val="0"/>
        <w:numPr>
          <w:ilvl w:val="0"/>
          <w:numId w:val="205"/>
        </w:numPr>
        <w:kinsoku/>
        <w:wordWrap/>
        <w:topLinePunct w:val="0"/>
        <w:bidi w:val="0"/>
        <w:adjustRightInd w:val="0"/>
        <w:snapToGrid w:val="0"/>
        <w:spacing w:afterAutospacing="0" w:line="360" w:lineRule="auto"/>
        <w:ind w:left="0" w:leftChars="0" w:firstLine="0" w:firstLineChars="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改造内容（供货范围）</w:t>
      </w:r>
    </w:p>
    <w:p w14:paraId="17A3FDDD">
      <w:pPr>
        <w:pageBreakBefore w:val="0"/>
        <w:numPr>
          <w:ilvl w:val="0"/>
          <w:numId w:val="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改造内容如下：原空调机组1、2、3，做工位送风使用，按降温5℃考虑；原空调机组4增加表冷段、天热加热段、加湿段、热水加热段，改造后作为喷漆室送风空调，原空调机组6、7、8利旧使用；原空调机组9改造后拆除，或作为工位排风过滤箱使用；</w:t>
      </w:r>
    </w:p>
    <w:p w14:paraId="26783028">
      <w:pPr>
        <w:pageBreakBefore w:val="0"/>
        <w:numPr>
          <w:ilvl w:val="0"/>
          <w:numId w:val="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color w:val="000000"/>
          <w:kern w:val="2"/>
          <w:sz w:val="24"/>
          <w:szCs w:val="24"/>
          <w:lang w:val="en-US" w:eastAsia="zh-CN" w:bidi="ar-SA"/>
        </w:rPr>
        <w:t>原空调机组10、11、14做工位送风使用，按降温5℃考虑；新增喷漆室循环风空调4台。</w:t>
      </w:r>
    </w:p>
    <w:p w14:paraId="112190F8">
      <w:pPr>
        <w:pStyle w:val="3"/>
        <w:pageBreakBefore w:val="0"/>
        <w:numPr>
          <w:ilvl w:val="0"/>
          <w:numId w:val="20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lang w:eastAsia="zh-CN"/>
        </w:rPr>
        <w:t>招标人</w:t>
      </w:r>
      <w:r>
        <w:rPr>
          <w:rFonts w:hint="eastAsia" w:ascii="宋体" w:hAnsi="宋体" w:eastAsia="宋体" w:cs="宋体"/>
          <w:b/>
          <w:bCs/>
          <w:sz w:val="24"/>
          <w:szCs w:val="24"/>
        </w:rPr>
        <w:t>生产条件</w:t>
      </w:r>
    </w:p>
    <w:p w14:paraId="0B76C225">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环境温度：5～39℃；</w:t>
      </w:r>
    </w:p>
    <w:p w14:paraId="25FF03E9">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动力电源：三相五线制：380V±10％，50Hz±1%；</w:t>
      </w:r>
    </w:p>
    <w:p w14:paraId="08CB3B07">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环境湿度：≤95％；</w:t>
      </w:r>
    </w:p>
    <w:p w14:paraId="6D7FF0E7">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气源压力：0.5～0.65 MPa。</w:t>
      </w:r>
    </w:p>
    <w:p w14:paraId="6F8076A6">
      <w:pPr>
        <w:pStyle w:val="3"/>
        <w:pageBreakBefore w:val="0"/>
        <w:numPr>
          <w:ilvl w:val="0"/>
          <w:numId w:val="20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31" w:name="_Toc4347_WPSOffice_Level2"/>
      <w:r>
        <w:rPr>
          <w:rFonts w:hint="eastAsia" w:ascii="宋体" w:hAnsi="宋体" w:eastAsia="宋体" w:cs="宋体"/>
          <w:b/>
          <w:bCs/>
          <w:sz w:val="24"/>
          <w:szCs w:val="24"/>
        </w:rPr>
        <w:t>气象参考参数</w:t>
      </w:r>
      <w:bookmarkEnd w:id="231"/>
    </w:p>
    <w:p w14:paraId="68AE6FB7">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冬季：</w:t>
      </w:r>
      <w:r>
        <w:rPr>
          <w:rFonts w:hint="eastAsia" w:ascii="宋体" w:hAnsi="宋体" w:eastAsia="宋体" w:cs="宋体"/>
          <w:color w:val="auto"/>
          <w:highlight w:val="none"/>
        </w:rPr>
        <w:tab/>
      </w:r>
      <w:r>
        <w:rPr>
          <w:rFonts w:hint="eastAsia" w:ascii="宋体" w:hAnsi="宋体" w:eastAsia="宋体" w:cs="宋体"/>
          <w:color w:val="auto"/>
          <w:highlight w:val="none"/>
        </w:rPr>
        <w:t>干球温度：5.7℃   相对湿度：78%</w:t>
      </w:r>
    </w:p>
    <w:p w14:paraId="43AAC36D">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夏季：干球温度：34.5℃  湿球温度：27.9℃</w:t>
      </w:r>
    </w:p>
    <w:p w14:paraId="312B89C6">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大气压力：夏季：100.678kPa；冬季：100.688kPa。（</w:t>
      </w:r>
      <w:r>
        <w:rPr>
          <w:rFonts w:hint="eastAsia" w:ascii="宋体" w:hAnsi="宋体" w:cs="宋体"/>
          <w:lang w:eastAsia="zh-CN"/>
        </w:rPr>
        <w:t>招标人</w:t>
      </w:r>
      <w:r>
        <w:rPr>
          <w:rFonts w:hint="eastAsia" w:ascii="宋体" w:hAnsi="宋体" w:eastAsia="宋体" w:cs="宋体"/>
        </w:rPr>
        <w:t>提供的气象条件仅供参考，</w:t>
      </w:r>
      <w:r>
        <w:rPr>
          <w:rFonts w:hint="eastAsia" w:ascii="宋体" w:hAnsi="宋体" w:cs="宋体"/>
          <w:lang w:eastAsia="zh-CN"/>
        </w:rPr>
        <w:t>投标人</w:t>
      </w:r>
      <w:r>
        <w:rPr>
          <w:rFonts w:hint="eastAsia" w:ascii="宋体" w:hAnsi="宋体" w:eastAsia="宋体" w:cs="宋体"/>
        </w:rPr>
        <w:t>在设计时应考虑当地的极端温度）。</w:t>
      </w:r>
    </w:p>
    <w:p w14:paraId="6E765305">
      <w:pPr>
        <w:pStyle w:val="3"/>
        <w:pageBreakBefore w:val="0"/>
        <w:numPr>
          <w:ilvl w:val="0"/>
          <w:numId w:val="20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32" w:name="_Toc16473_WPSOffice_Level2"/>
      <w:r>
        <w:rPr>
          <w:rFonts w:hint="eastAsia" w:ascii="宋体" w:hAnsi="宋体" w:eastAsia="宋体" w:cs="宋体"/>
          <w:b/>
          <w:bCs/>
          <w:sz w:val="24"/>
          <w:szCs w:val="24"/>
        </w:rPr>
        <w:t>能源供应参数</w:t>
      </w:r>
      <w:bookmarkEnd w:id="232"/>
    </w:p>
    <w:tbl>
      <w:tblPr>
        <w:tblStyle w:val="44"/>
        <w:tblW w:w="4999" w:type="pct"/>
        <w:jc w:val="center"/>
        <w:shd w:val="clear" w:color="auto" w:fill="auto"/>
        <w:tblLayout w:type="autofit"/>
        <w:tblCellMar>
          <w:top w:w="0" w:type="dxa"/>
          <w:left w:w="108" w:type="dxa"/>
          <w:bottom w:w="0" w:type="dxa"/>
          <w:right w:w="108" w:type="dxa"/>
        </w:tblCellMar>
      </w:tblPr>
      <w:tblGrid>
        <w:gridCol w:w="828"/>
        <w:gridCol w:w="2997"/>
        <w:gridCol w:w="2999"/>
        <w:gridCol w:w="2828"/>
      </w:tblGrid>
      <w:tr w14:paraId="068A9033">
        <w:tblPrEx>
          <w:shd w:val="clear" w:color="auto" w:fill="auto"/>
          <w:tblCellMar>
            <w:top w:w="0" w:type="dxa"/>
            <w:left w:w="108" w:type="dxa"/>
            <w:bottom w:w="0" w:type="dxa"/>
            <w:right w:w="108" w:type="dxa"/>
          </w:tblCellMar>
        </w:tblPrEx>
        <w:trPr>
          <w:trHeight w:val="454" w:hRule="atLeast"/>
          <w:jc w:val="center"/>
        </w:trPr>
        <w:tc>
          <w:tcPr>
            <w:tcW w:w="42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56765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项目</w:t>
            </w:r>
          </w:p>
        </w:tc>
        <w:tc>
          <w:tcPr>
            <w:tcW w:w="1552" w:type="pct"/>
            <w:tcBorders>
              <w:top w:val="single" w:color="auto" w:sz="4" w:space="0"/>
              <w:left w:val="nil"/>
              <w:bottom w:val="single" w:color="auto" w:sz="4" w:space="0"/>
              <w:right w:val="single" w:color="auto" w:sz="4" w:space="0"/>
            </w:tcBorders>
            <w:shd w:val="clear" w:color="auto" w:fill="auto"/>
            <w:noWrap/>
            <w:vAlign w:val="center"/>
          </w:tcPr>
          <w:p w14:paraId="16073EF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工业用水</w:t>
            </w:r>
          </w:p>
        </w:tc>
        <w:tc>
          <w:tcPr>
            <w:tcW w:w="1553" w:type="pct"/>
            <w:tcBorders>
              <w:top w:val="single" w:color="auto" w:sz="4" w:space="0"/>
              <w:left w:val="nil"/>
              <w:bottom w:val="single" w:color="auto" w:sz="4" w:space="0"/>
              <w:right w:val="single" w:color="auto" w:sz="4" w:space="0"/>
            </w:tcBorders>
            <w:shd w:val="clear" w:color="auto" w:fill="auto"/>
            <w:noWrap/>
            <w:vAlign w:val="center"/>
          </w:tcPr>
          <w:p w14:paraId="502508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电</w:t>
            </w:r>
          </w:p>
        </w:tc>
        <w:tc>
          <w:tcPr>
            <w:tcW w:w="1464" w:type="pct"/>
            <w:tcBorders>
              <w:top w:val="single" w:color="auto" w:sz="4" w:space="0"/>
              <w:left w:val="nil"/>
              <w:bottom w:val="single" w:color="auto" w:sz="4" w:space="0"/>
              <w:right w:val="single" w:color="auto" w:sz="4" w:space="0"/>
            </w:tcBorders>
            <w:shd w:val="clear" w:color="auto" w:fill="auto"/>
            <w:noWrap/>
            <w:vAlign w:val="center"/>
          </w:tcPr>
          <w:p w14:paraId="2B42E4F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压缩空气</w:t>
            </w:r>
          </w:p>
        </w:tc>
      </w:tr>
      <w:tr w14:paraId="5C734A1E">
        <w:tblPrEx>
          <w:tblCellMar>
            <w:top w:w="0" w:type="dxa"/>
            <w:left w:w="108" w:type="dxa"/>
            <w:bottom w:w="0" w:type="dxa"/>
            <w:right w:w="108" w:type="dxa"/>
          </w:tblCellMar>
        </w:tblPrEx>
        <w:trPr>
          <w:trHeight w:val="183" w:hRule="atLeast"/>
          <w:jc w:val="center"/>
        </w:trPr>
        <w:tc>
          <w:tcPr>
            <w:tcW w:w="429" w:type="pct"/>
            <w:tcBorders>
              <w:top w:val="nil"/>
              <w:left w:val="single" w:color="auto" w:sz="4" w:space="0"/>
              <w:bottom w:val="single" w:color="auto" w:sz="4" w:space="0"/>
              <w:right w:val="single" w:color="auto" w:sz="4" w:space="0"/>
            </w:tcBorders>
            <w:shd w:val="clear" w:color="auto" w:fill="auto"/>
            <w:noWrap/>
            <w:vAlign w:val="center"/>
          </w:tcPr>
          <w:p w14:paraId="73077EE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参数</w:t>
            </w:r>
          </w:p>
        </w:tc>
        <w:tc>
          <w:tcPr>
            <w:tcW w:w="1552" w:type="pct"/>
            <w:tcBorders>
              <w:top w:val="nil"/>
              <w:left w:val="nil"/>
              <w:bottom w:val="single" w:color="auto" w:sz="4" w:space="0"/>
              <w:right w:val="single" w:color="auto" w:sz="4" w:space="0"/>
            </w:tcBorders>
            <w:shd w:val="clear" w:color="auto" w:fill="auto"/>
            <w:noWrap/>
            <w:vAlign w:val="center"/>
          </w:tcPr>
          <w:p w14:paraId="58A24C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0.2MPa</w:t>
            </w:r>
            <w:r>
              <w:rPr>
                <w:rFonts w:hint="eastAsia" w:ascii="宋体" w:hAnsi="宋体" w:eastAsia="宋体" w:cs="宋体"/>
                <w:sz w:val="24"/>
                <w:szCs w:val="24"/>
              </w:rPr>
              <w:t>～</w:t>
            </w:r>
            <w:r>
              <w:rPr>
                <w:rFonts w:hint="eastAsia" w:ascii="宋体" w:hAnsi="宋体" w:eastAsia="宋体" w:cs="宋体"/>
                <w:kern w:val="0"/>
                <w:sz w:val="24"/>
                <w:szCs w:val="24"/>
              </w:rPr>
              <w:t>0.3MPa</w:t>
            </w:r>
          </w:p>
        </w:tc>
        <w:tc>
          <w:tcPr>
            <w:tcW w:w="1553" w:type="pct"/>
            <w:tcBorders>
              <w:top w:val="nil"/>
              <w:left w:val="nil"/>
              <w:bottom w:val="single" w:color="auto" w:sz="4" w:space="0"/>
              <w:right w:val="single" w:color="auto" w:sz="4" w:space="0"/>
            </w:tcBorders>
            <w:shd w:val="clear" w:color="auto" w:fill="auto"/>
            <w:vAlign w:val="center"/>
          </w:tcPr>
          <w:p w14:paraId="57E9833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三相：AC380V×50Hz</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单相：AC220V×50Hz</w:t>
            </w:r>
          </w:p>
        </w:tc>
        <w:tc>
          <w:tcPr>
            <w:tcW w:w="1464" w:type="pct"/>
            <w:tcBorders>
              <w:top w:val="nil"/>
              <w:left w:val="nil"/>
              <w:bottom w:val="single" w:color="auto" w:sz="4" w:space="0"/>
              <w:right w:val="single" w:color="auto" w:sz="4" w:space="0"/>
            </w:tcBorders>
            <w:shd w:val="clear" w:color="auto" w:fill="auto"/>
            <w:noWrap/>
            <w:vAlign w:val="center"/>
          </w:tcPr>
          <w:p w14:paraId="05ADFED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0.6MPa</w:t>
            </w:r>
            <w:r>
              <w:rPr>
                <w:rFonts w:hint="eastAsia" w:ascii="宋体" w:hAnsi="宋体" w:eastAsia="宋体" w:cs="宋体"/>
                <w:sz w:val="24"/>
                <w:szCs w:val="24"/>
              </w:rPr>
              <w:t>～</w:t>
            </w:r>
            <w:r>
              <w:rPr>
                <w:rFonts w:hint="eastAsia" w:ascii="宋体" w:hAnsi="宋体" w:eastAsia="宋体" w:cs="宋体"/>
                <w:kern w:val="0"/>
                <w:sz w:val="24"/>
                <w:szCs w:val="24"/>
              </w:rPr>
              <w:t>0.7MPa</w:t>
            </w:r>
          </w:p>
        </w:tc>
      </w:tr>
      <w:tr w14:paraId="0D9A8F5A">
        <w:tblPrEx>
          <w:shd w:val="clear" w:color="auto" w:fill="auto"/>
          <w:tblCellMar>
            <w:top w:w="0" w:type="dxa"/>
            <w:left w:w="108" w:type="dxa"/>
            <w:bottom w:w="0" w:type="dxa"/>
            <w:right w:w="108" w:type="dxa"/>
          </w:tblCellMar>
        </w:tblPrEx>
        <w:trPr>
          <w:trHeight w:val="454" w:hRule="atLeast"/>
          <w:jc w:val="center"/>
        </w:trPr>
        <w:tc>
          <w:tcPr>
            <w:tcW w:w="429" w:type="pct"/>
            <w:tcBorders>
              <w:top w:val="nil"/>
              <w:left w:val="single" w:color="auto" w:sz="4" w:space="0"/>
              <w:bottom w:val="single" w:color="auto" w:sz="4" w:space="0"/>
              <w:right w:val="single" w:color="auto" w:sz="4" w:space="0"/>
            </w:tcBorders>
            <w:shd w:val="clear" w:color="auto" w:fill="auto"/>
            <w:noWrap/>
            <w:vAlign w:val="center"/>
          </w:tcPr>
          <w:p w14:paraId="5A138FB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项目</w:t>
            </w:r>
          </w:p>
        </w:tc>
        <w:tc>
          <w:tcPr>
            <w:tcW w:w="1552" w:type="pct"/>
            <w:tcBorders>
              <w:top w:val="nil"/>
              <w:left w:val="nil"/>
              <w:bottom w:val="single" w:color="auto" w:sz="4" w:space="0"/>
              <w:right w:val="single" w:color="auto" w:sz="4" w:space="0"/>
            </w:tcBorders>
            <w:shd w:val="clear" w:color="auto" w:fill="auto"/>
            <w:noWrap/>
            <w:vAlign w:val="center"/>
          </w:tcPr>
          <w:p w14:paraId="210C39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天然气</w:t>
            </w:r>
          </w:p>
        </w:tc>
        <w:tc>
          <w:tcPr>
            <w:tcW w:w="1553" w:type="pct"/>
            <w:tcBorders>
              <w:top w:val="nil"/>
              <w:left w:val="nil"/>
              <w:bottom w:val="single" w:color="auto" w:sz="4" w:space="0"/>
              <w:right w:val="single" w:color="auto" w:sz="4" w:space="0"/>
            </w:tcBorders>
            <w:shd w:val="clear" w:color="auto" w:fill="auto"/>
            <w:noWrap/>
            <w:vAlign w:val="center"/>
          </w:tcPr>
          <w:p w14:paraId="5A1358B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热水</w:t>
            </w:r>
          </w:p>
        </w:tc>
        <w:tc>
          <w:tcPr>
            <w:tcW w:w="1464" w:type="pct"/>
            <w:tcBorders>
              <w:top w:val="nil"/>
              <w:left w:val="nil"/>
              <w:bottom w:val="single" w:color="auto" w:sz="4" w:space="0"/>
              <w:right w:val="single" w:color="auto" w:sz="4" w:space="0"/>
            </w:tcBorders>
            <w:shd w:val="clear" w:color="auto" w:fill="auto"/>
            <w:noWrap/>
            <w:vAlign w:val="center"/>
          </w:tcPr>
          <w:p w14:paraId="3EC63E1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冷冻水</w:t>
            </w:r>
          </w:p>
        </w:tc>
      </w:tr>
      <w:tr w14:paraId="678D69A8">
        <w:tblPrEx>
          <w:shd w:val="clear" w:color="auto" w:fill="auto"/>
          <w:tblCellMar>
            <w:top w:w="0" w:type="dxa"/>
            <w:left w:w="108" w:type="dxa"/>
            <w:bottom w:w="0" w:type="dxa"/>
            <w:right w:w="108" w:type="dxa"/>
          </w:tblCellMar>
        </w:tblPrEx>
        <w:trPr>
          <w:trHeight w:val="1398" w:hRule="atLeast"/>
          <w:jc w:val="center"/>
        </w:trPr>
        <w:tc>
          <w:tcPr>
            <w:tcW w:w="429" w:type="pct"/>
            <w:tcBorders>
              <w:top w:val="nil"/>
              <w:left w:val="single" w:color="auto" w:sz="4" w:space="0"/>
              <w:bottom w:val="single" w:color="auto" w:sz="4" w:space="0"/>
              <w:right w:val="single" w:color="auto" w:sz="4" w:space="0"/>
            </w:tcBorders>
            <w:shd w:val="clear" w:color="auto" w:fill="auto"/>
            <w:noWrap/>
            <w:vAlign w:val="center"/>
          </w:tcPr>
          <w:p w14:paraId="17348FE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参数</w:t>
            </w:r>
          </w:p>
        </w:tc>
        <w:tc>
          <w:tcPr>
            <w:tcW w:w="1552" w:type="pct"/>
            <w:tcBorders>
              <w:top w:val="nil"/>
              <w:left w:val="nil"/>
              <w:bottom w:val="single" w:color="auto" w:sz="4" w:space="0"/>
              <w:right w:val="single" w:color="auto" w:sz="4" w:space="0"/>
            </w:tcBorders>
            <w:shd w:val="clear" w:color="auto" w:fill="auto"/>
            <w:vAlign w:val="center"/>
          </w:tcPr>
          <w:p w14:paraId="2E444CD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热值：约8500kcal/Nm³</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压力：0.03MPa</w:t>
            </w:r>
            <w:r>
              <w:rPr>
                <w:rFonts w:hint="eastAsia" w:ascii="宋体" w:hAnsi="宋体" w:eastAsia="宋体" w:cs="宋体"/>
                <w:sz w:val="24"/>
                <w:szCs w:val="24"/>
              </w:rPr>
              <w:t>～</w:t>
            </w:r>
            <w:r>
              <w:rPr>
                <w:rFonts w:hint="eastAsia" w:ascii="宋体" w:hAnsi="宋体" w:eastAsia="宋体" w:cs="宋体"/>
                <w:kern w:val="0"/>
                <w:sz w:val="24"/>
                <w:szCs w:val="24"/>
              </w:rPr>
              <w:t>0.05MPa</w:t>
            </w:r>
          </w:p>
        </w:tc>
        <w:tc>
          <w:tcPr>
            <w:tcW w:w="1553" w:type="pct"/>
            <w:tcBorders>
              <w:top w:val="nil"/>
              <w:left w:val="nil"/>
              <w:bottom w:val="single" w:color="auto" w:sz="4" w:space="0"/>
              <w:right w:val="single" w:color="auto" w:sz="4" w:space="0"/>
            </w:tcBorders>
            <w:shd w:val="clear" w:color="auto" w:fill="auto"/>
            <w:vAlign w:val="center"/>
          </w:tcPr>
          <w:p w14:paraId="300B1C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压力：0.</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MPa</w:t>
            </w:r>
            <w:r>
              <w:rPr>
                <w:rFonts w:hint="eastAsia" w:ascii="宋体" w:hAnsi="宋体" w:eastAsia="宋体" w:cs="宋体"/>
                <w:sz w:val="24"/>
                <w:szCs w:val="24"/>
              </w:rPr>
              <w:t>～</w:t>
            </w:r>
            <w:r>
              <w:rPr>
                <w:rFonts w:hint="eastAsia" w:ascii="宋体" w:hAnsi="宋体" w:eastAsia="宋体" w:cs="宋体"/>
                <w:kern w:val="0"/>
                <w:sz w:val="24"/>
                <w:szCs w:val="24"/>
              </w:rPr>
              <w:t>0.</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MPa</w:t>
            </w:r>
            <w:r>
              <w:rPr>
                <w:rFonts w:hint="eastAsia" w:ascii="宋体" w:hAnsi="宋体" w:eastAsia="宋体" w:cs="宋体"/>
                <w:kern w:val="0"/>
                <w:sz w:val="24"/>
                <w:szCs w:val="24"/>
              </w:rPr>
              <w:br w:type="textWrapping"/>
            </w:r>
            <w:r>
              <w:rPr>
                <w:rFonts w:hint="eastAsia" w:ascii="宋体" w:hAnsi="宋体" w:eastAsia="宋体" w:cs="宋体"/>
                <w:kern w:val="0"/>
                <w:sz w:val="24"/>
                <w:szCs w:val="24"/>
              </w:rPr>
              <w:t>温度：70℃</w:t>
            </w:r>
            <w:r>
              <w:rPr>
                <w:rFonts w:hint="eastAsia" w:ascii="宋体" w:hAnsi="宋体" w:eastAsia="宋体" w:cs="宋体"/>
                <w:sz w:val="24"/>
                <w:szCs w:val="24"/>
              </w:rPr>
              <w:t>～</w:t>
            </w:r>
            <w:r>
              <w:rPr>
                <w:rFonts w:hint="eastAsia" w:ascii="宋体" w:hAnsi="宋体" w:eastAsia="宋体" w:cs="宋体"/>
                <w:kern w:val="0"/>
                <w:sz w:val="24"/>
                <w:szCs w:val="24"/>
              </w:rPr>
              <w:t>9</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w:t>
            </w:r>
          </w:p>
        </w:tc>
        <w:tc>
          <w:tcPr>
            <w:tcW w:w="1464" w:type="pct"/>
            <w:tcBorders>
              <w:top w:val="nil"/>
              <w:left w:val="nil"/>
              <w:bottom w:val="single" w:color="auto" w:sz="4" w:space="0"/>
              <w:right w:val="single" w:color="auto" w:sz="4" w:space="0"/>
            </w:tcBorders>
            <w:shd w:val="clear" w:color="auto" w:fill="auto"/>
            <w:vAlign w:val="center"/>
          </w:tcPr>
          <w:p w14:paraId="17640A4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压力：0.3MPa</w:t>
            </w:r>
            <w:r>
              <w:rPr>
                <w:rFonts w:hint="eastAsia" w:ascii="宋体" w:hAnsi="宋体" w:eastAsia="宋体" w:cs="宋体"/>
                <w:sz w:val="24"/>
                <w:szCs w:val="24"/>
              </w:rPr>
              <w:t>～</w:t>
            </w:r>
            <w:r>
              <w:rPr>
                <w:rFonts w:hint="eastAsia" w:ascii="宋体" w:hAnsi="宋体" w:eastAsia="宋体" w:cs="宋体"/>
                <w:kern w:val="0"/>
                <w:sz w:val="24"/>
                <w:szCs w:val="24"/>
              </w:rPr>
              <w:t>0.4MPa</w:t>
            </w:r>
          </w:p>
          <w:p w14:paraId="18663E0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温度：7℃</w:t>
            </w:r>
            <w:r>
              <w:rPr>
                <w:rFonts w:hint="eastAsia" w:ascii="宋体" w:hAnsi="宋体" w:eastAsia="宋体" w:cs="宋体"/>
                <w:sz w:val="24"/>
                <w:szCs w:val="24"/>
              </w:rPr>
              <w:t>～</w:t>
            </w:r>
            <w:r>
              <w:rPr>
                <w:rFonts w:hint="eastAsia" w:ascii="宋体" w:hAnsi="宋体" w:eastAsia="宋体" w:cs="宋体"/>
                <w:kern w:val="0"/>
                <w:sz w:val="24"/>
                <w:szCs w:val="24"/>
              </w:rPr>
              <w:t>12℃</w:t>
            </w:r>
          </w:p>
        </w:tc>
      </w:tr>
    </w:tbl>
    <w:p w14:paraId="1A15C9E7">
      <w:pPr>
        <w:pStyle w:val="3"/>
        <w:pageBreakBefore w:val="0"/>
        <w:numPr>
          <w:ilvl w:val="0"/>
          <w:numId w:val="203"/>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highlight w:val="none"/>
        </w:rPr>
      </w:pPr>
      <w:bookmarkStart w:id="233" w:name="_Toc23216_WPSOffice_Level2"/>
      <w:r>
        <w:rPr>
          <w:rFonts w:hint="eastAsia" w:ascii="宋体" w:hAnsi="宋体" w:eastAsia="宋体" w:cs="宋体"/>
          <w:b/>
          <w:bCs/>
          <w:sz w:val="24"/>
          <w:szCs w:val="24"/>
          <w:highlight w:val="none"/>
        </w:rPr>
        <w:t>室体参数</w:t>
      </w:r>
      <w:bookmarkEnd w:id="233"/>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仅供参考，以设计为准</w:t>
      </w:r>
      <w:r>
        <w:rPr>
          <w:rFonts w:hint="eastAsia" w:ascii="宋体" w:hAnsi="宋体" w:eastAsia="宋体" w:cs="宋体"/>
          <w:b/>
          <w:bCs/>
          <w:sz w:val="24"/>
          <w:szCs w:val="24"/>
          <w:highlight w:val="none"/>
          <w:lang w:eastAsia="zh-CN"/>
        </w:rPr>
        <w:t>）</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699"/>
        <w:gridCol w:w="1650"/>
        <w:gridCol w:w="1650"/>
        <w:gridCol w:w="1651"/>
      </w:tblGrid>
      <w:tr w14:paraId="6B0F8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1540E41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喷房</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4B14DE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长(mm)</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37122A8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宽(mm)</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776EDE9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高(mm)</w:t>
            </w:r>
          </w:p>
        </w:tc>
      </w:tr>
      <w:tr w14:paraId="51D6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7"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002385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离子站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911357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31E1565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6D87536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171AF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47"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68678E8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色漆BC2货箱内喷涂站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3E08CDC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12000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432D91B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654879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68524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7BF3FF1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中涂漆BC1外板喷涂站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A1B199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12000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99FF79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BEF70B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2031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4779A94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色漆BC2手工内喷/BC1补喷站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4452F42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462446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69CEBF0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4B8F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7DC7B1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色漆BC2外板喷涂站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7263F9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18000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FCE99D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2C4AC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06A8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3AEA016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色漆BC2检查补喷站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B0BC7F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81BF6E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A8D8DA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3D36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0F94FDE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清漆CC手工内板喷涂站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D0A3920">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8000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C2F1C63">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748A2EF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1948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37E303B2">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清漆CC外板喷涂站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6B7800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10000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3FBCE77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40E1C9B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3957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46A70EB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清漆CC检查补喷站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00AB465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6000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6F735C8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0027D94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5CB9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55E91BF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UBS/BUC涂胶站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0BBC0BE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22500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6BC2985D">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D83F20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w:t>
            </w:r>
          </w:p>
        </w:tc>
      </w:tr>
      <w:tr w14:paraId="1EE44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71631C88">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底漆打磨站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5E47BC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31450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19077BF">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A95933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3DB05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3035BC2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黑灰背版检查隧道站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7D1A900B">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15000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76951C2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72CA4206">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6B834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38157245">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抛光修饰站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09DB1A61">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30000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23B28F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47BB874">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38087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31B37F5E">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套色站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440258D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9000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2D71390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4800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0B5DF4CC">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4500</w:t>
            </w:r>
          </w:p>
        </w:tc>
      </w:tr>
      <w:tr w14:paraId="1F2AA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34" w:type="pct"/>
            <w:tcBorders>
              <w:top w:val="single" w:color="auto" w:sz="4" w:space="0"/>
              <w:left w:val="single" w:color="auto" w:sz="4" w:space="0"/>
              <w:bottom w:val="single" w:color="auto" w:sz="4" w:space="0"/>
              <w:right w:val="single" w:color="auto" w:sz="4" w:space="0"/>
            </w:tcBorders>
            <w:shd w:val="clear" w:color="auto" w:fill="auto"/>
            <w:vAlign w:val="center"/>
          </w:tcPr>
          <w:p w14:paraId="42B1B20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小修站</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7BCC9717">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7000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58363089">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5500</w:t>
            </w:r>
          </w:p>
        </w:tc>
        <w:tc>
          <w:tcPr>
            <w:tcW w:w="855" w:type="pct"/>
            <w:tcBorders>
              <w:top w:val="single" w:color="auto" w:sz="4" w:space="0"/>
              <w:left w:val="single" w:color="auto" w:sz="4" w:space="0"/>
              <w:bottom w:val="single" w:color="auto" w:sz="4" w:space="0"/>
              <w:right w:val="single" w:color="auto" w:sz="4" w:space="0"/>
            </w:tcBorders>
            <w:shd w:val="clear" w:color="auto" w:fill="auto"/>
            <w:vAlign w:val="center"/>
          </w:tcPr>
          <w:p w14:paraId="13CFC26A">
            <w:pPr>
              <w:pStyle w:val="210"/>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w:t>
            </w:r>
          </w:p>
        </w:tc>
      </w:tr>
    </w:tbl>
    <w:p w14:paraId="5D9CAFF8">
      <w:pPr>
        <w:pStyle w:val="2"/>
        <w:pageBreakBefore w:val="0"/>
        <w:widowControl/>
        <w:numPr>
          <w:ilvl w:val="0"/>
          <w:numId w:val="20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34" w:name="_Toc16645"/>
      <w:r>
        <w:rPr>
          <w:rFonts w:hint="eastAsia" w:ascii="宋体" w:hAnsi="宋体" w:eastAsia="宋体" w:cs="宋体"/>
          <w:b/>
          <w:bCs/>
          <w:sz w:val="24"/>
          <w:szCs w:val="24"/>
        </w:rPr>
        <w:t>技术参数及技术要求</w:t>
      </w:r>
      <w:bookmarkEnd w:id="234"/>
    </w:p>
    <w:p w14:paraId="686BCC54">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涂装车间空调要求工艺参数如下表</w:t>
      </w:r>
      <w:r>
        <w:rPr>
          <w:rFonts w:hint="eastAsia" w:ascii="宋体" w:hAnsi="宋体" w:eastAsia="宋体" w:cs="宋体"/>
          <w:lang w:eastAsia="zh-CN"/>
        </w:rPr>
        <w:t>（</w:t>
      </w:r>
      <w:r>
        <w:rPr>
          <w:rFonts w:hint="eastAsia" w:ascii="宋体" w:hAnsi="宋体" w:eastAsia="宋体" w:cs="宋体"/>
          <w:lang w:val="en-US" w:eastAsia="zh-CN"/>
        </w:rPr>
        <w:t>新增部分按照此标准执行</w:t>
      </w:r>
      <w:r>
        <w:rPr>
          <w:rFonts w:hint="eastAsia" w:ascii="宋体" w:hAnsi="宋体" w:eastAsia="宋体" w:cs="宋体"/>
          <w:lang w:eastAsia="zh-CN"/>
        </w:rPr>
        <w:t>）</w:t>
      </w:r>
      <w:r>
        <w:rPr>
          <w:rFonts w:hint="eastAsia" w:ascii="宋体" w:hAnsi="宋体" w:eastAsia="宋体" w:cs="宋体"/>
        </w:rPr>
        <w:t>：</w:t>
      </w:r>
    </w:p>
    <w:tbl>
      <w:tblPr>
        <w:tblStyle w:val="44"/>
        <w:tblW w:w="5000" w:type="pct"/>
        <w:jc w:val="center"/>
        <w:tblLayout w:type="fixed"/>
        <w:tblCellMar>
          <w:top w:w="0" w:type="dxa"/>
          <w:left w:w="108" w:type="dxa"/>
          <w:bottom w:w="0" w:type="dxa"/>
          <w:right w:w="108" w:type="dxa"/>
        </w:tblCellMar>
      </w:tblPr>
      <w:tblGrid>
        <w:gridCol w:w="1155"/>
        <w:gridCol w:w="3324"/>
        <w:gridCol w:w="1245"/>
        <w:gridCol w:w="1153"/>
        <w:gridCol w:w="1070"/>
        <w:gridCol w:w="863"/>
        <w:gridCol w:w="843"/>
      </w:tblGrid>
      <w:tr w14:paraId="1936658B">
        <w:tblPrEx>
          <w:tblCellMar>
            <w:top w:w="0" w:type="dxa"/>
            <w:left w:w="108" w:type="dxa"/>
            <w:bottom w:w="0" w:type="dxa"/>
            <w:right w:w="108" w:type="dxa"/>
          </w:tblCellMar>
        </w:tblPrEx>
        <w:trPr>
          <w:trHeight w:val="390" w:hRule="atLeast"/>
          <w:jc w:val="center"/>
        </w:trPr>
        <w:tc>
          <w:tcPr>
            <w:tcW w:w="598" w:type="pct"/>
            <w:vMerge w:val="restart"/>
            <w:tcBorders>
              <w:top w:val="single" w:color="auto" w:sz="4" w:space="0"/>
              <w:left w:val="single" w:color="auto" w:sz="4" w:space="0"/>
              <w:bottom w:val="single" w:color="auto" w:sz="4" w:space="0"/>
              <w:right w:val="single" w:color="auto" w:sz="4" w:space="0"/>
            </w:tcBorders>
            <w:noWrap/>
            <w:vAlign w:val="center"/>
          </w:tcPr>
          <w:p w14:paraId="3D415B8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空调编号</w:t>
            </w:r>
          </w:p>
        </w:tc>
        <w:tc>
          <w:tcPr>
            <w:tcW w:w="1721" w:type="pct"/>
            <w:vMerge w:val="restart"/>
            <w:tcBorders>
              <w:top w:val="single" w:color="auto" w:sz="4" w:space="0"/>
              <w:left w:val="single" w:color="auto" w:sz="4" w:space="0"/>
              <w:bottom w:val="single" w:color="auto" w:sz="4" w:space="0"/>
              <w:right w:val="single" w:color="auto" w:sz="4" w:space="0"/>
            </w:tcBorders>
            <w:noWrap/>
            <w:vAlign w:val="center"/>
          </w:tcPr>
          <w:p w14:paraId="56A3A6A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空调名称</w:t>
            </w:r>
          </w:p>
        </w:tc>
        <w:tc>
          <w:tcPr>
            <w:tcW w:w="1242" w:type="pct"/>
            <w:gridSpan w:val="2"/>
            <w:tcBorders>
              <w:top w:val="single" w:color="auto" w:sz="4" w:space="0"/>
              <w:left w:val="nil"/>
              <w:bottom w:val="single" w:color="auto" w:sz="4" w:space="0"/>
              <w:right w:val="single" w:color="auto" w:sz="4" w:space="0"/>
            </w:tcBorders>
            <w:noWrap/>
            <w:vAlign w:val="center"/>
          </w:tcPr>
          <w:p w14:paraId="7F5CA23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送风温度（℃）</w:t>
            </w:r>
          </w:p>
        </w:tc>
        <w:tc>
          <w:tcPr>
            <w:tcW w:w="1001" w:type="pct"/>
            <w:gridSpan w:val="2"/>
            <w:tcBorders>
              <w:top w:val="single" w:color="auto" w:sz="4" w:space="0"/>
              <w:left w:val="nil"/>
              <w:bottom w:val="single" w:color="auto" w:sz="4" w:space="0"/>
              <w:right w:val="single" w:color="auto" w:sz="4" w:space="0"/>
            </w:tcBorders>
            <w:noWrap/>
            <w:vAlign w:val="center"/>
          </w:tcPr>
          <w:p w14:paraId="41A828F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送风相对湿度</w:t>
            </w:r>
          </w:p>
        </w:tc>
        <w:tc>
          <w:tcPr>
            <w:tcW w:w="436" w:type="pct"/>
            <w:vMerge w:val="restart"/>
            <w:tcBorders>
              <w:top w:val="single" w:color="auto" w:sz="4" w:space="0"/>
              <w:left w:val="single" w:color="auto" w:sz="4" w:space="0"/>
              <w:bottom w:val="single" w:color="000000" w:sz="4" w:space="0"/>
              <w:right w:val="single" w:color="auto" w:sz="4" w:space="0"/>
            </w:tcBorders>
            <w:noWrap/>
            <w:vAlign w:val="center"/>
          </w:tcPr>
          <w:p w14:paraId="0A53EDD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备注</w:t>
            </w:r>
          </w:p>
        </w:tc>
      </w:tr>
      <w:tr w14:paraId="595EC653">
        <w:tblPrEx>
          <w:tblCellMar>
            <w:top w:w="0" w:type="dxa"/>
            <w:left w:w="108" w:type="dxa"/>
            <w:bottom w:w="0" w:type="dxa"/>
            <w:right w:w="108" w:type="dxa"/>
          </w:tblCellMar>
        </w:tblPrEx>
        <w:trPr>
          <w:trHeight w:val="390" w:hRule="atLeast"/>
          <w:jc w:val="center"/>
        </w:trPr>
        <w:tc>
          <w:tcPr>
            <w:tcW w:w="598" w:type="pct"/>
            <w:vMerge w:val="continue"/>
            <w:tcBorders>
              <w:top w:val="single" w:color="auto" w:sz="4" w:space="0"/>
              <w:left w:val="single" w:color="auto" w:sz="4" w:space="0"/>
              <w:bottom w:val="single" w:color="auto" w:sz="4" w:space="0"/>
              <w:right w:val="single" w:color="auto" w:sz="4" w:space="0"/>
            </w:tcBorders>
            <w:vAlign w:val="center"/>
          </w:tcPr>
          <w:p w14:paraId="28914EB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1721" w:type="pct"/>
            <w:vMerge w:val="continue"/>
            <w:tcBorders>
              <w:top w:val="single" w:color="auto" w:sz="4" w:space="0"/>
              <w:left w:val="single" w:color="auto" w:sz="4" w:space="0"/>
              <w:bottom w:val="single" w:color="auto" w:sz="4" w:space="0"/>
              <w:right w:val="single" w:color="auto" w:sz="4" w:space="0"/>
            </w:tcBorders>
            <w:vAlign w:val="center"/>
          </w:tcPr>
          <w:p w14:paraId="4FBA18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c>
          <w:tcPr>
            <w:tcW w:w="644" w:type="pct"/>
            <w:tcBorders>
              <w:top w:val="nil"/>
              <w:left w:val="nil"/>
              <w:bottom w:val="single" w:color="auto" w:sz="4" w:space="0"/>
              <w:right w:val="single" w:color="auto" w:sz="4" w:space="0"/>
            </w:tcBorders>
            <w:noWrap/>
            <w:vAlign w:val="center"/>
          </w:tcPr>
          <w:p w14:paraId="0C12D45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夏季</w:t>
            </w:r>
          </w:p>
        </w:tc>
        <w:tc>
          <w:tcPr>
            <w:tcW w:w="597" w:type="pct"/>
            <w:tcBorders>
              <w:top w:val="nil"/>
              <w:left w:val="nil"/>
              <w:bottom w:val="single" w:color="auto" w:sz="4" w:space="0"/>
              <w:right w:val="single" w:color="auto" w:sz="4" w:space="0"/>
            </w:tcBorders>
            <w:noWrap/>
            <w:vAlign w:val="center"/>
          </w:tcPr>
          <w:p w14:paraId="7A9475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冬季</w:t>
            </w:r>
          </w:p>
        </w:tc>
        <w:tc>
          <w:tcPr>
            <w:tcW w:w="554" w:type="pct"/>
            <w:tcBorders>
              <w:top w:val="nil"/>
              <w:left w:val="nil"/>
              <w:bottom w:val="single" w:color="auto" w:sz="4" w:space="0"/>
              <w:right w:val="single" w:color="auto" w:sz="4" w:space="0"/>
            </w:tcBorders>
            <w:noWrap/>
            <w:vAlign w:val="center"/>
          </w:tcPr>
          <w:p w14:paraId="25C2CE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夏季</w:t>
            </w:r>
          </w:p>
        </w:tc>
        <w:tc>
          <w:tcPr>
            <w:tcW w:w="447" w:type="pct"/>
            <w:tcBorders>
              <w:top w:val="nil"/>
              <w:left w:val="nil"/>
              <w:bottom w:val="single" w:color="auto" w:sz="4" w:space="0"/>
              <w:right w:val="single" w:color="auto" w:sz="4" w:space="0"/>
            </w:tcBorders>
            <w:noWrap/>
            <w:vAlign w:val="center"/>
          </w:tcPr>
          <w:p w14:paraId="0F86BD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冬季</w:t>
            </w:r>
          </w:p>
        </w:tc>
        <w:tc>
          <w:tcPr>
            <w:tcW w:w="436" w:type="pct"/>
            <w:vMerge w:val="continue"/>
            <w:tcBorders>
              <w:top w:val="single" w:color="auto" w:sz="4" w:space="0"/>
              <w:left w:val="single" w:color="auto" w:sz="4" w:space="0"/>
              <w:bottom w:val="single" w:color="000000" w:sz="4" w:space="0"/>
              <w:right w:val="single" w:color="auto" w:sz="4" w:space="0"/>
            </w:tcBorders>
            <w:vAlign w:val="center"/>
          </w:tcPr>
          <w:p w14:paraId="2159DCC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157FDC8F">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noWrap/>
            <w:vAlign w:val="center"/>
          </w:tcPr>
          <w:p w14:paraId="0918FA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721" w:type="pct"/>
            <w:tcBorders>
              <w:top w:val="nil"/>
              <w:left w:val="nil"/>
              <w:bottom w:val="single" w:color="auto" w:sz="4" w:space="0"/>
              <w:right w:val="single" w:color="auto" w:sz="4" w:space="0"/>
            </w:tcBorders>
            <w:shd w:val="clear" w:color="auto" w:fill="auto"/>
            <w:noWrap/>
            <w:vAlign w:val="center"/>
          </w:tcPr>
          <w:p w14:paraId="6C4D814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喷漆新风空调1</w:t>
            </w:r>
          </w:p>
        </w:tc>
        <w:tc>
          <w:tcPr>
            <w:tcW w:w="644" w:type="pct"/>
            <w:tcBorders>
              <w:top w:val="nil"/>
              <w:left w:val="nil"/>
              <w:bottom w:val="single" w:color="auto" w:sz="4" w:space="0"/>
              <w:right w:val="single" w:color="auto" w:sz="4" w:space="0"/>
            </w:tcBorders>
            <w:noWrap/>
            <w:vAlign w:val="center"/>
          </w:tcPr>
          <w:p w14:paraId="51CD07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noWrap/>
            <w:vAlign w:val="center"/>
          </w:tcPr>
          <w:p w14:paraId="5097CE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noWrap/>
            <w:vAlign w:val="center"/>
          </w:tcPr>
          <w:p w14:paraId="2217F4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noWrap/>
            <w:vAlign w:val="center"/>
          </w:tcPr>
          <w:p w14:paraId="2022F6D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04937D8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50BE5B39">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noWrap/>
            <w:vAlign w:val="center"/>
          </w:tcPr>
          <w:p w14:paraId="3E7562A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721" w:type="pct"/>
            <w:tcBorders>
              <w:top w:val="nil"/>
              <w:left w:val="nil"/>
              <w:bottom w:val="single" w:color="auto" w:sz="4" w:space="0"/>
              <w:right w:val="single" w:color="auto" w:sz="4" w:space="0"/>
            </w:tcBorders>
            <w:shd w:val="clear" w:color="auto" w:fill="auto"/>
            <w:noWrap/>
            <w:vAlign w:val="center"/>
          </w:tcPr>
          <w:p w14:paraId="7521548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喷漆循环风空调1</w:t>
            </w:r>
          </w:p>
        </w:tc>
        <w:tc>
          <w:tcPr>
            <w:tcW w:w="644" w:type="pct"/>
            <w:tcBorders>
              <w:top w:val="nil"/>
              <w:left w:val="nil"/>
              <w:bottom w:val="single" w:color="auto" w:sz="4" w:space="0"/>
              <w:right w:val="single" w:color="auto" w:sz="4" w:space="0"/>
            </w:tcBorders>
            <w:noWrap/>
            <w:vAlign w:val="center"/>
          </w:tcPr>
          <w:p w14:paraId="3F84B9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noWrap/>
            <w:vAlign w:val="center"/>
          </w:tcPr>
          <w:p w14:paraId="34CD6B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noWrap/>
            <w:vAlign w:val="center"/>
          </w:tcPr>
          <w:p w14:paraId="116D052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noWrap/>
            <w:vAlign w:val="center"/>
          </w:tcPr>
          <w:p w14:paraId="2BE9511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01A651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5EC99ECD">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7CDF207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721" w:type="pct"/>
            <w:tcBorders>
              <w:top w:val="nil"/>
              <w:left w:val="nil"/>
              <w:bottom w:val="single" w:color="auto" w:sz="4" w:space="0"/>
              <w:right w:val="single" w:color="auto" w:sz="4" w:space="0"/>
            </w:tcBorders>
            <w:shd w:val="clear" w:color="auto" w:fill="auto"/>
            <w:noWrap/>
            <w:vAlign w:val="center"/>
          </w:tcPr>
          <w:p w14:paraId="00C6261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喷漆新风空调2</w:t>
            </w:r>
          </w:p>
        </w:tc>
        <w:tc>
          <w:tcPr>
            <w:tcW w:w="644" w:type="pct"/>
            <w:tcBorders>
              <w:top w:val="nil"/>
              <w:left w:val="nil"/>
              <w:bottom w:val="single" w:color="auto" w:sz="4" w:space="0"/>
              <w:right w:val="single" w:color="auto" w:sz="4" w:space="0"/>
            </w:tcBorders>
            <w:shd w:val="clear" w:color="auto" w:fill="auto"/>
            <w:noWrap/>
            <w:vAlign w:val="center"/>
          </w:tcPr>
          <w:p w14:paraId="2B4F67E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shd w:val="clear" w:color="auto" w:fill="auto"/>
            <w:noWrap/>
            <w:vAlign w:val="center"/>
          </w:tcPr>
          <w:p w14:paraId="32A981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shd w:val="clear" w:color="auto" w:fill="auto"/>
            <w:noWrap/>
            <w:vAlign w:val="center"/>
          </w:tcPr>
          <w:p w14:paraId="2EA5D2B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shd w:val="clear" w:color="auto" w:fill="auto"/>
            <w:noWrap/>
            <w:vAlign w:val="center"/>
          </w:tcPr>
          <w:p w14:paraId="221C33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72126BD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06F70F3C">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78EE54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721" w:type="pct"/>
            <w:tcBorders>
              <w:top w:val="nil"/>
              <w:left w:val="nil"/>
              <w:bottom w:val="single" w:color="auto" w:sz="4" w:space="0"/>
              <w:right w:val="single" w:color="auto" w:sz="4" w:space="0"/>
            </w:tcBorders>
            <w:shd w:val="clear" w:color="auto" w:fill="auto"/>
            <w:noWrap/>
            <w:vAlign w:val="center"/>
          </w:tcPr>
          <w:p w14:paraId="168D8CC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喷漆循环风空调2</w:t>
            </w:r>
          </w:p>
        </w:tc>
        <w:tc>
          <w:tcPr>
            <w:tcW w:w="644" w:type="pct"/>
            <w:tcBorders>
              <w:top w:val="nil"/>
              <w:left w:val="nil"/>
              <w:bottom w:val="single" w:color="auto" w:sz="4" w:space="0"/>
              <w:right w:val="single" w:color="auto" w:sz="4" w:space="0"/>
            </w:tcBorders>
            <w:shd w:val="clear" w:color="auto" w:fill="auto"/>
            <w:noWrap/>
            <w:vAlign w:val="center"/>
          </w:tcPr>
          <w:p w14:paraId="659B8D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shd w:val="clear" w:color="auto" w:fill="auto"/>
            <w:noWrap/>
            <w:vAlign w:val="center"/>
          </w:tcPr>
          <w:p w14:paraId="442F057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shd w:val="clear" w:color="auto" w:fill="auto"/>
            <w:noWrap/>
            <w:vAlign w:val="center"/>
          </w:tcPr>
          <w:p w14:paraId="611BAD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shd w:val="clear" w:color="auto" w:fill="auto"/>
            <w:noWrap/>
            <w:vAlign w:val="center"/>
          </w:tcPr>
          <w:p w14:paraId="29FD74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04FBCB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498A03C4">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592120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721" w:type="pct"/>
            <w:tcBorders>
              <w:top w:val="nil"/>
              <w:left w:val="nil"/>
              <w:bottom w:val="single" w:color="auto" w:sz="4" w:space="0"/>
              <w:right w:val="single" w:color="auto" w:sz="4" w:space="0"/>
            </w:tcBorders>
            <w:shd w:val="clear" w:color="auto" w:fill="auto"/>
            <w:noWrap/>
            <w:vAlign w:val="center"/>
          </w:tcPr>
          <w:p w14:paraId="0D8809B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喷漆新风空调3</w:t>
            </w:r>
          </w:p>
        </w:tc>
        <w:tc>
          <w:tcPr>
            <w:tcW w:w="644" w:type="pct"/>
            <w:tcBorders>
              <w:top w:val="nil"/>
              <w:left w:val="nil"/>
              <w:bottom w:val="single" w:color="auto" w:sz="4" w:space="0"/>
              <w:right w:val="single" w:color="auto" w:sz="4" w:space="0"/>
            </w:tcBorders>
            <w:shd w:val="clear" w:color="auto" w:fill="auto"/>
            <w:noWrap/>
            <w:vAlign w:val="center"/>
          </w:tcPr>
          <w:p w14:paraId="0BF488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shd w:val="clear" w:color="auto" w:fill="auto"/>
            <w:noWrap/>
            <w:vAlign w:val="center"/>
          </w:tcPr>
          <w:p w14:paraId="6651E44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shd w:val="clear" w:color="auto" w:fill="auto"/>
            <w:noWrap/>
            <w:vAlign w:val="center"/>
          </w:tcPr>
          <w:p w14:paraId="51176AA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shd w:val="clear" w:color="auto" w:fill="auto"/>
            <w:noWrap/>
            <w:vAlign w:val="center"/>
          </w:tcPr>
          <w:p w14:paraId="3AC9D0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4AF06A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7FA0F5EB">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45792D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721" w:type="pct"/>
            <w:tcBorders>
              <w:top w:val="nil"/>
              <w:left w:val="nil"/>
              <w:bottom w:val="single" w:color="auto" w:sz="4" w:space="0"/>
              <w:right w:val="single" w:color="auto" w:sz="4" w:space="0"/>
            </w:tcBorders>
            <w:shd w:val="clear" w:color="auto" w:fill="auto"/>
            <w:noWrap/>
            <w:vAlign w:val="center"/>
          </w:tcPr>
          <w:p w14:paraId="4BCA6DD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喷漆循环风空调3</w:t>
            </w:r>
          </w:p>
        </w:tc>
        <w:tc>
          <w:tcPr>
            <w:tcW w:w="644" w:type="pct"/>
            <w:tcBorders>
              <w:top w:val="nil"/>
              <w:left w:val="nil"/>
              <w:bottom w:val="single" w:color="auto" w:sz="4" w:space="0"/>
              <w:right w:val="single" w:color="auto" w:sz="4" w:space="0"/>
            </w:tcBorders>
            <w:noWrap/>
            <w:vAlign w:val="center"/>
          </w:tcPr>
          <w:p w14:paraId="3171EC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noWrap/>
            <w:vAlign w:val="center"/>
          </w:tcPr>
          <w:p w14:paraId="4A9896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noWrap/>
            <w:vAlign w:val="center"/>
          </w:tcPr>
          <w:p w14:paraId="3D82A7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noWrap/>
            <w:vAlign w:val="center"/>
          </w:tcPr>
          <w:p w14:paraId="5C9F14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3F8293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68C6FC6C">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2962890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1721" w:type="pct"/>
            <w:tcBorders>
              <w:top w:val="nil"/>
              <w:left w:val="nil"/>
              <w:bottom w:val="single" w:color="auto" w:sz="4" w:space="0"/>
              <w:right w:val="single" w:color="auto" w:sz="4" w:space="0"/>
            </w:tcBorders>
            <w:shd w:val="clear" w:color="auto" w:fill="auto"/>
            <w:noWrap/>
            <w:vAlign w:val="center"/>
          </w:tcPr>
          <w:p w14:paraId="0A87A4D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喷漆新风空调4</w:t>
            </w:r>
          </w:p>
        </w:tc>
        <w:tc>
          <w:tcPr>
            <w:tcW w:w="644" w:type="pct"/>
            <w:tcBorders>
              <w:top w:val="nil"/>
              <w:left w:val="nil"/>
              <w:bottom w:val="single" w:color="auto" w:sz="4" w:space="0"/>
              <w:right w:val="single" w:color="auto" w:sz="4" w:space="0"/>
            </w:tcBorders>
            <w:noWrap/>
            <w:vAlign w:val="center"/>
          </w:tcPr>
          <w:p w14:paraId="334C78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noWrap/>
            <w:vAlign w:val="center"/>
          </w:tcPr>
          <w:p w14:paraId="1FFDD7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noWrap/>
            <w:vAlign w:val="center"/>
          </w:tcPr>
          <w:p w14:paraId="2DD6DC6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noWrap/>
            <w:vAlign w:val="center"/>
          </w:tcPr>
          <w:p w14:paraId="5B19264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6BB4805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53D69550">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040AC2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1721" w:type="pct"/>
            <w:tcBorders>
              <w:top w:val="nil"/>
              <w:left w:val="nil"/>
              <w:bottom w:val="single" w:color="auto" w:sz="4" w:space="0"/>
              <w:right w:val="single" w:color="auto" w:sz="4" w:space="0"/>
            </w:tcBorders>
            <w:shd w:val="clear" w:color="auto" w:fill="auto"/>
            <w:noWrap/>
            <w:vAlign w:val="center"/>
          </w:tcPr>
          <w:p w14:paraId="1072D4C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喷漆循环风空调4</w:t>
            </w:r>
          </w:p>
        </w:tc>
        <w:tc>
          <w:tcPr>
            <w:tcW w:w="644" w:type="pct"/>
            <w:tcBorders>
              <w:top w:val="nil"/>
              <w:left w:val="nil"/>
              <w:bottom w:val="single" w:color="auto" w:sz="4" w:space="0"/>
              <w:right w:val="single" w:color="auto" w:sz="4" w:space="0"/>
            </w:tcBorders>
            <w:noWrap/>
            <w:vAlign w:val="center"/>
          </w:tcPr>
          <w:p w14:paraId="1C59C4C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noWrap/>
            <w:vAlign w:val="center"/>
          </w:tcPr>
          <w:p w14:paraId="535D570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noWrap/>
            <w:vAlign w:val="center"/>
          </w:tcPr>
          <w:p w14:paraId="519C2FC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noWrap/>
            <w:vAlign w:val="center"/>
          </w:tcPr>
          <w:p w14:paraId="531FD34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nil"/>
              <w:left w:val="nil"/>
              <w:bottom w:val="single" w:color="auto" w:sz="4" w:space="0"/>
              <w:right w:val="single" w:color="auto" w:sz="4" w:space="0"/>
            </w:tcBorders>
            <w:noWrap/>
            <w:vAlign w:val="center"/>
          </w:tcPr>
          <w:p w14:paraId="175923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2FB5CE93">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7ADB6CC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1721" w:type="pct"/>
            <w:tcBorders>
              <w:top w:val="nil"/>
              <w:left w:val="nil"/>
              <w:bottom w:val="single" w:color="auto" w:sz="4" w:space="0"/>
              <w:right w:val="single" w:color="auto" w:sz="4" w:space="0"/>
            </w:tcBorders>
            <w:shd w:val="clear" w:color="auto" w:fill="auto"/>
            <w:noWrap/>
            <w:vAlign w:val="center"/>
          </w:tcPr>
          <w:p w14:paraId="387C0DA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调漆间空调</w:t>
            </w:r>
          </w:p>
        </w:tc>
        <w:tc>
          <w:tcPr>
            <w:tcW w:w="644" w:type="pct"/>
            <w:tcBorders>
              <w:top w:val="nil"/>
              <w:left w:val="nil"/>
              <w:bottom w:val="single" w:color="auto" w:sz="4" w:space="0"/>
              <w:right w:val="single" w:color="auto" w:sz="4" w:space="0"/>
            </w:tcBorders>
            <w:shd w:val="clear" w:color="auto" w:fill="auto"/>
            <w:noWrap/>
            <w:vAlign w:val="center"/>
          </w:tcPr>
          <w:p w14:paraId="2D173B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97" w:type="pct"/>
            <w:tcBorders>
              <w:top w:val="nil"/>
              <w:left w:val="nil"/>
              <w:bottom w:val="single" w:color="auto" w:sz="4" w:space="0"/>
              <w:right w:val="single" w:color="auto" w:sz="4" w:space="0"/>
            </w:tcBorders>
            <w:shd w:val="clear" w:color="auto" w:fill="auto"/>
            <w:noWrap/>
            <w:vAlign w:val="center"/>
          </w:tcPr>
          <w:p w14:paraId="51245E8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23±2℃</w:t>
            </w:r>
          </w:p>
        </w:tc>
        <w:tc>
          <w:tcPr>
            <w:tcW w:w="554" w:type="pct"/>
            <w:tcBorders>
              <w:top w:val="nil"/>
              <w:left w:val="nil"/>
              <w:bottom w:val="single" w:color="auto" w:sz="4" w:space="0"/>
              <w:right w:val="single" w:color="auto" w:sz="4" w:space="0"/>
            </w:tcBorders>
            <w:shd w:val="clear" w:color="auto" w:fill="auto"/>
            <w:noWrap/>
            <w:vAlign w:val="center"/>
          </w:tcPr>
          <w:p w14:paraId="30CA831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47" w:type="pct"/>
            <w:tcBorders>
              <w:top w:val="nil"/>
              <w:left w:val="nil"/>
              <w:bottom w:val="single" w:color="auto" w:sz="4" w:space="0"/>
              <w:right w:val="single" w:color="auto" w:sz="4" w:space="0"/>
            </w:tcBorders>
            <w:shd w:val="clear" w:color="auto" w:fill="auto"/>
            <w:noWrap/>
            <w:vAlign w:val="center"/>
          </w:tcPr>
          <w:p w14:paraId="5122DE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65±5%</w:t>
            </w:r>
          </w:p>
        </w:tc>
        <w:tc>
          <w:tcPr>
            <w:tcW w:w="436" w:type="pct"/>
            <w:tcBorders>
              <w:top w:val="single" w:color="auto" w:sz="4" w:space="0"/>
              <w:left w:val="single" w:color="auto" w:sz="4" w:space="0"/>
              <w:bottom w:val="single" w:color="auto" w:sz="4" w:space="0"/>
              <w:right w:val="single" w:color="auto" w:sz="4" w:space="0"/>
            </w:tcBorders>
            <w:vAlign w:val="center"/>
          </w:tcPr>
          <w:p w14:paraId="65793D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0BB4DC2A">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noWrap/>
            <w:vAlign w:val="center"/>
          </w:tcPr>
          <w:p w14:paraId="22F34CF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10</w:t>
            </w:r>
          </w:p>
        </w:tc>
        <w:tc>
          <w:tcPr>
            <w:tcW w:w="1721" w:type="pct"/>
            <w:tcBorders>
              <w:top w:val="nil"/>
              <w:left w:val="nil"/>
              <w:bottom w:val="single" w:color="auto" w:sz="4" w:space="0"/>
              <w:right w:val="single" w:color="auto" w:sz="4" w:space="0"/>
            </w:tcBorders>
            <w:shd w:val="clear" w:color="auto" w:fill="auto"/>
            <w:noWrap/>
            <w:vAlign w:val="center"/>
          </w:tcPr>
          <w:p w14:paraId="0073B9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工位空调1（密封线新风空调）</w:t>
            </w:r>
          </w:p>
        </w:tc>
        <w:tc>
          <w:tcPr>
            <w:tcW w:w="644" w:type="pct"/>
            <w:tcBorders>
              <w:top w:val="nil"/>
              <w:left w:val="nil"/>
              <w:bottom w:val="single" w:color="auto" w:sz="4" w:space="0"/>
              <w:right w:val="single" w:color="auto" w:sz="4" w:space="0"/>
            </w:tcBorders>
            <w:shd w:val="clear" w:color="auto" w:fill="auto"/>
            <w:noWrap/>
            <w:vAlign w:val="center"/>
          </w:tcPr>
          <w:p w14:paraId="6D2F488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冷风</w:t>
            </w:r>
          </w:p>
        </w:tc>
        <w:tc>
          <w:tcPr>
            <w:tcW w:w="597" w:type="pct"/>
            <w:tcBorders>
              <w:top w:val="nil"/>
              <w:left w:val="nil"/>
              <w:bottom w:val="single" w:color="auto" w:sz="4" w:space="0"/>
              <w:right w:val="single" w:color="auto" w:sz="4" w:space="0"/>
            </w:tcBorders>
            <w:shd w:val="clear" w:color="auto" w:fill="auto"/>
            <w:noWrap/>
            <w:vAlign w:val="center"/>
          </w:tcPr>
          <w:p w14:paraId="28A982E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554" w:type="pct"/>
            <w:tcBorders>
              <w:top w:val="nil"/>
              <w:left w:val="nil"/>
              <w:bottom w:val="single" w:color="auto" w:sz="4" w:space="0"/>
              <w:right w:val="single" w:color="auto" w:sz="4" w:space="0"/>
            </w:tcBorders>
            <w:shd w:val="clear" w:color="auto" w:fill="auto"/>
            <w:noWrap/>
            <w:vAlign w:val="center"/>
          </w:tcPr>
          <w:p w14:paraId="68F8C7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47" w:type="pct"/>
            <w:tcBorders>
              <w:top w:val="nil"/>
              <w:left w:val="nil"/>
              <w:bottom w:val="single" w:color="auto" w:sz="4" w:space="0"/>
              <w:right w:val="single" w:color="auto" w:sz="4" w:space="0"/>
            </w:tcBorders>
            <w:shd w:val="clear" w:color="auto" w:fill="auto"/>
            <w:noWrap/>
            <w:vAlign w:val="center"/>
          </w:tcPr>
          <w:p w14:paraId="4C6BAE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36" w:type="pct"/>
            <w:tcBorders>
              <w:top w:val="single" w:color="auto" w:sz="4" w:space="0"/>
              <w:left w:val="single" w:color="auto" w:sz="4" w:space="0"/>
              <w:bottom w:val="single" w:color="auto" w:sz="4" w:space="0"/>
              <w:right w:val="single" w:color="auto" w:sz="4" w:space="0"/>
            </w:tcBorders>
            <w:vAlign w:val="center"/>
          </w:tcPr>
          <w:p w14:paraId="01D5D5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40E8C14D">
        <w:tblPrEx>
          <w:tblCellMar>
            <w:top w:w="0" w:type="dxa"/>
            <w:left w:w="108" w:type="dxa"/>
            <w:bottom w:w="0" w:type="dxa"/>
            <w:right w:w="108" w:type="dxa"/>
          </w:tblCellMar>
        </w:tblPrEx>
        <w:trPr>
          <w:trHeight w:val="390" w:hRule="atLeast"/>
          <w:jc w:val="center"/>
        </w:trPr>
        <w:tc>
          <w:tcPr>
            <w:tcW w:w="598" w:type="pct"/>
            <w:tcBorders>
              <w:top w:val="nil"/>
              <w:left w:val="single" w:color="auto" w:sz="4" w:space="0"/>
              <w:bottom w:val="single" w:color="auto" w:sz="4" w:space="0"/>
              <w:right w:val="single" w:color="auto" w:sz="4" w:space="0"/>
            </w:tcBorders>
            <w:shd w:val="clear" w:color="auto" w:fill="auto"/>
            <w:noWrap/>
            <w:vAlign w:val="center"/>
          </w:tcPr>
          <w:p w14:paraId="15B7B6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1</w:t>
            </w:r>
          </w:p>
        </w:tc>
        <w:tc>
          <w:tcPr>
            <w:tcW w:w="1721" w:type="pct"/>
            <w:tcBorders>
              <w:top w:val="nil"/>
              <w:left w:val="nil"/>
              <w:bottom w:val="single" w:color="auto" w:sz="4" w:space="0"/>
              <w:right w:val="single" w:color="auto" w:sz="4" w:space="0"/>
            </w:tcBorders>
            <w:shd w:val="clear" w:color="auto" w:fill="auto"/>
            <w:noWrap/>
            <w:vAlign w:val="center"/>
          </w:tcPr>
          <w:p w14:paraId="144ACE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工位空调</w:t>
            </w: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w:t>
            </w:r>
            <w:r>
              <w:rPr>
                <w:rFonts w:hint="eastAsia" w:ascii="宋体" w:hAnsi="宋体" w:eastAsia="宋体" w:cs="宋体"/>
                <w:kern w:val="0"/>
                <w:sz w:val="24"/>
                <w:szCs w:val="24"/>
                <w:lang w:val="en-US" w:eastAsia="zh-CN"/>
              </w:rPr>
              <w:t>UBC、UBS</w:t>
            </w:r>
            <w:r>
              <w:rPr>
                <w:rFonts w:hint="eastAsia" w:ascii="宋体" w:hAnsi="宋体" w:eastAsia="宋体" w:cs="宋体"/>
                <w:kern w:val="0"/>
                <w:sz w:val="24"/>
                <w:szCs w:val="24"/>
              </w:rPr>
              <w:t>新风空调）</w:t>
            </w:r>
          </w:p>
        </w:tc>
        <w:tc>
          <w:tcPr>
            <w:tcW w:w="644" w:type="pct"/>
            <w:tcBorders>
              <w:top w:val="nil"/>
              <w:left w:val="nil"/>
              <w:bottom w:val="single" w:color="auto" w:sz="4" w:space="0"/>
              <w:right w:val="single" w:color="auto" w:sz="4" w:space="0"/>
            </w:tcBorders>
            <w:shd w:val="clear" w:color="auto" w:fill="auto"/>
            <w:noWrap/>
            <w:vAlign w:val="center"/>
          </w:tcPr>
          <w:p w14:paraId="2372B9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rPr>
              <w:t>冷风</w:t>
            </w:r>
          </w:p>
        </w:tc>
        <w:tc>
          <w:tcPr>
            <w:tcW w:w="597" w:type="pct"/>
            <w:tcBorders>
              <w:top w:val="nil"/>
              <w:left w:val="nil"/>
              <w:bottom w:val="single" w:color="auto" w:sz="4" w:space="0"/>
              <w:right w:val="single" w:color="auto" w:sz="4" w:space="0"/>
            </w:tcBorders>
            <w:shd w:val="clear" w:color="auto" w:fill="auto"/>
            <w:noWrap/>
            <w:vAlign w:val="center"/>
          </w:tcPr>
          <w:p w14:paraId="1857BF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554" w:type="pct"/>
            <w:tcBorders>
              <w:top w:val="nil"/>
              <w:left w:val="nil"/>
              <w:bottom w:val="single" w:color="auto" w:sz="4" w:space="0"/>
              <w:right w:val="single" w:color="auto" w:sz="4" w:space="0"/>
            </w:tcBorders>
            <w:shd w:val="clear" w:color="auto" w:fill="auto"/>
            <w:noWrap/>
            <w:vAlign w:val="center"/>
          </w:tcPr>
          <w:p w14:paraId="751FD69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447" w:type="pct"/>
            <w:tcBorders>
              <w:top w:val="nil"/>
              <w:left w:val="nil"/>
              <w:bottom w:val="single" w:color="auto" w:sz="4" w:space="0"/>
              <w:right w:val="single" w:color="auto" w:sz="4" w:space="0"/>
            </w:tcBorders>
            <w:shd w:val="clear" w:color="auto" w:fill="auto"/>
            <w:noWrap/>
            <w:vAlign w:val="center"/>
          </w:tcPr>
          <w:p w14:paraId="1A36A6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436" w:type="pct"/>
            <w:tcBorders>
              <w:top w:val="single" w:color="auto" w:sz="4" w:space="0"/>
              <w:left w:val="single" w:color="auto" w:sz="4" w:space="0"/>
              <w:bottom w:val="single" w:color="auto" w:sz="4" w:space="0"/>
              <w:right w:val="single" w:color="auto" w:sz="4" w:space="0"/>
            </w:tcBorders>
            <w:vAlign w:val="center"/>
          </w:tcPr>
          <w:p w14:paraId="17B883F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424AAF99">
        <w:tblPrEx>
          <w:tblCellMar>
            <w:top w:w="0" w:type="dxa"/>
            <w:left w:w="108" w:type="dxa"/>
            <w:bottom w:w="0" w:type="dxa"/>
            <w:right w:w="108" w:type="dxa"/>
          </w:tblCellMar>
        </w:tblPrEx>
        <w:trPr>
          <w:trHeight w:val="390" w:hRule="atLeast"/>
          <w:jc w:val="center"/>
        </w:trPr>
        <w:tc>
          <w:tcPr>
            <w:tcW w:w="598" w:type="pct"/>
            <w:tcBorders>
              <w:top w:val="single" w:color="auto" w:sz="4" w:space="0"/>
              <w:left w:val="single" w:color="auto" w:sz="4" w:space="0"/>
              <w:bottom w:val="single" w:color="auto" w:sz="4" w:space="0"/>
              <w:right w:val="single" w:color="auto" w:sz="4" w:space="0"/>
            </w:tcBorders>
            <w:noWrap/>
            <w:vAlign w:val="center"/>
          </w:tcPr>
          <w:p w14:paraId="49FD07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2</w:t>
            </w:r>
          </w:p>
        </w:tc>
        <w:tc>
          <w:tcPr>
            <w:tcW w:w="172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62BF8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工位空调</w:t>
            </w:r>
            <w:r>
              <w:rPr>
                <w:rFonts w:hint="eastAsia" w:ascii="宋体" w:hAnsi="宋体" w:eastAsia="宋体" w:cs="宋体"/>
                <w:sz w:val="24"/>
                <w:szCs w:val="24"/>
                <w:lang w:val="en-US" w:eastAsia="zh-CN"/>
              </w:rPr>
              <w:t>3</w:t>
            </w:r>
            <w:r>
              <w:rPr>
                <w:rFonts w:hint="eastAsia" w:ascii="宋体" w:hAnsi="宋体" w:eastAsia="宋体" w:cs="宋体"/>
                <w:sz w:val="24"/>
                <w:szCs w:val="24"/>
              </w:rPr>
              <w:t>（电泳打磨、离线打磨新风空调）</w:t>
            </w:r>
          </w:p>
        </w:tc>
        <w:tc>
          <w:tcPr>
            <w:tcW w:w="6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C3EBD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冷风</w:t>
            </w:r>
          </w:p>
        </w:tc>
        <w:tc>
          <w:tcPr>
            <w:tcW w:w="5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81110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5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582C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193C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36" w:type="pct"/>
            <w:tcBorders>
              <w:top w:val="single" w:color="auto" w:sz="4" w:space="0"/>
              <w:left w:val="single" w:color="auto" w:sz="4" w:space="0"/>
              <w:bottom w:val="single" w:color="auto" w:sz="4" w:space="0"/>
              <w:right w:val="single" w:color="auto" w:sz="4" w:space="0"/>
            </w:tcBorders>
            <w:vAlign w:val="center"/>
          </w:tcPr>
          <w:p w14:paraId="174706E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5DCA0B1E">
        <w:tblPrEx>
          <w:tblCellMar>
            <w:top w:w="0" w:type="dxa"/>
            <w:left w:w="108" w:type="dxa"/>
            <w:bottom w:w="0" w:type="dxa"/>
            <w:right w:w="108" w:type="dxa"/>
          </w:tblCellMar>
        </w:tblPrEx>
        <w:trPr>
          <w:trHeight w:val="390" w:hRule="atLeast"/>
          <w:jc w:val="center"/>
        </w:trPr>
        <w:tc>
          <w:tcPr>
            <w:tcW w:w="598" w:type="pct"/>
            <w:tcBorders>
              <w:top w:val="single" w:color="auto" w:sz="4" w:space="0"/>
              <w:left w:val="single" w:color="auto" w:sz="4" w:space="0"/>
              <w:bottom w:val="single" w:color="auto" w:sz="4" w:space="0"/>
              <w:right w:val="single" w:color="auto" w:sz="4" w:space="0"/>
            </w:tcBorders>
            <w:noWrap/>
            <w:vAlign w:val="center"/>
          </w:tcPr>
          <w:p w14:paraId="4288FD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3</w:t>
            </w:r>
          </w:p>
        </w:tc>
        <w:tc>
          <w:tcPr>
            <w:tcW w:w="172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E131B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工位空调</w:t>
            </w:r>
            <w:r>
              <w:rPr>
                <w:rFonts w:hint="eastAsia" w:ascii="宋体" w:hAnsi="宋体" w:eastAsia="宋体" w:cs="宋体"/>
                <w:sz w:val="24"/>
                <w:szCs w:val="24"/>
                <w:lang w:val="en-US" w:eastAsia="zh-CN"/>
              </w:rPr>
              <w:t>4</w:t>
            </w:r>
            <w:r>
              <w:rPr>
                <w:rFonts w:hint="eastAsia" w:ascii="宋体" w:hAnsi="宋体" w:eastAsia="宋体" w:cs="宋体"/>
                <w:sz w:val="24"/>
                <w:szCs w:val="24"/>
              </w:rPr>
              <w:t>（小修、大返修室新风空调）</w:t>
            </w:r>
          </w:p>
        </w:tc>
        <w:tc>
          <w:tcPr>
            <w:tcW w:w="6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B0604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冷风</w:t>
            </w:r>
          </w:p>
        </w:tc>
        <w:tc>
          <w:tcPr>
            <w:tcW w:w="5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C4ED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5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6BA2A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93F19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36" w:type="pct"/>
            <w:tcBorders>
              <w:top w:val="single" w:color="auto" w:sz="4" w:space="0"/>
              <w:left w:val="single" w:color="auto" w:sz="4" w:space="0"/>
              <w:bottom w:val="single" w:color="auto" w:sz="4" w:space="0"/>
              <w:right w:val="single" w:color="auto" w:sz="4" w:space="0"/>
            </w:tcBorders>
            <w:vAlign w:val="center"/>
          </w:tcPr>
          <w:p w14:paraId="17D3AB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2272967F">
        <w:tblPrEx>
          <w:tblCellMar>
            <w:top w:w="0" w:type="dxa"/>
            <w:left w:w="108" w:type="dxa"/>
            <w:bottom w:w="0" w:type="dxa"/>
            <w:right w:w="108" w:type="dxa"/>
          </w:tblCellMar>
        </w:tblPrEx>
        <w:trPr>
          <w:trHeight w:val="390" w:hRule="atLeast"/>
          <w:jc w:val="center"/>
        </w:trPr>
        <w:tc>
          <w:tcPr>
            <w:tcW w:w="598" w:type="pct"/>
            <w:tcBorders>
              <w:top w:val="single" w:color="auto" w:sz="4" w:space="0"/>
              <w:left w:val="single" w:color="auto" w:sz="4" w:space="0"/>
              <w:bottom w:val="single" w:color="auto" w:sz="4" w:space="0"/>
              <w:right w:val="single" w:color="auto" w:sz="4" w:space="0"/>
            </w:tcBorders>
            <w:noWrap/>
            <w:vAlign w:val="center"/>
          </w:tcPr>
          <w:p w14:paraId="64C338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4</w:t>
            </w:r>
          </w:p>
        </w:tc>
        <w:tc>
          <w:tcPr>
            <w:tcW w:w="172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5A60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工位空调</w:t>
            </w:r>
            <w:r>
              <w:rPr>
                <w:rFonts w:hint="eastAsia" w:ascii="宋体" w:hAnsi="宋体" w:eastAsia="宋体" w:cs="宋体"/>
                <w:sz w:val="24"/>
                <w:szCs w:val="24"/>
                <w:lang w:val="en-US" w:eastAsia="zh-CN"/>
              </w:rPr>
              <w:t>5</w:t>
            </w:r>
            <w:r>
              <w:rPr>
                <w:rFonts w:hint="eastAsia" w:ascii="宋体" w:hAnsi="宋体" w:eastAsia="宋体" w:cs="宋体"/>
                <w:sz w:val="24"/>
                <w:szCs w:val="24"/>
              </w:rPr>
              <w:t>（抛光修饰、滑橇清洗间新风空调）</w:t>
            </w:r>
          </w:p>
        </w:tc>
        <w:tc>
          <w:tcPr>
            <w:tcW w:w="6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6F41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冷风</w:t>
            </w:r>
          </w:p>
        </w:tc>
        <w:tc>
          <w:tcPr>
            <w:tcW w:w="5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996F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5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33F49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164E2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36" w:type="pct"/>
            <w:tcBorders>
              <w:top w:val="single" w:color="auto" w:sz="4" w:space="0"/>
              <w:left w:val="single" w:color="auto" w:sz="4" w:space="0"/>
              <w:bottom w:val="single" w:color="auto" w:sz="4" w:space="0"/>
              <w:right w:val="single" w:color="auto" w:sz="4" w:space="0"/>
            </w:tcBorders>
            <w:vAlign w:val="center"/>
          </w:tcPr>
          <w:p w14:paraId="533227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r w14:paraId="14529A15">
        <w:tblPrEx>
          <w:tblCellMar>
            <w:top w:w="0" w:type="dxa"/>
            <w:left w:w="108" w:type="dxa"/>
            <w:bottom w:w="0" w:type="dxa"/>
            <w:right w:w="108" w:type="dxa"/>
          </w:tblCellMar>
        </w:tblPrEx>
        <w:trPr>
          <w:trHeight w:val="390" w:hRule="atLeast"/>
          <w:jc w:val="center"/>
        </w:trPr>
        <w:tc>
          <w:tcPr>
            <w:tcW w:w="598" w:type="pct"/>
            <w:tcBorders>
              <w:top w:val="single" w:color="auto" w:sz="4" w:space="0"/>
              <w:left w:val="single" w:color="auto" w:sz="4" w:space="0"/>
              <w:bottom w:val="single" w:color="auto" w:sz="4" w:space="0"/>
              <w:right w:val="single" w:color="auto" w:sz="4" w:space="0"/>
            </w:tcBorders>
            <w:noWrap/>
            <w:vAlign w:val="center"/>
          </w:tcPr>
          <w:p w14:paraId="086D40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val="en-US" w:eastAsia="zh-CN"/>
              </w:rPr>
              <w:t>5</w:t>
            </w:r>
          </w:p>
        </w:tc>
        <w:tc>
          <w:tcPr>
            <w:tcW w:w="172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01BF1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工位空调</w:t>
            </w:r>
            <w:r>
              <w:rPr>
                <w:rFonts w:hint="eastAsia" w:ascii="宋体" w:hAnsi="宋体" w:eastAsia="宋体" w:cs="宋体"/>
                <w:sz w:val="24"/>
                <w:szCs w:val="24"/>
                <w:lang w:val="en-US" w:eastAsia="zh-CN"/>
              </w:rPr>
              <w:t>6</w:t>
            </w:r>
            <w:r>
              <w:rPr>
                <w:rFonts w:hint="eastAsia" w:ascii="宋体" w:hAnsi="宋体" w:eastAsia="宋体" w:cs="宋体"/>
                <w:sz w:val="24"/>
                <w:szCs w:val="24"/>
              </w:rPr>
              <w:t>（注蜡、套色、报交新风空调）</w:t>
            </w:r>
          </w:p>
        </w:tc>
        <w:tc>
          <w:tcPr>
            <w:tcW w:w="64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E839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冷风</w:t>
            </w:r>
          </w:p>
        </w:tc>
        <w:tc>
          <w:tcPr>
            <w:tcW w:w="59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1A0B2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rPr>
              <w:t>/</w:t>
            </w:r>
          </w:p>
        </w:tc>
        <w:tc>
          <w:tcPr>
            <w:tcW w:w="55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2B1EA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4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028F10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kern w:val="0"/>
                <w:sz w:val="24"/>
                <w:szCs w:val="24"/>
              </w:rPr>
              <w:t>/</w:t>
            </w:r>
          </w:p>
        </w:tc>
        <w:tc>
          <w:tcPr>
            <w:tcW w:w="436" w:type="pct"/>
            <w:tcBorders>
              <w:top w:val="single" w:color="auto" w:sz="4" w:space="0"/>
              <w:left w:val="single" w:color="auto" w:sz="4" w:space="0"/>
              <w:bottom w:val="single" w:color="auto" w:sz="4" w:space="0"/>
              <w:right w:val="single" w:color="auto" w:sz="4" w:space="0"/>
            </w:tcBorders>
            <w:vAlign w:val="center"/>
          </w:tcPr>
          <w:p w14:paraId="4E7C84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p>
        </w:tc>
      </w:tr>
    </w:tbl>
    <w:p w14:paraId="253EEAF0">
      <w:pPr>
        <w:pStyle w:val="3"/>
        <w:pageBreakBefore w:val="0"/>
        <w:numPr>
          <w:ilvl w:val="0"/>
          <w:numId w:val="20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主要说明</w:t>
      </w:r>
    </w:p>
    <w:p w14:paraId="24AB13C1">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招标人</w:t>
      </w:r>
      <w:r>
        <w:rPr>
          <w:rFonts w:hint="eastAsia" w:ascii="宋体" w:hAnsi="宋体" w:eastAsia="宋体" w:cs="宋体"/>
        </w:rPr>
        <w:t>将提供给</w:t>
      </w:r>
      <w:r>
        <w:rPr>
          <w:rFonts w:hint="eastAsia" w:ascii="宋体" w:hAnsi="宋体" w:cs="宋体"/>
          <w:lang w:eastAsia="zh-CN"/>
        </w:rPr>
        <w:t>投标人</w:t>
      </w:r>
      <w:r>
        <w:rPr>
          <w:rFonts w:hint="eastAsia" w:ascii="宋体" w:hAnsi="宋体" w:eastAsia="宋体" w:cs="宋体"/>
        </w:rPr>
        <w:t>全套厂房的土建与公用管线设计图纸。</w:t>
      </w:r>
    </w:p>
    <w:p w14:paraId="56C3D650">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自控系统应保证工艺温湿度参数在全年各季节均达到生产所需的工艺指标要求，其控制精度应达到：温度±2℃，相对湿度±5%RH，配有温、湿</w:t>
      </w:r>
      <w:r>
        <w:rPr>
          <w:rFonts w:hint="eastAsia" w:ascii="宋体" w:hAnsi="宋体" w:eastAsia="宋体" w:cs="宋体"/>
          <w:color w:val="auto"/>
        </w:rPr>
        <w:t>度自动记录仪。</w:t>
      </w:r>
    </w:p>
    <w:p w14:paraId="35DA181A">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空调机组在进风段配置电动启闭风阀，出风段配置手动调节风阀及防火阀。</w:t>
      </w:r>
    </w:p>
    <w:p w14:paraId="7F263B9C">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空调加热系统（含一级及二级加热）自带，热源</w:t>
      </w:r>
      <w:r>
        <w:rPr>
          <w:rFonts w:hint="eastAsia" w:ascii="宋体" w:hAnsi="宋体" w:cs="宋体"/>
          <w:lang w:eastAsia="zh-CN"/>
        </w:rPr>
        <w:t>招标人</w:t>
      </w:r>
      <w:r>
        <w:rPr>
          <w:rFonts w:hint="eastAsia" w:ascii="宋体" w:hAnsi="宋体" w:eastAsia="宋体" w:cs="宋体"/>
        </w:rPr>
        <w:t>提供。</w:t>
      </w:r>
    </w:p>
    <w:p w14:paraId="13E6FB9E">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过滤器为袋式，要求粒径≥5μm的灰尘去除率100%。设压差计，压差值可任意设定，用以控制及报警。</w:t>
      </w:r>
    </w:p>
    <w:p w14:paraId="03A779AF">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加热器材料为铜质。</w:t>
      </w:r>
      <w:r>
        <w:rPr>
          <w:rFonts w:hint="eastAsia" w:ascii="宋体" w:hAnsi="宋体" w:eastAsia="宋体" w:cs="宋体"/>
        </w:rPr>
        <w:t>喷淋水的管路喷嘴及水槽用不锈钢，水槽应备有溢流管和防结垢措施。挡水板采用304材质的不锈钢。淋水段内壁需防锈蚀采用304材质的不锈钢材料，其余各段用镀锌板。</w:t>
      </w:r>
      <w:r>
        <w:rPr>
          <w:rFonts w:hint="eastAsia" w:ascii="宋体" w:hAnsi="宋体" w:eastAsia="宋体" w:cs="宋体"/>
          <w:lang w:val="en-US" w:eastAsia="zh-CN"/>
        </w:rPr>
        <w:t>外观样式保持与原有空调一致</w:t>
      </w:r>
      <w:r>
        <w:rPr>
          <w:rFonts w:hint="eastAsia" w:ascii="宋体" w:hAnsi="宋体" w:eastAsia="宋体" w:cs="宋体"/>
        </w:rPr>
        <w:t>。</w:t>
      </w:r>
    </w:p>
    <w:p w14:paraId="413E65A7">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空调机或送风管道设消音器。风机与管道连接处设软接头，风机底座设减震装置。空调室各段设密闭门（带观察窗）和内部照明以便检查维修。</w:t>
      </w:r>
    </w:p>
    <w:p w14:paraId="4BC1B03C">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系统应具有完善的测量、调节、控制装置，能手动设定控制参数，用以调节控制空气处理过程，测量和控制使用地点的温度湿度等。</w:t>
      </w:r>
    </w:p>
    <w:p w14:paraId="423EE1B6">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rPr>
        <w:t>风</w:t>
      </w:r>
      <w:r>
        <w:rPr>
          <w:rFonts w:hint="eastAsia" w:ascii="宋体" w:hAnsi="宋体" w:eastAsia="宋体" w:cs="宋体"/>
          <w:color w:val="auto"/>
        </w:rPr>
        <w:t>机变频，自动保持恒定风量。</w:t>
      </w:r>
    </w:p>
    <w:p w14:paraId="51BFF6B5">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所有橡塑保温外层带铝箔。</w:t>
      </w:r>
    </w:p>
    <w:p w14:paraId="2E2EADF1">
      <w:pPr>
        <w:pStyle w:val="17"/>
        <w:pageBreakBefore w:val="0"/>
        <w:numPr>
          <w:ilvl w:val="0"/>
          <w:numId w:val="207"/>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所有设备制造材料不能含有硅酮。设计要求节能，设备制造安装、维修保养操作方便。</w:t>
      </w:r>
    </w:p>
    <w:p w14:paraId="4B216BAB">
      <w:pPr>
        <w:pStyle w:val="3"/>
        <w:pageBreakBefore w:val="0"/>
        <w:numPr>
          <w:ilvl w:val="0"/>
          <w:numId w:val="20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总体结构要求</w:t>
      </w:r>
    </w:p>
    <w:p w14:paraId="0FFD61BB">
      <w:pPr>
        <w:pStyle w:val="4"/>
        <w:pageBreakBefore w:val="0"/>
        <w:numPr>
          <w:ilvl w:val="0"/>
          <w:numId w:val="20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主体结构</w:t>
      </w:r>
    </w:p>
    <w:p w14:paraId="4057C84A">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组箱体采用内置钢框架、整体底座、彩钢板壁板式连接结构。内部骨架钢构件全部采用2～2.5mm壁厚方钢管喷塑或热镀锌处理，所有标准件采用镀锌件。机组为适应各地区气候环境，保证面板不结露，外围壁板以及顶板</w:t>
      </w:r>
      <w:r>
        <w:rPr>
          <w:rFonts w:hint="eastAsia" w:ascii="宋体" w:hAnsi="宋体" w:eastAsia="宋体" w:cs="宋体"/>
          <w:color w:val="auto"/>
        </w:rPr>
        <w:t>采用</w:t>
      </w:r>
      <w:r>
        <w:rPr>
          <w:rFonts w:hint="eastAsia" w:ascii="宋体" w:hAnsi="宋体" w:eastAsia="宋体" w:cs="宋体"/>
          <w:color w:val="auto"/>
          <w:lang w:val="en-US" w:eastAsia="zh-CN"/>
        </w:rPr>
        <w:t>岩棉板</w:t>
      </w:r>
      <w:r>
        <w:rPr>
          <w:rFonts w:hint="eastAsia" w:ascii="宋体" w:hAnsi="宋体" w:eastAsia="宋体" w:cs="宋体"/>
          <w:color w:val="auto"/>
        </w:rPr>
        <w:t>，</w:t>
      </w:r>
      <w:r>
        <w:rPr>
          <w:rFonts w:hint="eastAsia" w:ascii="宋体" w:hAnsi="宋体" w:eastAsia="宋体" w:cs="宋体"/>
        </w:rPr>
        <w:t>一次发泡成型,所有空调侧板和顶板壁板壁厚50mm 导热系数((0.018kcal/m·h·k，容重≥50kg/m3，热阻不小于0.68m2K/W。所有壁板外表面采用上海宝钢产的0.6mm厚彩钢板，内表面采用0.6mm厚宝钢优质镀锌钢板。空调机组底座采用碳钢型钢焊接制成，涂环氧防锈底漆二遍，底座骨架距地面200mm高，底座上铺隔热层板，在板的上面铺2mm厚不锈钢接水盘，要求此层不锈钢或镀锌钢盘满焊不漏水（底板除喷淋加湿段采用2mm304不锈钢满焊外，其余段体底板采用2mm镀锌钢板满焊。底板与框架和内壁板连接处焊接，确保不漏风不漏水，其中不锈钢板采用氩弧焊，镀锌板采用氩气保护连续铜焊）。室体采用螺栓连接，内表面接逢处需涂不含硅酮的密封胶，确保密封性（具体以空调厂家设计为准，</w:t>
      </w:r>
      <w:r>
        <w:rPr>
          <w:rFonts w:hint="eastAsia" w:ascii="宋体" w:hAnsi="宋体" w:cs="宋体"/>
          <w:lang w:eastAsia="zh-CN"/>
        </w:rPr>
        <w:t>招标人</w:t>
      </w:r>
      <w:r>
        <w:rPr>
          <w:rFonts w:hint="eastAsia" w:ascii="宋体" w:hAnsi="宋体" w:eastAsia="宋体" w:cs="宋体"/>
        </w:rPr>
        <w:t>确认）。</w:t>
      </w:r>
    </w:p>
    <w:p w14:paraId="5E4F11BE">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所有空调机组底部配做型钢底座，底座横档应根据空调机的型号及各段体具体要求进行布置。尤其是加热段、表冷段、水喷淋段、风机段、消声段等段体所在位置处应加强，要有足够的刚度和强度。</w:t>
      </w:r>
    </w:p>
    <w:p w14:paraId="02A17BE6">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空调机组内部骨架钢构件碳钢材质必须喷砂(sa3.0)除锈干净或进行热镀锌、喷塑防锈处理。空调机组采用双重密封多点锁紧结构的带观察窗（石英玻璃）的钢质检修门,门把手要求牢固可靠，转动灵活。密封钢制检修门外表面颜色应与机组室体表面颜色一致，并具有结构刚性足够，密封保温性能好的特点，门与门框结合平整、牢固，无滴漏，开关无明显滞涩且开关轻便灵活。空调机组所有功能段均配有AC36V/60W 低压三防照明灯，照度≥100Lux，开关装在门外。整个空调室体要求密封严且平整，不得发生任何变形。</w:t>
      </w:r>
    </w:p>
    <w:p w14:paraId="6BEBCFFE">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室体底座为型钢整体底座。底板用sus304-2.0mm制作，并向一侧倾斜。在相应区段设排放管。</w:t>
      </w:r>
    </w:p>
    <w:p w14:paraId="230969ED">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框架内设置足够的支撑钢材，保证能在空调箱内部移动设备。</w:t>
      </w:r>
    </w:p>
    <w:p w14:paraId="1F638D81">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每一块壁板要用方钢做支撑框架，保证在运行时有足够的稳定性。</w:t>
      </w:r>
    </w:p>
    <w:p w14:paraId="117E7FE4">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壁板易于装配。喷淋加湿段内壁板、水槽、泵、喷淋管、均流器板、分水板和维修通道等的材料为不锈钢SUS304。水槽上设有自动补水管路及排水管、溢流管，排水管、溢流管都应接到地漏。喷淋加湿量由湿度传感器和带变频控制的喷淋泵或电动调节阀自动控制。泵的进出口设启闭阀门,出口设压力表。</w:t>
      </w:r>
    </w:p>
    <w:p w14:paraId="4BF849EF">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组内应有一贯通的底板，底板要平整且满焊，并带有尽可能大的斜坡。底板下要有加强框架，底板的边缘和框架焊接要保证有足够的强度，底板及加湿及表冷段侧板采用SUS304L(板密封焊接制成，其余部分侧板采用镀锌板制作。底板要有排水功能，任何地方不能积水或积污。在加湿段采用SUS304L水槽，水槽和内部支撑及壁板密封焊接，以保证整个室体不能漏水。</w:t>
      </w:r>
    </w:p>
    <w:p w14:paraId="25F5CD30">
      <w:pPr>
        <w:pStyle w:val="17"/>
        <w:pageBreakBefore w:val="0"/>
        <w:numPr>
          <w:ilvl w:val="0"/>
          <w:numId w:val="20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水槽应设有溢流口和排放口，水排放到车间污水井。不得直接从侧面接出排水管。</w:t>
      </w:r>
    </w:p>
    <w:p w14:paraId="1FF51800">
      <w:pPr>
        <w:pStyle w:val="4"/>
        <w:pageBreakBefore w:val="0"/>
        <w:numPr>
          <w:ilvl w:val="0"/>
          <w:numId w:val="20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检修门</w:t>
      </w:r>
    </w:p>
    <w:p w14:paraId="7B626588">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空调室体采用框架结构，要有固定的机械密封。</w:t>
      </w:r>
    </w:p>
    <w:p w14:paraId="210F7AB6">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门至少用三个铰链，</w:t>
      </w:r>
      <w:r>
        <w:rPr>
          <w:rFonts w:hint="eastAsia" w:ascii="宋体" w:hAnsi="宋体" w:eastAsia="宋体" w:cs="宋体"/>
        </w:rPr>
        <w:t>要求在内外都能开门，门锁及拉手要有足够的强度。</w:t>
      </w:r>
    </w:p>
    <w:p w14:paraId="4EA3F012">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用双层玻璃做观察窗，玻璃的厚度和安装应符合标准的操作条件。</w:t>
      </w:r>
    </w:p>
    <w:p w14:paraId="4D2C4769">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任何段都要有可进入的门，有换过滤袋、维修要求的门尺寸至少为：</w:t>
      </w:r>
      <w:r>
        <w:rPr>
          <w:rFonts w:hint="eastAsia" w:ascii="宋体" w:hAnsi="宋体" w:eastAsia="宋体" w:cs="宋体"/>
          <w:lang w:val="en-US" w:eastAsia="zh-CN"/>
        </w:rPr>
        <w:t>600</w:t>
      </w:r>
      <w:r>
        <w:rPr>
          <w:rFonts w:hint="eastAsia" w:ascii="宋体" w:hAnsi="宋体" w:eastAsia="宋体" w:cs="宋体"/>
        </w:rPr>
        <w:t>x1</w:t>
      </w:r>
      <w:r>
        <w:rPr>
          <w:rFonts w:hint="eastAsia" w:ascii="宋体" w:hAnsi="宋体" w:eastAsia="宋体" w:cs="宋体"/>
          <w:lang w:val="en-US" w:eastAsia="zh-CN"/>
        </w:rPr>
        <w:t>3</w:t>
      </w:r>
      <w:r>
        <w:rPr>
          <w:rFonts w:hint="eastAsia" w:ascii="宋体" w:hAnsi="宋体" w:eastAsia="宋体" w:cs="宋体"/>
        </w:rPr>
        <w:t>00mm，其它为600x1</w:t>
      </w:r>
      <w:r>
        <w:rPr>
          <w:rFonts w:hint="eastAsia" w:ascii="宋体" w:hAnsi="宋体" w:eastAsia="宋体" w:cs="宋体"/>
          <w:lang w:val="en-US" w:eastAsia="zh-CN"/>
        </w:rPr>
        <w:t>3</w:t>
      </w:r>
      <w:r>
        <w:rPr>
          <w:rFonts w:hint="eastAsia" w:ascii="宋体" w:hAnsi="宋体" w:eastAsia="宋体" w:cs="宋体"/>
        </w:rPr>
        <w:t>00mm,密封检修门内门板材质应与侧壁板相同。门的尺寸要满足风机维修的需要。门为保温密封门，门上设观察窗，风机段的检修门为双开门。</w:t>
      </w:r>
    </w:p>
    <w:p w14:paraId="0ABCCC4B">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在焊接前必须先清洁、修整，焊接后用防腐富锌漆处理,并要求喷涂铝粉面漆。</w:t>
      </w:r>
    </w:p>
    <w:p w14:paraId="45187129">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如果镀锌壁板上有焊接斑,必须用富锌底漆和面漆处理，然后用钢板蜡纸覆盖，以保持外部壁板的清洁和精整。内部“Z”型加强结构的焊接斑的均匀。</w:t>
      </w:r>
    </w:p>
    <w:p w14:paraId="3B35F50B">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各种钢材</w:t>
      </w:r>
    </w:p>
    <w:p w14:paraId="58687F52">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槽钢底座框架和内部加强。</w:t>
      </w:r>
    </w:p>
    <w:p w14:paraId="0A5DBFBD">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不锈钢平板加湿段支撑。</w:t>
      </w:r>
    </w:p>
    <w:p w14:paraId="4F7404D5">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方管壁板内部支撑。</w:t>
      </w:r>
    </w:p>
    <w:p w14:paraId="7BA78697">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段端头支撑。100mm*100mm(RHS)                     </w:t>
      </w:r>
    </w:p>
    <w:p w14:paraId="722FAF65">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梁支撑。  50mm*50mm(RSC)                   </w:t>
      </w:r>
    </w:p>
    <w:p w14:paraId="4DBAF38B">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吊装梁,由制造厂商决定大小(根据风机马达制作商的要求)</w:t>
      </w:r>
    </w:p>
    <w:p w14:paraId="3A8F3F0E">
      <w:pPr>
        <w:pStyle w:val="17"/>
        <w:pageBreakBefore w:val="0"/>
        <w:numPr>
          <w:ilvl w:val="0"/>
          <w:numId w:val="2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上述建议的型钢，必须经供应商根据结构要求确认，如果不确认,提出选择。</w:t>
      </w:r>
    </w:p>
    <w:p w14:paraId="4D741DEC">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最后工序是热镀锌。</w:t>
      </w:r>
    </w:p>
    <w:p w14:paraId="0E128BFF">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各种薄板：</w:t>
      </w:r>
    </w:p>
    <w:p w14:paraId="0E30FF7F">
      <w:pPr>
        <w:pStyle w:val="17"/>
        <w:pageBreakBefore w:val="0"/>
        <w:numPr>
          <w:ilvl w:val="0"/>
          <w:numId w:val="21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内外壁板≥1.5mm镀锌板；</w:t>
      </w:r>
    </w:p>
    <w:p w14:paraId="78C4D9DC">
      <w:pPr>
        <w:pStyle w:val="17"/>
        <w:pageBreakBefore w:val="0"/>
        <w:numPr>
          <w:ilvl w:val="0"/>
          <w:numId w:val="21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内壁板（加湿段）,制冷段≥1.5mm不锈钢;</w:t>
      </w:r>
    </w:p>
    <w:p w14:paraId="32DB1CB2">
      <w:pPr>
        <w:pStyle w:val="17"/>
        <w:pageBreakBefore w:val="0"/>
        <w:numPr>
          <w:ilvl w:val="0"/>
          <w:numId w:val="21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3mm不锈钢槽子;</w:t>
      </w:r>
    </w:p>
    <w:p w14:paraId="1D7D47FF">
      <w:pPr>
        <w:pStyle w:val="17"/>
        <w:pageBreakBefore w:val="0"/>
        <w:numPr>
          <w:ilvl w:val="0"/>
          <w:numId w:val="21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1.5mm穿孔镀锌板作扩散器;</w:t>
      </w:r>
    </w:p>
    <w:p w14:paraId="6D7034CA">
      <w:pPr>
        <w:pStyle w:val="17"/>
        <w:pageBreakBefore w:val="0"/>
        <w:numPr>
          <w:ilvl w:val="0"/>
          <w:numId w:val="210"/>
        </w:numPr>
        <w:tabs>
          <w:tab w:val="clear"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总体材料</w:t>
      </w:r>
    </w:p>
    <w:p w14:paraId="17111A64">
      <w:pPr>
        <w:pStyle w:val="17"/>
        <w:pageBreakBefore w:val="0"/>
        <w:numPr>
          <w:ilvl w:val="0"/>
          <w:numId w:val="21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检修门观察孔大小为∅250观察孔为双层玻璃；</w:t>
      </w:r>
    </w:p>
    <w:p w14:paraId="625C0422">
      <w:pPr>
        <w:pStyle w:val="17"/>
        <w:pageBreakBefore w:val="0"/>
        <w:numPr>
          <w:ilvl w:val="0"/>
          <w:numId w:val="21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根据规范安装门；</w:t>
      </w:r>
    </w:p>
    <w:p w14:paraId="264CFB6D">
      <w:pPr>
        <w:pStyle w:val="17"/>
        <w:pageBreakBefore w:val="0"/>
        <w:numPr>
          <w:ilvl w:val="0"/>
          <w:numId w:val="21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密封件不含有机硅酮成分。</w:t>
      </w:r>
    </w:p>
    <w:p w14:paraId="1F6413A7">
      <w:pPr>
        <w:pStyle w:val="4"/>
        <w:pageBreakBefore w:val="0"/>
        <w:numPr>
          <w:ilvl w:val="0"/>
          <w:numId w:val="20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空气供应室细节</w:t>
      </w:r>
    </w:p>
    <w:p w14:paraId="73FAE1C2">
      <w:pPr>
        <w:pStyle w:val="17"/>
        <w:pageBreakBefore w:val="0"/>
        <w:numPr>
          <w:ilvl w:val="0"/>
          <w:numId w:val="21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新鲜空气经百叶风口进入。</w:t>
      </w:r>
    </w:p>
    <w:p w14:paraId="30966103">
      <w:pPr>
        <w:pStyle w:val="17"/>
        <w:pageBreakBefore w:val="0"/>
        <w:numPr>
          <w:ilvl w:val="0"/>
          <w:numId w:val="21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混合室风量调节阀来调节新风和循环风的比例，整个系统可以在100%新风的条件下运行。</w:t>
      </w:r>
    </w:p>
    <w:p w14:paraId="222EBDAC">
      <w:pPr>
        <w:pStyle w:val="17"/>
        <w:pageBreakBefore w:val="0"/>
        <w:numPr>
          <w:ilvl w:val="0"/>
          <w:numId w:val="21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电动风量调节阀：</w:t>
      </w:r>
    </w:p>
    <w:p w14:paraId="1802F9B1">
      <w:pPr>
        <w:pStyle w:val="17"/>
        <w:pageBreakBefore w:val="0"/>
        <w:numPr>
          <w:ilvl w:val="0"/>
          <w:numId w:val="21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该风量调节阀采用模块式，每个模组由框架和相对的多组叶片组成，每一叶片的长度不能超过1200mm。</w:t>
      </w:r>
    </w:p>
    <w:p w14:paraId="43F362BD">
      <w:pPr>
        <w:pStyle w:val="17"/>
        <w:pageBreakBefore w:val="0"/>
        <w:numPr>
          <w:ilvl w:val="0"/>
          <w:numId w:val="21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每一叶片设计成机翼式，支撑框架和连接器必须用耐腐蚀材料制造。</w:t>
      </w:r>
    </w:p>
    <w:p w14:paraId="4A9A152E">
      <w:pPr>
        <w:pStyle w:val="17"/>
        <w:pageBreakBefore w:val="0"/>
        <w:numPr>
          <w:ilvl w:val="0"/>
          <w:numId w:val="21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调节阀（执行器为进口产品）用电动控制,有定位器,保证任何时候正确地打开。每一风量调节阀要有到位开关。</w:t>
      </w:r>
    </w:p>
    <w:p w14:paraId="53F2B749">
      <w:pPr>
        <w:pStyle w:val="4"/>
        <w:pageBreakBefore w:val="0"/>
        <w:numPr>
          <w:ilvl w:val="0"/>
          <w:numId w:val="20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通用要点</w:t>
      </w:r>
    </w:p>
    <w:p w14:paraId="07C35DEF">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所有入口处和风机段要有300 Lux的照明，通过在空气供应室的顶上的玻璃照入。6英尺双管灯框，灯光和门互锁，并在围房外装有220V插座。</w:t>
      </w:r>
    </w:p>
    <w:p w14:paraId="7CBB3160">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考虑每段设备的吊挂。</w:t>
      </w:r>
    </w:p>
    <w:p w14:paraId="4DD180E4">
      <w:pPr>
        <w:pStyle w:val="17"/>
        <w:pageBreakBefore w:val="0"/>
        <w:widowControl/>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所有空调机组燃烧器要内置。</w:t>
      </w:r>
    </w:p>
    <w:p w14:paraId="79E6274C">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模块设计时也应考虑到吊车的限制，</w:t>
      </w:r>
      <w:r>
        <w:rPr>
          <w:rFonts w:hint="eastAsia" w:ascii="宋体" w:hAnsi="宋体" w:cs="宋体"/>
          <w:lang w:eastAsia="zh-CN"/>
        </w:rPr>
        <w:t>投标人</w:t>
      </w:r>
      <w:r>
        <w:rPr>
          <w:rFonts w:hint="eastAsia" w:ascii="宋体" w:hAnsi="宋体" w:eastAsia="宋体" w:cs="宋体"/>
        </w:rPr>
        <w:t>要提供足够的螺丝、螺母、清洗机和密封剂等以及专门的吊装垫铁或框架，保证安装队能进行顺利的安装。</w:t>
      </w:r>
    </w:p>
    <w:p w14:paraId="5F1800DC">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所有采用的电机要经本公司的同意。</w:t>
      </w:r>
    </w:p>
    <w:p w14:paraId="63A2B267">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所有的电机都要采用变频。</w:t>
      </w:r>
    </w:p>
    <w:p w14:paraId="05AE862B">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每一个空气供应室要提供两套过滤器。</w:t>
      </w:r>
    </w:p>
    <w:p w14:paraId="09E79204">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风管要安装消声器使喷房内的噪音降低到85dBA。</w:t>
      </w:r>
    </w:p>
    <w:p w14:paraId="7FB8AEB1">
      <w:pPr>
        <w:pStyle w:val="17"/>
        <w:pageBreakBefore w:val="0"/>
        <w:numPr>
          <w:ilvl w:val="0"/>
          <w:numId w:val="21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空气供应室内截面风速不允许超过2.5m/s。</w:t>
      </w:r>
    </w:p>
    <w:p w14:paraId="780650CC">
      <w:pPr>
        <w:pStyle w:val="4"/>
        <w:pageBreakBefore w:val="0"/>
        <w:numPr>
          <w:ilvl w:val="0"/>
          <w:numId w:val="20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仪表、仪器</w:t>
      </w:r>
    </w:p>
    <w:p w14:paraId="1978D67F">
      <w:pPr>
        <w:pStyle w:val="17"/>
        <w:pageBreakBefore w:val="0"/>
        <w:numPr>
          <w:ilvl w:val="0"/>
          <w:numId w:val="21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所有空气供应室要用圆盘式温度计。</w:t>
      </w:r>
    </w:p>
    <w:p w14:paraId="36DA0AEF">
      <w:pPr>
        <w:pStyle w:val="17"/>
        <w:pageBreakBefore w:val="0"/>
        <w:numPr>
          <w:ilvl w:val="0"/>
          <w:numId w:val="21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所有空气供应室要有圆盘式的湿度计。</w:t>
      </w:r>
    </w:p>
    <w:p w14:paraId="50A46BA0">
      <w:pPr>
        <w:pStyle w:val="17"/>
        <w:pageBreakBefore w:val="0"/>
        <w:numPr>
          <w:ilvl w:val="0"/>
          <w:numId w:val="21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rPr>
        <w:t>所有过滤段要有压差计</w:t>
      </w:r>
      <w:r>
        <w:rPr>
          <w:rFonts w:hint="eastAsia" w:ascii="宋体" w:hAnsi="宋体" w:eastAsia="宋体" w:cs="宋体"/>
          <w:color w:val="auto"/>
        </w:rPr>
        <w:t>，并连接到它的外部监控系统，使用户能监视。</w:t>
      </w:r>
    </w:p>
    <w:p w14:paraId="58267F5E">
      <w:pPr>
        <w:pStyle w:val="17"/>
        <w:pageBreakBefore w:val="0"/>
        <w:numPr>
          <w:ilvl w:val="0"/>
          <w:numId w:val="21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所有风机段要有风压开关，并连接到PLC。</w:t>
      </w:r>
    </w:p>
    <w:p w14:paraId="440D9F48">
      <w:pPr>
        <w:pStyle w:val="4"/>
        <w:pageBreakBefore w:val="0"/>
        <w:numPr>
          <w:ilvl w:val="0"/>
          <w:numId w:val="208"/>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color w:val="auto"/>
          <w:sz w:val="24"/>
        </w:rPr>
      </w:pPr>
      <w:r>
        <w:rPr>
          <w:rFonts w:hint="eastAsia" w:ascii="宋体" w:hAnsi="宋体" w:eastAsia="宋体" w:cs="宋体"/>
          <w:color w:val="auto"/>
          <w:sz w:val="24"/>
        </w:rPr>
        <w:t>其它的设计参数</w:t>
      </w:r>
    </w:p>
    <w:p w14:paraId="4FF00F79">
      <w:pPr>
        <w:pStyle w:val="17"/>
        <w:pageBreakBefore w:val="0"/>
        <w:numPr>
          <w:ilvl w:val="0"/>
          <w:numId w:val="2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所有的空气供应室的热水盘管的功率设计10%的余量。</w:t>
      </w:r>
    </w:p>
    <w:p w14:paraId="6A525988">
      <w:pPr>
        <w:pStyle w:val="17"/>
        <w:pageBreakBefore w:val="0"/>
        <w:numPr>
          <w:ilvl w:val="0"/>
          <w:numId w:val="2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所有的空气供应室的冷水盘管的功率设计10%的余量。</w:t>
      </w:r>
    </w:p>
    <w:p w14:paraId="5F45C6AD">
      <w:pPr>
        <w:pStyle w:val="17"/>
        <w:pageBreakBefore w:val="0"/>
        <w:numPr>
          <w:ilvl w:val="0"/>
          <w:numId w:val="2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过滤器前、后设压差计，并具有压差显示及报警功能。室体内设更换</w:t>
      </w:r>
      <w:r>
        <w:rPr>
          <w:rFonts w:hint="eastAsia" w:ascii="宋体" w:hAnsi="宋体" w:eastAsia="宋体" w:cs="宋体"/>
        </w:rPr>
        <w:t>过滤器和喷嘴的走台及梯子。风机段顶部设提升移动</w:t>
      </w:r>
      <w:r>
        <w:rPr>
          <w:rFonts w:hint="eastAsia" w:ascii="宋体" w:hAnsi="宋体" w:eastAsia="宋体" w:cs="宋体"/>
          <w:lang w:val="en-US" w:eastAsia="zh-CN"/>
        </w:rPr>
        <w:t>风机电机</w:t>
      </w:r>
      <w:r>
        <w:rPr>
          <w:rFonts w:hint="eastAsia" w:ascii="宋体" w:hAnsi="宋体" w:eastAsia="宋体" w:cs="宋体"/>
        </w:rPr>
        <w:t>的吊运用轨道。</w:t>
      </w:r>
    </w:p>
    <w:p w14:paraId="2EAA56B6">
      <w:pPr>
        <w:pStyle w:val="17"/>
        <w:pageBreakBefore w:val="0"/>
        <w:numPr>
          <w:ilvl w:val="0"/>
          <w:numId w:val="2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空调机组采用变频控制。风机底座配置减震台架，风机壳体下设排水管及阀。</w:t>
      </w:r>
    </w:p>
    <w:p w14:paraId="266F7F38">
      <w:pPr>
        <w:pStyle w:val="17"/>
        <w:pageBreakBefore w:val="0"/>
        <w:numPr>
          <w:ilvl w:val="0"/>
          <w:numId w:val="2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空调机组应与消防系统联锁。</w:t>
      </w:r>
    </w:p>
    <w:p w14:paraId="12A384F3">
      <w:pPr>
        <w:pStyle w:val="17"/>
        <w:pageBreakBefore w:val="0"/>
        <w:numPr>
          <w:ilvl w:val="0"/>
          <w:numId w:val="21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空调机风量、风压按设备需要量定并考虑一定的余量。</w:t>
      </w:r>
    </w:p>
    <w:p w14:paraId="3AB932F0">
      <w:pPr>
        <w:pStyle w:val="3"/>
        <w:pageBreakBefore w:val="0"/>
        <w:numPr>
          <w:ilvl w:val="0"/>
          <w:numId w:val="20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喷漆室循环风空调</w:t>
      </w:r>
    </w:p>
    <w:p w14:paraId="1AF103F1">
      <w:pPr>
        <w:pStyle w:val="4"/>
        <w:pageBreakBefore w:val="0"/>
        <w:numPr>
          <w:ilvl w:val="0"/>
          <w:numId w:val="21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喷漆室循环风空调组成</w:t>
      </w:r>
    </w:p>
    <w:p w14:paraId="241660B4">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回风段—漆雾过滤段—中效过滤段（F7）—表冷挡水段—加热段—中效过滤段（F7）—外置单吸风风机送风段。</w:t>
      </w:r>
    </w:p>
    <w:p w14:paraId="534F61E6">
      <w:pPr>
        <w:pStyle w:val="4"/>
        <w:pageBreakBefore w:val="0"/>
        <w:numPr>
          <w:ilvl w:val="0"/>
          <w:numId w:val="21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喷漆室循环风空调要求</w:t>
      </w:r>
    </w:p>
    <w:p w14:paraId="756CCEB8">
      <w:pPr>
        <w:pStyle w:val="17"/>
        <w:pageBreakBefore w:val="0"/>
        <w:numPr>
          <w:ilvl w:val="0"/>
          <w:numId w:val="2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送风要求：</w:t>
      </w:r>
      <w:r>
        <w:rPr>
          <w:rFonts w:hint="eastAsia" w:ascii="宋体" w:hAnsi="宋体" w:eastAsia="宋体" w:cs="宋体"/>
          <w:b w:val="0"/>
          <w:bCs w:val="0"/>
          <w:color w:val="auto"/>
          <w:highlight w:val="none"/>
        </w:rPr>
        <w:t>送风温度23±2℃</w:t>
      </w:r>
      <w:r>
        <w:rPr>
          <w:rFonts w:hint="eastAsia" w:ascii="宋体" w:hAnsi="宋体" w:eastAsia="宋体" w:cs="宋体"/>
          <w:b/>
          <w:bCs/>
          <w:color w:val="FF0000"/>
          <w:highlight w:val="none"/>
        </w:rPr>
        <w:t xml:space="preserve"> </w:t>
      </w:r>
      <w:r>
        <w:rPr>
          <w:rFonts w:hint="eastAsia" w:ascii="宋体" w:hAnsi="宋体" w:eastAsia="宋体" w:cs="宋体"/>
          <w:highlight w:val="none"/>
        </w:rPr>
        <w:t>，</w:t>
      </w:r>
      <w:r>
        <w:rPr>
          <w:rFonts w:hint="eastAsia" w:ascii="宋体" w:hAnsi="宋体" w:eastAsia="宋体" w:cs="宋体"/>
        </w:rPr>
        <w:t>相对湿度65%±5%。</w:t>
      </w:r>
    </w:p>
    <w:p w14:paraId="4229E98E">
      <w:pPr>
        <w:pStyle w:val="17"/>
        <w:pageBreakBefore w:val="0"/>
        <w:numPr>
          <w:ilvl w:val="0"/>
          <w:numId w:val="2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循环风空调为喷漆室循环风经过空调系统处理后过滤掉油漆分子，给喷漆室输送恒温恒湿空气。</w:t>
      </w:r>
    </w:p>
    <w:p w14:paraId="7A13F316">
      <w:pPr>
        <w:pStyle w:val="17"/>
        <w:pageBreakBefore w:val="0"/>
        <w:numPr>
          <w:ilvl w:val="0"/>
          <w:numId w:val="2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循环风空调为自循环系统。</w:t>
      </w:r>
    </w:p>
    <w:p w14:paraId="4307CE18">
      <w:pPr>
        <w:pStyle w:val="17"/>
        <w:pageBreakBefore w:val="0"/>
        <w:numPr>
          <w:ilvl w:val="0"/>
          <w:numId w:val="22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循环风空调元器件具有防爆功能。</w:t>
      </w:r>
    </w:p>
    <w:p w14:paraId="54B9ED3C">
      <w:pPr>
        <w:pStyle w:val="4"/>
        <w:pageBreakBefore w:val="0"/>
        <w:numPr>
          <w:ilvl w:val="0"/>
          <w:numId w:val="219"/>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喷漆室循环风空调材质要求</w:t>
      </w:r>
    </w:p>
    <w:p w14:paraId="31499D7C">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循环风空调油漆分子比较多，为了保证能够送出更洁净的风，过滤级别要比正常送风空调要高，至少需要三道过滤配置。</w:t>
      </w:r>
    </w:p>
    <w:p w14:paraId="6C0868A3">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第一道过滤为漆雾过滤器，框架材质为不锈钢，必须保证漆雾的有效过滤。该过滤器材每个空调提供两套</w:t>
      </w:r>
      <w:r>
        <w:rPr>
          <w:rFonts w:hint="eastAsia" w:ascii="宋体" w:hAnsi="宋体" w:eastAsia="宋体" w:cs="宋体"/>
          <w:color w:val="auto"/>
        </w:rPr>
        <w:t>，一用一备</w:t>
      </w:r>
      <w:r>
        <w:rPr>
          <w:rFonts w:hint="eastAsia" w:ascii="宋体" w:hAnsi="宋体" w:eastAsia="宋体" w:cs="宋体"/>
        </w:rPr>
        <w:t>。</w:t>
      </w:r>
    </w:p>
    <w:p w14:paraId="19FEB40E">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设备内部所有与风接触的地方均需采用不锈钢材质，如：内板、内部骨架、挡板封板、过滤器框架等。</w:t>
      </w:r>
    </w:p>
    <w:p w14:paraId="5AE48671">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表冷段之前内部与空气接触的型钢及支撑全部采用不锈钢材料。</w:t>
      </w:r>
    </w:p>
    <w:p w14:paraId="7999E33F">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表冷段前（包含表冷段）所有骨架采用60*60*1.5mm不锈钢方钢管，所有内壁板采用1.5mm不锈钢板。</w:t>
      </w:r>
    </w:p>
    <w:p w14:paraId="563A5B13">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表冷段前所有封板以及安装辅材均采用不锈钢材质。</w:t>
      </w:r>
    </w:p>
    <w:p w14:paraId="17202D95">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表冷器、加热器为铜管串亲水铝箔，</w:t>
      </w:r>
      <w:r>
        <w:rPr>
          <w:rFonts w:hint="eastAsia" w:ascii="宋体" w:hAnsi="宋体" w:eastAsia="宋体" w:cs="宋体"/>
          <w:lang w:val="en-US" w:eastAsia="zh-CN"/>
        </w:rPr>
        <w:t>亲水型铝合金</w:t>
      </w:r>
      <w:r>
        <w:rPr>
          <w:rFonts w:hint="eastAsia" w:ascii="宋体" w:hAnsi="宋体" w:eastAsia="宋体" w:cs="宋体"/>
        </w:rPr>
        <w:t>挡水板。</w:t>
      </w:r>
    </w:p>
    <w:p w14:paraId="3D676DC7">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漆雾过滤器以及第一道中效过滤器安装框架均为1.2mm不锈钢板材质。</w:t>
      </w:r>
    </w:p>
    <w:p w14:paraId="5201722D">
      <w:pPr>
        <w:pStyle w:val="17"/>
        <w:pageBreakBefore w:val="0"/>
        <w:numPr>
          <w:ilvl w:val="0"/>
          <w:numId w:val="22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循环风机组检修灯采用外置LED灯箱。</w:t>
      </w:r>
    </w:p>
    <w:p w14:paraId="38208A6D">
      <w:pPr>
        <w:pStyle w:val="3"/>
        <w:pageBreakBefore w:val="0"/>
        <w:numPr>
          <w:ilvl w:val="0"/>
          <w:numId w:val="20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各功能段配置及要求</w:t>
      </w:r>
    </w:p>
    <w:p w14:paraId="786871F9">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（●—表示有配置；</w:t>
      </w:r>
      <w:r>
        <w:rPr>
          <w:rFonts w:hint="eastAsia" w:ascii="宋体" w:hAnsi="宋体" w:eastAsia="宋体" w:cs="宋体"/>
          <w:lang w:val="en-US" w:eastAsia="zh-CN"/>
        </w:rPr>
        <w:t>/</w:t>
      </w:r>
      <w:r>
        <w:rPr>
          <w:rFonts w:hint="eastAsia" w:ascii="宋体" w:hAnsi="宋体" w:eastAsia="宋体" w:cs="宋体"/>
        </w:rPr>
        <w:t>—表示预留配置）</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91"/>
        <w:gridCol w:w="529"/>
        <w:gridCol w:w="682"/>
        <w:gridCol w:w="529"/>
        <w:gridCol w:w="662"/>
        <w:gridCol w:w="662"/>
        <w:gridCol w:w="566"/>
        <w:gridCol w:w="821"/>
        <w:gridCol w:w="547"/>
        <w:gridCol w:w="547"/>
        <w:gridCol w:w="1848"/>
      </w:tblGrid>
      <w:tr w14:paraId="02869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blHeader/>
        </w:trPr>
        <w:tc>
          <w:tcPr>
            <w:tcW w:w="343" w:type="pct"/>
            <w:vAlign w:val="center"/>
          </w:tcPr>
          <w:p w14:paraId="1A2D408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编号</w:t>
            </w:r>
          </w:p>
        </w:tc>
        <w:tc>
          <w:tcPr>
            <w:tcW w:w="824" w:type="pct"/>
            <w:vAlign w:val="center"/>
          </w:tcPr>
          <w:p w14:paraId="0247C0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空调名称</w:t>
            </w:r>
          </w:p>
        </w:tc>
        <w:tc>
          <w:tcPr>
            <w:tcW w:w="274" w:type="pct"/>
            <w:vAlign w:val="center"/>
          </w:tcPr>
          <w:p w14:paraId="4D1C73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进风段</w:t>
            </w:r>
          </w:p>
        </w:tc>
        <w:tc>
          <w:tcPr>
            <w:tcW w:w="353" w:type="pct"/>
            <w:vAlign w:val="center"/>
          </w:tcPr>
          <w:p w14:paraId="7234A2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漆雾过滤段</w:t>
            </w:r>
          </w:p>
        </w:tc>
        <w:tc>
          <w:tcPr>
            <w:tcW w:w="274" w:type="pct"/>
            <w:vAlign w:val="center"/>
          </w:tcPr>
          <w:p w14:paraId="5B4AD6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初效段</w:t>
            </w:r>
          </w:p>
        </w:tc>
        <w:tc>
          <w:tcPr>
            <w:tcW w:w="343" w:type="pct"/>
            <w:vAlign w:val="center"/>
          </w:tcPr>
          <w:p w14:paraId="6C574E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表</w:t>
            </w:r>
          </w:p>
          <w:p w14:paraId="6DA7AD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冷</w:t>
            </w:r>
          </w:p>
          <w:p w14:paraId="62F8E84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段</w:t>
            </w:r>
          </w:p>
        </w:tc>
        <w:tc>
          <w:tcPr>
            <w:tcW w:w="343" w:type="pct"/>
            <w:vAlign w:val="center"/>
          </w:tcPr>
          <w:p w14:paraId="590DA5B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天燃气加热段</w:t>
            </w:r>
          </w:p>
        </w:tc>
        <w:tc>
          <w:tcPr>
            <w:tcW w:w="293" w:type="pct"/>
            <w:vAlign w:val="center"/>
          </w:tcPr>
          <w:p w14:paraId="16219D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加湿段</w:t>
            </w:r>
          </w:p>
        </w:tc>
        <w:tc>
          <w:tcPr>
            <w:tcW w:w="425" w:type="pct"/>
            <w:vAlign w:val="center"/>
          </w:tcPr>
          <w:p w14:paraId="5B9078F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热水加热段</w:t>
            </w:r>
          </w:p>
        </w:tc>
        <w:tc>
          <w:tcPr>
            <w:tcW w:w="283" w:type="pct"/>
            <w:vAlign w:val="center"/>
          </w:tcPr>
          <w:p w14:paraId="347989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中效段</w:t>
            </w:r>
          </w:p>
        </w:tc>
        <w:tc>
          <w:tcPr>
            <w:tcW w:w="283" w:type="pct"/>
            <w:vAlign w:val="center"/>
          </w:tcPr>
          <w:p w14:paraId="3DCF4E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风机段</w:t>
            </w:r>
          </w:p>
        </w:tc>
        <w:tc>
          <w:tcPr>
            <w:tcW w:w="957" w:type="pct"/>
            <w:vAlign w:val="center"/>
          </w:tcPr>
          <w:p w14:paraId="7647FAA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78120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43" w:type="pct"/>
            <w:vAlign w:val="center"/>
          </w:tcPr>
          <w:p w14:paraId="19FA10A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824" w:type="pct"/>
            <w:vAlign w:val="center"/>
          </w:tcPr>
          <w:p w14:paraId="09BEDC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空调机组1</w:t>
            </w:r>
          </w:p>
        </w:tc>
        <w:tc>
          <w:tcPr>
            <w:tcW w:w="274" w:type="pct"/>
            <w:vAlign w:val="center"/>
          </w:tcPr>
          <w:p w14:paraId="679804A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53" w:type="pct"/>
            <w:vAlign w:val="center"/>
          </w:tcPr>
          <w:p w14:paraId="62F727D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36AD71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03E8BD8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43" w:type="pct"/>
            <w:vAlign w:val="center"/>
          </w:tcPr>
          <w:p w14:paraId="7F21A23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vAlign w:val="center"/>
          </w:tcPr>
          <w:p w14:paraId="36DC350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425" w:type="pct"/>
            <w:vAlign w:val="center"/>
          </w:tcPr>
          <w:p w14:paraId="52A609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134B11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4822D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759295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利旧，增加表冷段</w:t>
            </w:r>
          </w:p>
        </w:tc>
      </w:tr>
      <w:tr w14:paraId="4A710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exact"/>
        </w:trPr>
        <w:tc>
          <w:tcPr>
            <w:tcW w:w="343" w:type="pct"/>
            <w:vAlign w:val="center"/>
          </w:tcPr>
          <w:p w14:paraId="56BD600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824" w:type="pct"/>
            <w:vAlign w:val="center"/>
          </w:tcPr>
          <w:p w14:paraId="01A69F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bCs/>
                <w:sz w:val="24"/>
                <w:szCs w:val="24"/>
                <w:lang w:val="en-US" w:eastAsia="zh-CN"/>
              </w:rPr>
              <w:t>空调机组2</w:t>
            </w:r>
          </w:p>
        </w:tc>
        <w:tc>
          <w:tcPr>
            <w:tcW w:w="274" w:type="pct"/>
            <w:vAlign w:val="center"/>
          </w:tcPr>
          <w:p w14:paraId="1274E9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53" w:type="pct"/>
            <w:vAlign w:val="center"/>
          </w:tcPr>
          <w:p w14:paraId="4CFBDBF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234D98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4F08C3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43" w:type="pct"/>
            <w:vAlign w:val="center"/>
          </w:tcPr>
          <w:p w14:paraId="07C9D6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vAlign w:val="center"/>
          </w:tcPr>
          <w:p w14:paraId="03B72E1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425" w:type="pct"/>
            <w:vAlign w:val="center"/>
          </w:tcPr>
          <w:p w14:paraId="6EDC42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04B51A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49FD1E2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5474A4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利旧，增加表冷段</w:t>
            </w:r>
          </w:p>
        </w:tc>
      </w:tr>
      <w:tr w14:paraId="3B178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43" w:type="pct"/>
            <w:vAlign w:val="center"/>
          </w:tcPr>
          <w:p w14:paraId="001BAB9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824" w:type="pct"/>
            <w:vAlign w:val="center"/>
          </w:tcPr>
          <w:p w14:paraId="1872520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bCs/>
                <w:sz w:val="24"/>
                <w:szCs w:val="24"/>
                <w:lang w:val="en-US" w:eastAsia="zh-CN"/>
              </w:rPr>
              <w:t>空调机组3</w:t>
            </w:r>
          </w:p>
        </w:tc>
        <w:tc>
          <w:tcPr>
            <w:tcW w:w="274" w:type="pct"/>
            <w:vAlign w:val="center"/>
          </w:tcPr>
          <w:p w14:paraId="3A114D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53" w:type="pct"/>
            <w:vAlign w:val="center"/>
          </w:tcPr>
          <w:p w14:paraId="3654D5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4BB6301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7CDF2DD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343" w:type="pct"/>
            <w:vAlign w:val="center"/>
          </w:tcPr>
          <w:p w14:paraId="7D739B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vAlign w:val="center"/>
          </w:tcPr>
          <w:p w14:paraId="701DEB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425" w:type="pct"/>
            <w:vAlign w:val="center"/>
          </w:tcPr>
          <w:p w14:paraId="649476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79B2410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5A8FB03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616742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lang w:val="en-US" w:eastAsia="zh-CN"/>
              </w:rPr>
              <w:t>利旧，增加表冷段</w:t>
            </w:r>
          </w:p>
        </w:tc>
      </w:tr>
      <w:tr w14:paraId="382B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43" w:type="pct"/>
            <w:vAlign w:val="center"/>
          </w:tcPr>
          <w:p w14:paraId="3A4317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24" w:type="pct"/>
            <w:vAlign w:val="center"/>
          </w:tcPr>
          <w:p w14:paraId="10FDFAB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空调机组4</w:t>
            </w:r>
          </w:p>
        </w:tc>
        <w:tc>
          <w:tcPr>
            <w:tcW w:w="274" w:type="pct"/>
            <w:shd w:val="clear" w:color="auto" w:fill="auto"/>
            <w:vAlign w:val="center"/>
          </w:tcPr>
          <w:p w14:paraId="0BE082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27CFEFC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491A37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0FFCB7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0FB6F6A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0A3124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7B0088C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C416E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D6A2FE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shd w:val="clear" w:color="auto" w:fill="auto"/>
            <w:vAlign w:val="center"/>
          </w:tcPr>
          <w:p w14:paraId="4915398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利旧，增加全功能段</w:t>
            </w:r>
          </w:p>
        </w:tc>
      </w:tr>
      <w:tr w14:paraId="11D3A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vAlign w:val="center"/>
          </w:tcPr>
          <w:p w14:paraId="6235156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24" w:type="pct"/>
            <w:vAlign w:val="center"/>
          </w:tcPr>
          <w:p w14:paraId="382AF40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空调机组6</w:t>
            </w:r>
          </w:p>
        </w:tc>
        <w:tc>
          <w:tcPr>
            <w:tcW w:w="274" w:type="pct"/>
            <w:shd w:val="clear" w:color="auto" w:fill="auto"/>
            <w:vAlign w:val="center"/>
          </w:tcPr>
          <w:p w14:paraId="4337CFC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5C7C509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135A9B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432384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65CC15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5A2F51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3B9E828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C3195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355880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190F0E1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z w:val="24"/>
                <w:szCs w:val="24"/>
                <w:lang w:val="en-US" w:eastAsia="zh-CN"/>
              </w:rPr>
              <w:t>利旧</w:t>
            </w:r>
          </w:p>
        </w:tc>
      </w:tr>
      <w:tr w14:paraId="1C774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vAlign w:val="center"/>
          </w:tcPr>
          <w:p w14:paraId="7BAD584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824" w:type="pct"/>
            <w:vAlign w:val="center"/>
          </w:tcPr>
          <w:p w14:paraId="2BE61C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lang w:val="en-US" w:eastAsia="zh-CN"/>
              </w:rPr>
              <w:t>空调机组7</w:t>
            </w:r>
          </w:p>
        </w:tc>
        <w:tc>
          <w:tcPr>
            <w:tcW w:w="274" w:type="pct"/>
            <w:shd w:val="clear" w:color="auto" w:fill="auto"/>
            <w:vAlign w:val="center"/>
          </w:tcPr>
          <w:p w14:paraId="37DBA39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1CD648D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365352E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7938A2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12F2F0B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7768E8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06A483B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307D0C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627493A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7F35ECD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z w:val="24"/>
                <w:szCs w:val="24"/>
                <w:lang w:val="en-US" w:eastAsia="zh-CN"/>
              </w:rPr>
              <w:t>利旧</w:t>
            </w:r>
          </w:p>
        </w:tc>
      </w:tr>
      <w:tr w14:paraId="6A66B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vAlign w:val="center"/>
          </w:tcPr>
          <w:p w14:paraId="27DF35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824" w:type="pct"/>
            <w:vAlign w:val="center"/>
          </w:tcPr>
          <w:p w14:paraId="4F88E8A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空调机组8</w:t>
            </w:r>
          </w:p>
        </w:tc>
        <w:tc>
          <w:tcPr>
            <w:tcW w:w="274" w:type="pct"/>
            <w:shd w:val="clear" w:color="auto" w:fill="auto"/>
            <w:vAlign w:val="center"/>
          </w:tcPr>
          <w:p w14:paraId="76FF5B1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0BA8DEF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46A1C6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766C08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4F5BDE6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1C61EF1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57EC57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38A075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7DCE19B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42C55F0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z w:val="24"/>
                <w:szCs w:val="24"/>
                <w:lang w:val="en-US" w:eastAsia="zh-CN"/>
              </w:rPr>
              <w:t>利旧</w:t>
            </w:r>
          </w:p>
        </w:tc>
      </w:tr>
      <w:tr w14:paraId="1C28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43" w:type="pct"/>
            <w:shd w:val="clear" w:color="auto" w:fill="auto"/>
            <w:vAlign w:val="center"/>
          </w:tcPr>
          <w:p w14:paraId="25814FD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8</w:t>
            </w:r>
          </w:p>
        </w:tc>
        <w:tc>
          <w:tcPr>
            <w:tcW w:w="824" w:type="pct"/>
            <w:shd w:val="clear" w:color="auto" w:fill="auto"/>
            <w:vAlign w:val="center"/>
          </w:tcPr>
          <w:p w14:paraId="5FDE5B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空调机组9</w:t>
            </w:r>
          </w:p>
        </w:tc>
        <w:tc>
          <w:tcPr>
            <w:tcW w:w="274" w:type="pct"/>
            <w:shd w:val="clear" w:color="auto" w:fill="auto"/>
            <w:vAlign w:val="center"/>
          </w:tcPr>
          <w:p w14:paraId="7E17D28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shd w:val="clear" w:color="auto" w:fill="auto"/>
            <w:vAlign w:val="center"/>
          </w:tcPr>
          <w:p w14:paraId="74A52B6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74" w:type="pct"/>
            <w:shd w:val="clear" w:color="auto" w:fill="auto"/>
            <w:vAlign w:val="center"/>
          </w:tcPr>
          <w:p w14:paraId="5CD5FFA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55134C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75BD42"/>
                <w:kern w:val="2"/>
                <w:sz w:val="24"/>
                <w:szCs w:val="24"/>
                <w:highlight w:val="yellow"/>
                <w:lang w:val="en-US" w:eastAsia="zh-CN" w:bidi="ar-SA"/>
              </w:rPr>
            </w:pPr>
            <w:r>
              <w:rPr>
                <w:rFonts w:hint="eastAsia" w:ascii="宋体" w:hAnsi="宋体" w:eastAsia="宋体" w:cs="宋体"/>
                <w:sz w:val="24"/>
                <w:szCs w:val="24"/>
              </w:rPr>
              <w:t>/</w:t>
            </w:r>
          </w:p>
        </w:tc>
        <w:tc>
          <w:tcPr>
            <w:tcW w:w="343" w:type="pct"/>
            <w:shd w:val="clear" w:color="auto" w:fill="auto"/>
            <w:vAlign w:val="center"/>
          </w:tcPr>
          <w:p w14:paraId="0C7719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93" w:type="pct"/>
            <w:shd w:val="clear" w:color="auto" w:fill="auto"/>
            <w:vAlign w:val="center"/>
          </w:tcPr>
          <w:p w14:paraId="3FA4073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479F210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5461A58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shd w:val="clear" w:color="auto" w:fill="auto"/>
            <w:vAlign w:val="center"/>
          </w:tcPr>
          <w:p w14:paraId="4F8EC9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957" w:type="pct"/>
            <w:shd w:val="clear" w:color="auto" w:fill="auto"/>
            <w:vAlign w:val="center"/>
          </w:tcPr>
          <w:p w14:paraId="47F645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kern w:val="2"/>
                <w:sz w:val="24"/>
                <w:szCs w:val="24"/>
                <w:lang w:val="en-US" w:eastAsia="zh-CN" w:bidi="ar-SA"/>
              </w:rPr>
            </w:pPr>
            <w:r>
              <w:rPr>
                <w:rFonts w:hint="eastAsia" w:ascii="宋体" w:hAnsi="宋体" w:eastAsia="宋体" w:cs="宋体"/>
                <w:sz w:val="24"/>
                <w:szCs w:val="24"/>
                <w:lang w:val="en-US" w:eastAsia="zh-CN"/>
              </w:rPr>
              <w:t>拆除、做排风过滤</w:t>
            </w:r>
          </w:p>
        </w:tc>
      </w:tr>
      <w:tr w14:paraId="469A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43" w:type="pct"/>
            <w:shd w:val="clear" w:color="auto" w:fill="auto"/>
            <w:vAlign w:val="center"/>
          </w:tcPr>
          <w:p w14:paraId="4EDE5EC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9</w:t>
            </w:r>
          </w:p>
        </w:tc>
        <w:tc>
          <w:tcPr>
            <w:tcW w:w="824" w:type="pct"/>
            <w:vAlign w:val="center"/>
          </w:tcPr>
          <w:p w14:paraId="21DE03C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空调机组10</w:t>
            </w:r>
          </w:p>
        </w:tc>
        <w:tc>
          <w:tcPr>
            <w:tcW w:w="274" w:type="pct"/>
            <w:shd w:val="clear" w:color="auto" w:fill="auto"/>
            <w:vAlign w:val="center"/>
          </w:tcPr>
          <w:p w14:paraId="30691F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4436351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678FBA2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1F19E97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w:t>
            </w:r>
          </w:p>
        </w:tc>
        <w:tc>
          <w:tcPr>
            <w:tcW w:w="343" w:type="pct"/>
            <w:vAlign w:val="center"/>
          </w:tcPr>
          <w:p w14:paraId="16B2CB8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7473A14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2C81F9B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3702F83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2AE186C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272A90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z w:val="24"/>
                <w:szCs w:val="24"/>
                <w:lang w:val="en-US" w:eastAsia="zh-CN"/>
              </w:rPr>
              <w:t>利旧，增加表冷段</w:t>
            </w:r>
          </w:p>
        </w:tc>
      </w:tr>
      <w:tr w14:paraId="700D6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343" w:type="pct"/>
            <w:shd w:val="clear" w:color="auto" w:fill="auto"/>
            <w:vAlign w:val="center"/>
          </w:tcPr>
          <w:p w14:paraId="71B4925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10</w:t>
            </w:r>
          </w:p>
        </w:tc>
        <w:tc>
          <w:tcPr>
            <w:tcW w:w="824" w:type="pct"/>
            <w:vAlign w:val="center"/>
          </w:tcPr>
          <w:p w14:paraId="627F16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空调机组11</w:t>
            </w:r>
          </w:p>
        </w:tc>
        <w:tc>
          <w:tcPr>
            <w:tcW w:w="274" w:type="pct"/>
            <w:shd w:val="clear" w:color="auto" w:fill="auto"/>
            <w:vAlign w:val="center"/>
          </w:tcPr>
          <w:p w14:paraId="44D329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558C26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773DDA9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3C3268D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w:t>
            </w:r>
          </w:p>
        </w:tc>
        <w:tc>
          <w:tcPr>
            <w:tcW w:w="343" w:type="pct"/>
            <w:vAlign w:val="center"/>
          </w:tcPr>
          <w:p w14:paraId="29AEDC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386832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5A631D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724FD4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12CE5B8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489C39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z w:val="24"/>
                <w:szCs w:val="24"/>
                <w:lang w:val="en-US" w:eastAsia="zh-CN"/>
              </w:rPr>
              <w:t>利旧，增加表冷段</w:t>
            </w:r>
          </w:p>
        </w:tc>
      </w:tr>
      <w:tr w14:paraId="58A0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shd w:val="clear" w:color="auto" w:fill="auto"/>
            <w:vAlign w:val="center"/>
          </w:tcPr>
          <w:p w14:paraId="1774A3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11</w:t>
            </w:r>
          </w:p>
        </w:tc>
        <w:tc>
          <w:tcPr>
            <w:tcW w:w="824" w:type="pct"/>
            <w:vAlign w:val="center"/>
          </w:tcPr>
          <w:p w14:paraId="7796F2C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空调机组14</w:t>
            </w:r>
          </w:p>
        </w:tc>
        <w:tc>
          <w:tcPr>
            <w:tcW w:w="274" w:type="pct"/>
            <w:shd w:val="clear" w:color="auto" w:fill="auto"/>
            <w:vAlign w:val="center"/>
          </w:tcPr>
          <w:p w14:paraId="28369A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shd w:val="clear" w:color="auto" w:fill="auto"/>
            <w:vAlign w:val="center"/>
          </w:tcPr>
          <w:p w14:paraId="0A65C4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74" w:type="pct"/>
            <w:shd w:val="clear" w:color="auto" w:fill="auto"/>
            <w:vAlign w:val="center"/>
          </w:tcPr>
          <w:p w14:paraId="509FAF0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720C17C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w:t>
            </w:r>
          </w:p>
        </w:tc>
        <w:tc>
          <w:tcPr>
            <w:tcW w:w="343" w:type="pct"/>
            <w:vAlign w:val="center"/>
          </w:tcPr>
          <w:p w14:paraId="555350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25EF47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16A7480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72476B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488F70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00213B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z w:val="24"/>
                <w:szCs w:val="24"/>
                <w:lang w:val="en-US" w:eastAsia="zh-CN"/>
              </w:rPr>
              <w:t>利旧，增加表冷段</w:t>
            </w:r>
          </w:p>
        </w:tc>
      </w:tr>
      <w:tr w14:paraId="4E83F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shd w:val="clear" w:color="auto" w:fill="auto"/>
            <w:vAlign w:val="center"/>
          </w:tcPr>
          <w:p w14:paraId="2EF266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12</w:t>
            </w:r>
          </w:p>
        </w:tc>
        <w:tc>
          <w:tcPr>
            <w:tcW w:w="824" w:type="pct"/>
            <w:vAlign w:val="center"/>
          </w:tcPr>
          <w:p w14:paraId="21CF55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循环风空调1</w:t>
            </w:r>
          </w:p>
        </w:tc>
        <w:tc>
          <w:tcPr>
            <w:tcW w:w="274" w:type="pct"/>
            <w:shd w:val="clear" w:color="auto" w:fill="auto"/>
            <w:vAlign w:val="center"/>
          </w:tcPr>
          <w:p w14:paraId="026DC1C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34540B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shd w:val="clear" w:color="auto" w:fill="auto"/>
            <w:vAlign w:val="center"/>
          </w:tcPr>
          <w:p w14:paraId="6C7D80A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shd w:val="clear" w:color="auto" w:fill="auto"/>
            <w:vAlign w:val="center"/>
          </w:tcPr>
          <w:p w14:paraId="7B7EC60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247C52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691404C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4EF13C7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0D62CE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69B08D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7D0A32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新增</w:t>
            </w:r>
          </w:p>
        </w:tc>
      </w:tr>
      <w:tr w14:paraId="237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shd w:val="clear" w:color="auto" w:fill="auto"/>
            <w:vAlign w:val="center"/>
          </w:tcPr>
          <w:p w14:paraId="7500C0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13</w:t>
            </w:r>
          </w:p>
        </w:tc>
        <w:tc>
          <w:tcPr>
            <w:tcW w:w="824" w:type="pct"/>
            <w:vAlign w:val="center"/>
          </w:tcPr>
          <w:p w14:paraId="5398D15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循环风空调2</w:t>
            </w:r>
          </w:p>
        </w:tc>
        <w:tc>
          <w:tcPr>
            <w:tcW w:w="274" w:type="pct"/>
            <w:shd w:val="clear" w:color="auto" w:fill="auto"/>
            <w:vAlign w:val="center"/>
          </w:tcPr>
          <w:p w14:paraId="7D2A9A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724D5F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3B949AE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shd w:val="clear" w:color="auto" w:fill="auto"/>
            <w:vAlign w:val="center"/>
          </w:tcPr>
          <w:p w14:paraId="7F4CD40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43" w:type="pct"/>
            <w:vAlign w:val="center"/>
          </w:tcPr>
          <w:p w14:paraId="3F436FC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5A6CF9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4C5640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037D6DF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529D628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038FF87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新增</w:t>
            </w:r>
          </w:p>
        </w:tc>
      </w:tr>
      <w:tr w14:paraId="36FA7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43" w:type="pct"/>
            <w:shd w:val="clear" w:color="auto" w:fill="auto"/>
            <w:vAlign w:val="center"/>
          </w:tcPr>
          <w:p w14:paraId="2B8B80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14</w:t>
            </w:r>
          </w:p>
        </w:tc>
        <w:tc>
          <w:tcPr>
            <w:tcW w:w="824" w:type="pct"/>
            <w:vAlign w:val="center"/>
          </w:tcPr>
          <w:p w14:paraId="77D759E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循环风空调3</w:t>
            </w:r>
          </w:p>
        </w:tc>
        <w:tc>
          <w:tcPr>
            <w:tcW w:w="274" w:type="pct"/>
            <w:shd w:val="clear" w:color="auto" w:fill="auto"/>
            <w:vAlign w:val="center"/>
          </w:tcPr>
          <w:p w14:paraId="7F0444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3B72FD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104907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31C7FE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6011EC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40B480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shd w:val="clear" w:color="auto" w:fill="auto"/>
            <w:vAlign w:val="center"/>
          </w:tcPr>
          <w:p w14:paraId="05B85F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283" w:type="pct"/>
            <w:vAlign w:val="center"/>
          </w:tcPr>
          <w:p w14:paraId="3B1AB3E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50CCEC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3A3110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新增</w:t>
            </w:r>
          </w:p>
        </w:tc>
      </w:tr>
      <w:tr w14:paraId="16E75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43" w:type="pct"/>
            <w:vAlign w:val="center"/>
          </w:tcPr>
          <w:p w14:paraId="611F59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824" w:type="pct"/>
            <w:vAlign w:val="center"/>
          </w:tcPr>
          <w:p w14:paraId="32EA667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循环风空调4</w:t>
            </w:r>
          </w:p>
        </w:tc>
        <w:tc>
          <w:tcPr>
            <w:tcW w:w="274" w:type="pct"/>
            <w:shd w:val="clear" w:color="auto" w:fill="auto"/>
            <w:vAlign w:val="center"/>
          </w:tcPr>
          <w:p w14:paraId="78A407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353" w:type="pct"/>
            <w:vAlign w:val="center"/>
          </w:tcPr>
          <w:p w14:paraId="4A5D25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74" w:type="pct"/>
            <w:vAlign w:val="center"/>
          </w:tcPr>
          <w:p w14:paraId="7535CC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16D7D1B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343" w:type="pct"/>
            <w:vAlign w:val="center"/>
          </w:tcPr>
          <w:p w14:paraId="69E7FA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93" w:type="pct"/>
            <w:shd w:val="clear" w:color="auto" w:fill="auto"/>
            <w:vAlign w:val="center"/>
          </w:tcPr>
          <w:p w14:paraId="3348DBF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rPr>
              <w:t>●</w:t>
            </w:r>
          </w:p>
        </w:tc>
        <w:tc>
          <w:tcPr>
            <w:tcW w:w="425" w:type="pct"/>
            <w:vAlign w:val="center"/>
          </w:tcPr>
          <w:p w14:paraId="783C19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322D2F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283" w:type="pct"/>
            <w:vAlign w:val="center"/>
          </w:tcPr>
          <w:p w14:paraId="64DF33E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w:t>
            </w:r>
          </w:p>
        </w:tc>
        <w:tc>
          <w:tcPr>
            <w:tcW w:w="957" w:type="pct"/>
            <w:vAlign w:val="center"/>
          </w:tcPr>
          <w:p w14:paraId="77C10A9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pacing w:val="4"/>
                <w:sz w:val="24"/>
                <w:szCs w:val="24"/>
              </w:rPr>
            </w:pPr>
            <w:r>
              <w:rPr>
                <w:rFonts w:hint="eastAsia" w:ascii="宋体" w:hAnsi="宋体" w:eastAsia="宋体" w:cs="宋体"/>
                <w:spacing w:val="4"/>
                <w:sz w:val="24"/>
                <w:szCs w:val="24"/>
                <w:lang w:val="en-US" w:eastAsia="zh-CN"/>
              </w:rPr>
              <w:t>新增</w:t>
            </w:r>
          </w:p>
        </w:tc>
      </w:tr>
    </w:tbl>
    <w:p w14:paraId="0EA2153C">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p>
    <w:p w14:paraId="204DFA08">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进风段（含入口风管）</w:t>
      </w:r>
    </w:p>
    <w:p w14:paraId="2A9EAAD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从厂房空调机房墙壁上百叶窗或沉降室以及厂房屋面进风室到每台空调机组进风段之间的风管，均采用装配式结构1.5mm厚镀锌风管，风管外表面做岩棉保温(容重：100kg/m³，厚度150mm)，设置必要的镀锌支架（支架上垫木板）或吊架，确保牢固可靠。此段风管内底板设有冷凝水和雨水排水管排至室外，入口连接处要求密封严实。在空调进风口处设有连接用法兰用于安装保温型电动对开多叶调节阀，调节风阀采用流线型叶片，风阀设置刻度盘，要求开启转动灵活，关闭严密，风阀即能自动又能手动，要求动作灵敏，操作方便可靠，能关严，叶片不变形。电动执行器参照品牌清单选购，工作电压AC220V，信号4～20mA。所有空调机组入口风阀与风机开关互锁，在机组开机时，风阀逐步打开，机组正常运行时风阀稳定在一个位置，机组关闭时，风阀关闭到位。进风段一侧设有密闭性检修门，室体侧面要求安装指针式温湿度计，能直接观察进风温湿度。</w:t>
      </w:r>
    </w:p>
    <w:p w14:paraId="34C39906">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初效过滤段</w:t>
      </w:r>
    </w:p>
    <w:p w14:paraId="23EBA74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选用标准6袋式结构（592X592X600mm），过滤精度为G4（EU4），材质为优质化纤无纺滤料。内部设有安装袋式过滤器的框架，过滤框架与室体框架密封性好。除从过滤袋滤风外，其他部位不应有漏风现象。在装过滤袋侧设有装高位过滤器用的走台和直梯（走台带安全栏杆），要求过滤器采用快速卡扣式或者弹簧压片锁紧，便于更换。框架要求制作精细，对角线误差不大于2mm，框架上与过滤袋接触面加密封软垫，确保密封。两框架间及框架与型钢间采用螺栓连接，缝隙处涂不含硅酮的密封胶。段体侧面安装有数显式压差计便于直接观察过滤袋压差变化。</w:t>
      </w:r>
    </w:p>
    <w:p w14:paraId="4024B87C">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天然气直接加热段</w:t>
      </w:r>
    </w:p>
    <w:p w14:paraId="6B91103C">
      <w:pPr>
        <w:pStyle w:val="17"/>
        <w:pageBreakBefore w:val="0"/>
        <w:numPr>
          <w:ilvl w:val="0"/>
          <w:numId w:val="2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组的一次加热段采用进口天燃气直接加热设备，燃烧系统配备内置燃烧器，配备管路系统及燃烧控制系统，能实现送风温度的自动控制，该加热段应与燃烧器供货厂家进行共同设计制作。调节比均为30：1。燃烧产物必须满足国内目前最新排放标准。本系统应带有全套天燃气自动检测、自动控制、自动点火、自动温度调节、安全保护等控制组件。燃烧器最大供热量在满足工艺条件（一次加热量）时，应有5%的富余量。直燃式空气加热装置应与风机联锁，可根据风机风量变化自动调节空气加热装置，以适应其变化，保证充分燃烧和空气温度的自动调节。直燃式空气加热装置烧嘴火焰下游应安装火焰隔热板、火焰分焰锥（耐高温不锈钢SUS310s）等辅助设备、隔热板的长度必须根据燃烧器厂家的建议完成。加热段的段面挡板必须由燃烧器厂家提供制作图纸，段面风速要满足安全洁净燃烧的要求、加热段火焰下游的功能段材料要耐温150℃及阻燃。</w:t>
      </w:r>
    </w:p>
    <w:p w14:paraId="0387F7C9">
      <w:pPr>
        <w:pStyle w:val="17"/>
        <w:pageBreakBefore w:val="0"/>
        <w:numPr>
          <w:ilvl w:val="0"/>
          <w:numId w:val="2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lang w:val="en-US" w:eastAsia="zh-CN"/>
        </w:rPr>
        <w:t>新增</w:t>
      </w:r>
      <w:r>
        <w:rPr>
          <w:rFonts w:hint="eastAsia" w:ascii="宋体" w:hAnsi="宋体" w:eastAsia="宋体" w:cs="宋体"/>
          <w:color w:val="auto"/>
        </w:rPr>
        <w:t>主要组成部分有：流量计、天燃气主控阀门、天燃气过滤系统、天燃气流量自动控制调节阀组、天燃气压力调节阀组、天燃气压力调节阀前后压力检测装置、天燃气泄漏检测器及紧急切断阀、天燃气压力恒压器、天燃气供气压力过低保护器及模块支架。</w:t>
      </w:r>
    </w:p>
    <w:p w14:paraId="7A325E4E">
      <w:pPr>
        <w:pStyle w:val="17"/>
        <w:pageBreakBefore w:val="0"/>
        <w:numPr>
          <w:ilvl w:val="0"/>
          <w:numId w:val="22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lang w:val="en-US" w:eastAsia="zh-CN"/>
        </w:rPr>
      </w:pPr>
      <w:r>
        <w:rPr>
          <w:rFonts w:hint="eastAsia" w:ascii="宋体" w:hAnsi="宋体" w:eastAsia="宋体" w:cs="宋体"/>
          <w:color w:val="auto"/>
          <w:lang w:val="en-US" w:eastAsia="zh-CN"/>
        </w:rPr>
        <w:t>燃烧控制系统的安全连锁功能：自动吹扫功能、自动安全连锁检测功能（空调机组风机启停连锁、燃烧器段面安全风压连锁、燃气高、低压力连锁、超温连锁）、自动泄漏检测功能、自动点小火功能、全程火焰监测功能、自动转主火功能、自动温度控制功能、自动故障切断报警功能。</w:t>
      </w:r>
    </w:p>
    <w:p w14:paraId="1C0E7C1E">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color w:val="auto"/>
          <w:sz w:val="24"/>
        </w:rPr>
      </w:pPr>
      <w:r>
        <w:rPr>
          <w:rFonts w:hint="eastAsia" w:ascii="宋体" w:hAnsi="宋体" w:eastAsia="宋体" w:cs="宋体"/>
          <w:color w:val="auto"/>
          <w:sz w:val="24"/>
        </w:rPr>
        <w:t>预组装管路系统</w:t>
      </w:r>
    </w:p>
    <w:p w14:paraId="6830DDE4">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所提供的预组装管路系统应满足中国安全消防规定。</w:t>
      </w:r>
    </w:p>
    <w:p w14:paraId="6B4C62A6">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配有2个手动球阀(配标准的不锈钢手动球阀)，用于手动开启或关断燃气管路的燃气供应。</w:t>
      </w:r>
    </w:p>
    <w:p w14:paraId="5D9BBBAD">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配有燃气过滤器（高于40目滤网），用于去除燃气供应中的杂质。</w:t>
      </w:r>
    </w:p>
    <w:p w14:paraId="36AB7EF9">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配有国产名牌8位数的流量计。</w:t>
      </w:r>
    </w:p>
    <w:p w14:paraId="10CD24E3">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配有主燃气调节阀，用于调节主燃气管路中的燃气压力。</w:t>
      </w:r>
    </w:p>
    <w:p w14:paraId="52D980CA">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配有燃气低压压力开关，当主燃气管路中的燃气压力低于设定值时，燃气供应自动关闭，以保证安全。</w:t>
      </w:r>
    </w:p>
    <w:p w14:paraId="4ABD8860">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配有燃气高位压力开关，当主燃气管路中的燃气压力超过设定值时，燃气供应自动关断，以保证安全。</w:t>
      </w:r>
    </w:p>
    <w:p w14:paraId="4C457A8F">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w:t>
      </w:r>
      <w:r>
        <w:rPr>
          <w:rFonts w:hint="eastAsia" w:ascii="宋体" w:hAnsi="宋体" w:eastAsia="宋体" w:cs="宋体"/>
          <w:color w:val="auto"/>
        </w:rPr>
        <w:t>有2个安全切断</w:t>
      </w:r>
      <w:r>
        <w:rPr>
          <w:rFonts w:hint="eastAsia" w:ascii="宋体" w:hAnsi="宋体" w:eastAsia="宋体" w:cs="宋体"/>
          <w:color w:val="auto"/>
          <w:lang w:val="en-US" w:eastAsia="zh-CN"/>
        </w:rPr>
        <w:t>电磁</w:t>
      </w:r>
      <w:r>
        <w:rPr>
          <w:rFonts w:hint="eastAsia" w:ascii="宋体" w:hAnsi="宋体" w:eastAsia="宋体" w:cs="宋体"/>
          <w:color w:val="auto"/>
        </w:rPr>
        <w:t>阀；</w:t>
      </w:r>
      <w:r>
        <w:rPr>
          <w:rFonts w:hint="eastAsia" w:ascii="宋体" w:hAnsi="宋体" w:eastAsia="宋体" w:cs="宋体"/>
        </w:rPr>
        <w:t>当燃烧系统中任何安全联锁发出信号时，主安全阀可在瞬间切断主燃气管路的燃气供应,（1控2管路要配置3个安全切断阀），确保燃烧系统的同步使用时及分开使用时的燃气安全切断功能，安全阀之间安装泄露检测阀。</w:t>
      </w:r>
    </w:p>
    <w:p w14:paraId="079D111A">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配有3块带有球阀开关的压力显示表。用于显示燃气管路上的燃气压力。</w:t>
      </w:r>
    </w:p>
    <w:p w14:paraId="7604118D">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配有燃气放散电磁阀和手动球阀，用于放散位于主燃气管路两个关断阀之间的燃气。</w:t>
      </w:r>
    </w:p>
    <w:p w14:paraId="7DD26446">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配有燃气流量控制阀，螺纹连接，允许最大进口压力0.5kg/cm²，带有控制马达，可精确控制燃气的流量以满足温度控制的要求。控制阀配有小火限位开关，保证点小火过渡到主火的安全。控制阀的电动执行机构电动马达能够接受本系统温控器或空调控制系统温控装置送出的4～20mA标准电流信号。</w:t>
      </w:r>
    </w:p>
    <w:p w14:paraId="18C37BF4">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点小火燃气管路，配有点火燃气调压阀，用于调节点火燃气压力，配有点火燃气电磁阀，用于开启和关断点火燃气管路的燃气供应，及压力表。</w:t>
      </w:r>
    </w:p>
    <w:p w14:paraId="4FC81275">
      <w:pPr>
        <w:pStyle w:val="17"/>
        <w:pageBreakBefore w:val="0"/>
        <w:widowControl/>
        <w:numPr>
          <w:ilvl w:val="0"/>
          <w:numId w:val="22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燃烧机机组断面隔板两边需设置压差检测。</w:t>
      </w:r>
    </w:p>
    <w:p w14:paraId="184D1423">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调漆间空调热水加热段</w:t>
      </w:r>
      <w:r>
        <w:rPr>
          <w:rFonts w:hint="eastAsia" w:ascii="宋体" w:hAnsi="宋体" w:eastAsia="宋体" w:cs="宋体"/>
          <w:sz w:val="24"/>
          <w:lang w:eastAsia="zh-CN"/>
        </w:rPr>
        <w:t>（</w:t>
      </w:r>
      <w:r>
        <w:rPr>
          <w:rFonts w:hint="eastAsia" w:ascii="宋体" w:hAnsi="宋体" w:eastAsia="宋体" w:cs="宋体"/>
          <w:sz w:val="24"/>
          <w:lang w:val="en-US" w:eastAsia="zh-CN"/>
        </w:rPr>
        <w:t>利旧，由投标人恢复使用</w:t>
      </w:r>
      <w:r>
        <w:rPr>
          <w:rFonts w:hint="eastAsia" w:ascii="宋体" w:hAnsi="宋体" w:eastAsia="宋体" w:cs="宋体"/>
          <w:sz w:val="24"/>
          <w:lang w:eastAsia="zh-CN"/>
        </w:rPr>
        <w:t>）</w:t>
      </w:r>
    </w:p>
    <w:p w14:paraId="0A4BDACA">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机组加热段选用铜管+亲水铝箔加热器，加热器应具有热阻小、流动阻力低的特点。加热器片距2.5～3.2mm，均管规格为Φ25×2mm（或者Φ22×3mm）。加热管排列方式采用立式布置，应有效的保证所有经过加热器的空气能够得到均匀有效的加热。加热器采用单侧进水和回水，进水管及回水管与公用管径对接。</w:t>
      </w:r>
      <w:r>
        <w:rPr>
          <w:rFonts w:hint="eastAsia" w:ascii="宋体" w:hAnsi="宋体" w:cs="宋体"/>
          <w:lang w:eastAsia="zh-CN"/>
        </w:rPr>
        <w:t>投标人</w:t>
      </w:r>
      <w:r>
        <w:rPr>
          <w:rFonts w:hint="eastAsia" w:ascii="宋体" w:hAnsi="宋体" w:eastAsia="宋体" w:cs="宋体"/>
        </w:rPr>
        <w:t>必须保证能排净换热管内部水，冬天不冻坏加热器，换热器应由国内专业生产厂家制造，要求该制造厂家具有相关资质证明，换热器出厂前应进行压力试验，并提供压力检测报告，如在安装前外表有损伤，亦应再做压力试验，试验压力应为系统最高压力的1.5 倍,不得低于1.2MPa,试验时间2～3min。供货厂家在设计选型时应充分考虑以上因素及空调断面尺寸以便现场安装，换热器设计放气阀和排水阀。</w:t>
      </w:r>
    </w:p>
    <w:p w14:paraId="41BFB360">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表冷段</w:t>
      </w:r>
    </w:p>
    <w:p w14:paraId="61A1311C">
      <w:pPr>
        <w:pStyle w:val="17"/>
        <w:pageBreakBefore w:val="0"/>
        <w:numPr>
          <w:ilvl w:val="0"/>
          <w:numId w:val="22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表冷器采用单侧进水和回水结构。进水管及回水管与公用管径对接。排列方式采用横管布置（带倾斜），</w:t>
      </w:r>
      <w:r>
        <w:rPr>
          <w:rFonts w:hint="eastAsia" w:ascii="宋体" w:hAnsi="宋体" w:cs="宋体"/>
          <w:lang w:eastAsia="zh-CN"/>
        </w:rPr>
        <w:t>投标人</w:t>
      </w:r>
      <w:r>
        <w:rPr>
          <w:rFonts w:hint="eastAsia" w:ascii="宋体" w:hAnsi="宋体" w:eastAsia="宋体" w:cs="宋体"/>
        </w:rPr>
        <w:t>必须保证能排净换热管内部水，冬天不冻坏表冷器。换热器应由国内专业生产厂家制造，材质选用铜管加铝片，要求该制造厂家具有相关资质证明，换热器出厂前应进行水压试验，并提供压力检测报告，如在安装前外表有损伤，亦应再做水压试验，试验压力应为系统最高压力的1.5倍,不得低于1.2MPa,试验时间2～3min。供货厂家在设计选型时应充分考虑以上因素及空调断面尺寸以便现场安装，表冷器后应设置铝合金材质挡水板，并且整个表冷段的下部应设置不锈钢接水盘，可对外排水。</w:t>
      </w:r>
    </w:p>
    <w:p w14:paraId="2F493131">
      <w:pPr>
        <w:pStyle w:val="17"/>
        <w:pageBreakBefore w:val="0"/>
        <w:numPr>
          <w:ilvl w:val="0"/>
          <w:numId w:val="22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表冷段选用热阻小、流动阻力低的铜管串铝片型表冷器，表冷器片距2.8～3.2mm，铜管规格为Φ16×0.5mm，铝铂厚度为0.13mm。表冷器管程数应合理设计以确保表冷器的产冷量和低水阻力运行，凝结水盘设计确保表冷段的凝结水能够顺利的排放，表冷器设计放气阀和排水阀。</w:t>
      </w:r>
    </w:p>
    <w:p w14:paraId="5056F12B">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喷淋加湿段</w:t>
      </w:r>
    </w:p>
    <w:p w14:paraId="7B73A9CC">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高效节能雾式喷淋系统必须含有：不锈钢内胆、前级均风板，后级挡水板、喷管、循环水箱、循环水泵、阀门，不锈钢袋式过滤器，检修通道，检修门，防菌阻垢自动检测排污系统等。</w:t>
      </w:r>
    </w:p>
    <w:p w14:paraId="65686EC5">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生产高效节能雾式喷淋系统的企业必须通过ISO9001国际质量体系认证；</w:t>
      </w:r>
    </w:p>
    <w:p w14:paraId="3F684DA7">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为保障系统的可靠性和售后服务，高效节能雾式喷淋系统必须作为一个整体由加湿器系统供应商整套提供（包括不锈钢内胆、前级均风板，后级挡水板、喷管喷嘴、给排水管路、循环水箱、循环水泵、阀门，不锈钢袋式过滤器，检修通道，检修门，防菌阻垢自动检测排污系统等），不允许只使用此供应商的某些部件；</w:t>
      </w:r>
    </w:p>
    <w:p w14:paraId="63212809">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高效节能雾式喷淋系统的饱和效率必须满足加湿要求，所有与水接触部分均采用不锈钢SUS304材质；</w:t>
      </w:r>
    </w:p>
    <w:p w14:paraId="4CBB8D53">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淋段循环水箱采用2mm厚SUS304不锈钢整体焊接成型，水箱宽度与加湿段长一致，水箱长度与空调宽度相一致，外部保温防止冷凝，水箱内置过滤与抗涡流装置，水箱内部高于液位设置不锈钢检修通道，检修通道表面必须进行防滑处理；</w:t>
      </w:r>
    </w:p>
    <w:p w14:paraId="13729C6F">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嘴采用高效节能雾式喷淋专用返溅式喷嘴，喷射角度为180度，喷嘴应具有雾化效果好、喷射角度大、加湿性能好等特点。喷嘴采用SUS304不锈钢材质，计算书中应提供喷嘴的流量与压力对应图表。喷嘴与支线喷管之间不能进行连接,喷管采用SUS304不锈钢制作。</w:t>
      </w:r>
    </w:p>
    <w:p w14:paraId="71A8E6BE">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循环水泵采用立式不锈钢水泵，可变频控制。水泵扬程选型按照最大喷淋量时扬程不低于70m选择。水</w:t>
      </w:r>
      <w:r>
        <w:rPr>
          <w:rFonts w:hint="eastAsia" w:ascii="宋体" w:hAnsi="宋体" w:eastAsia="宋体" w:cs="宋体"/>
        </w:rPr>
        <w:t>泵上安装有自动排气及自动灌水装置，泵的出口设置有调压阀，泵的进出水口采用不锈钢软连接进行连接，出水口配压力表以显示喷淋压力；</w:t>
      </w:r>
    </w:p>
    <w:p w14:paraId="61851B71">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阀门采用材质为SUS304不锈钢。</w:t>
      </w:r>
    </w:p>
    <w:p w14:paraId="5713DB95">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前级均风板采用铝合金材质，SUS304不锈钢固定边框，厚度不小于2.0mm；</w:t>
      </w:r>
    </w:p>
    <w:p w14:paraId="4AC9C744">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后级挡水板采用铝合金材质，SUS304不锈钢固定边框，厚度不小于2.0mm；</w:t>
      </w:r>
    </w:p>
    <w:p w14:paraId="5B5DC587">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均风板及挡水板设计应保证喷淋断面风速均匀、防止飘水和过水，保证正常运行时后面功能段无过水现象出现，使用寿命不得低于10年，必须由专业厂家生产，并提供权威部门的检测报告；</w:t>
      </w:r>
    </w:p>
    <w:p w14:paraId="6CAD6349">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喷淋段应设置SUS304不锈钢内胆，厚度不小于1.5mm，内胆连接处采用氩弧焊连续焊接，内胆与水箱焊接为一体不能有渗水漏水现象，内胆上设置有检修门，检修门带钢化玻璃观察窗，内胆外表面采用保温防止冷凝。</w:t>
      </w:r>
    </w:p>
    <w:p w14:paraId="6DEB312A">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喷淋管路及所有连接管路阀门均采用SUS304不锈钢材质，管径设计应合理，在计算书中应详细说明；</w:t>
      </w:r>
    </w:p>
    <w:p w14:paraId="7B734087">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水泵出口应设置不锈钢袋式过滤器：过滤器额定过滤流量不低于最大水循环量的1.2倍。水泵底部安装不锈钢接水盘，连接至排水系统。</w:t>
      </w:r>
    </w:p>
    <w:p w14:paraId="283A8DAA">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所有管路连接应严密不漏水，管径≤50mm采用丝扣连接，管径大于50mm应采用法兰连接。</w:t>
      </w:r>
    </w:p>
    <w:p w14:paraId="7FA51E03">
      <w:pPr>
        <w:pStyle w:val="17"/>
        <w:pageBreakBefore w:val="0"/>
        <w:widowControl/>
        <w:numPr>
          <w:ilvl w:val="0"/>
          <w:numId w:val="22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淋系统分两排均匀布置，按双排对喷设计，点阵均匀布置，第一排靠近进风方向的挡水板，第二排布置在加湿段相对中间的位置，以保证有较大的蒸发空间和蒸发量，整个喷淋段的密封必须保证，防止出现漏水、过水现象。</w:t>
      </w:r>
    </w:p>
    <w:p w14:paraId="69C01ACF">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风机段</w:t>
      </w:r>
    </w:p>
    <w:p w14:paraId="43AB8131">
      <w:pPr>
        <w:pStyle w:val="17"/>
        <w:pageBreakBefore w:val="0"/>
        <w:widowControl/>
        <w:numPr>
          <w:ilvl w:val="0"/>
          <w:numId w:val="22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段体结构侧面壁板应方便拆卸，方便风机部件的维修。</w:t>
      </w:r>
    </w:p>
    <w:p w14:paraId="61DA1075">
      <w:pPr>
        <w:pStyle w:val="17"/>
        <w:pageBreakBefore w:val="0"/>
        <w:widowControl/>
        <w:numPr>
          <w:ilvl w:val="0"/>
          <w:numId w:val="22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风机段底座型钢布置应满足减振器直接座于型钢上，段体应设置观察窗和照明灯，空调机组风机出口与空调机组采用软连接方式（要求牢固可靠），风机段与消声段之间设扩散均流装置，确保风机段后面的机组断面具有均匀的断面风速。</w:t>
      </w:r>
    </w:p>
    <w:p w14:paraId="72C23AFB">
      <w:pPr>
        <w:pStyle w:val="17"/>
        <w:pageBreakBefore w:val="0"/>
        <w:widowControl/>
        <w:numPr>
          <w:ilvl w:val="0"/>
          <w:numId w:val="22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该段检修门尺寸为500×1600mm（宽*高），室体内设置吊装电机和风机叶轮的轨道、滑车和手动吊装葫芦，风机检修门段空调壁板要求活动可拆卸，外部预留可拆卸式龙门架，整体风机段维修段要求便于维护保养或更换风机叶轮及电机能正常运出。</w:t>
      </w:r>
    </w:p>
    <w:p w14:paraId="502A861E">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均流段</w:t>
      </w:r>
    </w:p>
    <w:p w14:paraId="1D6DF492">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内部风机出口处设有均流板，确保风机段后面的机组断面具有均匀的断面风速，以便使空气均匀通过过滤器，段体应设置观察窗和照明灯。</w:t>
      </w:r>
    </w:p>
    <w:p w14:paraId="40CE5462">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消声段</w:t>
      </w:r>
    </w:p>
    <w:p w14:paraId="68E0CDBF">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消声段根据整体噪音限值要求，设置片式消声器。消音片面板采用镀锌孔板，内填玻纤布包裹的离心玻璃棉。（片式消音片片厚为100 ㎜、半片为50 ㎜，片间距150mm）。消声器结构型式便于拆装，消声器前后设有检修门以便清灰。消声段减噪量≥15dB，要求机组出口噪声达到国家标准，室体外整体噪音≤85dB。</w:t>
      </w:r>
    </w:p>
    <w:p w14:paraId="11933111">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中效过滤段</w:t>
      </w:r>
    </w:p>
    <w:p w14:paraId="642BB636">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选用标准6袋式结构（592X592X600mm），过滤精度为F7，材质为优质化纤无纺滤料。内部设有安装袋式过滤器的框架，过滤框架与室体框架密封性要好。除从过滤袋滤风外，其他部位不应有漏风现象。在装过滤袋侧设有装高位过滤器用的走台和直梯（走台带安全栏杆），要求过滤器采用快速卡扣式或者弹簧压片锁紧，便于更换。框架要求制作精细，对角线误差不大于2mm，框架上与过滤袋接触面加密封软垫，确保密封。两框架间及框架与型钢间采用螺栓连接，缝隙处涂不含硅酮的密封胶。段体侧面安装有数显式压差计，压差计的数据能够传送到电气控制系统的人机界面和上位机PC的功能，便于直接观察过滤袋压差变化。</w:t>
      </w:r>
    </w:p>
    <w:p w14:paraId="31406A2B">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送风段（含安全防火阀）</w:t>
      </w:r>
    </w:p>
    <w:p w14:paraId="21987293">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此段端部设有送风口，风口法兰与防火阀配合制作。室体侧面要求安装指针式温湿度计，能直接观察进风温湿度。防火阀选用国内主流品牌产品，要求具有国家消防安全资质，符合国家安全标准，平时常开，当烟气达到70℃时自动关闭，起隔断风管、阻止火势作用。</w:t>
      </w:r>
    </w:p>
    <w:p w14:paraId="52A0259F">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机组外管路系统</w:t>
      </w:r>
    </w:p>
    <w:p w14:paraId="196D6A9D">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的天燃气管路、热水管路、压缩空气管路、工业水管路、自来水管路均从</w:t>
      </w:r>
      <w:r>
        <w:rPr>
          <w:rFonts w:hint="eastAsia" w:ascii="宋体" w:hAnsi="宋体" w:cs="宋体"/>
          <w:lang w:eastAsia="zh-CN"/>
        </w:rPr>
        <w:t>招标人</w:t>
      </w:r>
      <w:r>
        <w:rPr>
          <w:rFonts w:hint="eastAsia" w:ascii="宋体" w:hAnsi="宋体" w:eastAsia="宋体" w:cs="宋体"/>
        </w:rPr>
        <w:t>公用主干管上安装的预留阀门接取，</w:t>
      </w:r>
      <w:r>
        <w:rPr>
          <w:rFonts w:hint="eastAsia" w:ascii="宋体" w:hAnsi="宋体" w:cs="宋体"/>
          <w:lang w:eastAsia="zh-CN"/>
        </w:rPr>
        <w:t>投标人</w:t>
      </w:r>
      <w:r>
        <w:rPr>
          <w:rFonts w:hint="eastAsia" w:ascii="宋体" w:hAnsi="宋体" w:eastAsia="宋体" w:cs="宋体"/>
        </w:rPr>
        <w:t>负责管路的对接并配齐相关的控制阀、截止阀、旁通阀及不锈钢压力表（有连接缓冲接头，进出口支管上都有）、不锈钢温度计（进出口支管上都有），电动调节阀和执行器选用进口产品，工作电压AC 220V，信号4～20mA。阀组安装位置超过1800mm 需要设置检修平台，便于操作维护。水管支座采用木垫或者橡胶支架。热水管系统在试压并确认无泄漏后，</w:t>
      </w:r>
      <w:r>
        <w:rPr>
          <w:rFonts w:hint="eastAsia" w:ascii="宋体" w:hAnsi="宋体" w:cs="宋体"/>
          <w:lang w:eastAsia="zh-CN"/>
        </w:rPr>
        <w:t>投标人</w:t>
      </w:r>
      <w:r>
        <w:rPr>
          <w:rFonts w:hint="eastAsia" w:ascii="宋体" w:hAnsi="宋体" w:eastAsia="宋体" w:cs="宋体"/>
        </w:rPr>
        <w:t>需对管路及阀门进行保温，热水管外包100mm厚的保温棉,再用0.8mm厚的镀锌钢板包扎，要求包扎牢固、可靠，外观漂亮，施工完毕</w:t>
      </w:r>
      <w:r>
        <w:rPr>
          <w:rFonts w:hint="eastAsia" w:ascii="宋体" w:hAnsi="宋体" w:cs="宋体"/>
          <w:lang w:eastAsia="zh-CN"/>
        </w:rPr>
        <w:t>投标人</w:t>
      </w:r>
      <w:r>
        <w:rPr>
          <w:rFonts w:hint="eastAsia" w:ascii="宋体" w:hAnsi="宋体" w:eastAsia="宋体" w:cs="宋体"/>
        </w:rPr>
        <w:t>需对所有管路进行清理，对管路及阀门进行标识。</w:t>
      </w:r>
    </w:p>
    <w:p w14:paraId="3D3566AE">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送风管路系统</w:t>
      </w:r>
    </w:p>
    <w:p w14:paraId="57A67B93">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严格按照图纸内容及标准制造非标设备。</w:t>
      </w:r>
    </w:p>
    <w:p w14:paraId="2E9591E4">
      <w:pPr>
        <w:pStyle w:val="17"/>
        <w:pageBreakBefore w:val="0"/>
        <w:widowControl/>
        <w:numPr>
          <w:ilvl w:val="0"/>
          <w:numId w:val="22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在安装过程中的遗失、损坏等，须由</w:t>
      </w:r>
      <w:r>
        <w:rPr>
          <w:rFonts w:hint="eastAsia" w:ascii="宋体" w:hAnsi="宋体" w:cs="宋体"/>
          <w:lang w:eastAsia="zh-CN"/>
        </w:rPr>
        <w:t>投标人</w:t>
      </w:r>
      <w:r>
        <w:rPr>
          <w:rFonts w:hint="eastAsia" w:ascii="宋体" w:hAnsi="宋体" w:eastAsia="宋体" w:cs="宋体"/>
        </w:rPr>
        <w:t>负责更换。</w:t>
      </w:r>
    </w:p>
    <w:p w14:paraId="4081FEC9">
      <w:pPr>
        <w:pStyle w:val="17"/>
        <w:pageBreakBefore w:val="0"/>
        <w:widowControl/>
        <w:numPr>
          <w:ilvl w:val="0"/>
          <w:numId w:val="22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非标设备制造详图及后期在该部件下增补或修改的属于该部件内的非标设备。</w:t>
      </w:r>
    </w:p>
    <w:p w14:paraId="57F4DC68">
      <w:pPr>
        <w:pStyle w:val="17"/>
        <w:pageBreakBefore w:val="0"/>
        <w:widowControl/>
        <w:numPr>
          <w:ilvl w:val="0"/>
          <w:numId w:val="22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合同内的碳钢结构件原材料在喷砂或抛丸处理后应立即涂环氧类防锈底漆，设备安装完成后现场统一涂刷面漆（特殊设备除外），面漆的颜色涂漆前由业主方统一指定；设备油漆的费用已经包含在合同价格中。</w:t>
      </w:r>
    </w:p>
    <w:p w14:paraId="1EA8A78C">
      <w:pPr>
        <w:pStyle w:val="17"/>
        <w:pageBreakBefore w:val="0"/>
        <w:widowControl/>
        <w:numPr>
          <w:ilvl w:val="0"/>
          <w:numId w:val="22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辅助材料的费用已包含在合同总价中。如：标准件、联接件（螺栓螺钉等）、U型螺栓、铆钉、管道密封垫片、室体等部件装配安装时所用不含硅酮的密封胶、玻璃镶条、橡胶垫片、发泡橡胶等辅助材料。</w:t>
      </w:r>
    </w:p>
    <w:p w14:paraId="6CBAD87F">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主、辅材要求</w:t>
      </w:r>
    </w:p>
    <w:p w14:paraId="51FB9773">
      <w:pPr>
        <w:pStyle w:val="17"/>
        <w:pageBreakBefore w:val="0"/>
        <w:widowControl/>
        <w:numPr>
          <w:ilvl w:val="0"/>
          <w:numId w:val="22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主材镀锌钢板及安装用辅助型材、标准件选用厂家见协议中的材料及功能件清单。</w:t>
      </w:r>
    </w:p>
    <w:p w14:paraId="5E89FBDE">
      <w:pPr>
        <w:pStyle w:val="17"/>
        <w:pageBreakBefore w:val="0"/>
        <w:widowControl/>
        <w:numPr>
          <w:ilvl w:val="0"/>
          <w:numId w:val="22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百叶风口、调节风阀、圆环形散流器、旋流风口、球形喷口均选用国产一流品牌。</w:t>
      </w:r>
    </w:p>
    <w:p w14:paraId="25B086C1">
      <w:pPr>
        <w:pStyle w:val="17"/>
        <w:pageBreakBefore w:val="0"/>
        <w:widowControl/>
        <w:numPr>
          <w:ilvl w:val="0"/>
          <w:numId w:val="22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材料及功能件清单见主要元器件品牌清单。</w:t>
      </w:r>
    </w:p>
    <w:p w14:paraId="3B672770">
      <w:pPr>
        <w:pStyle w:val="4"/>
        <w:pageBreakBefore w:val="0"/>
        <w:numPr>
          <w:ilvl w:val="0"/>
          <w:numId w:val="22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风管</w:t>
      </w:r>
    </w:p>
    <w:p w14:paraId="4A7BA5E9">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各区域有指定要求的，按具体要求制作，未指定区域，保证强度要求下，风管单边长度小于等于2500mm，采用共板法兰连接，板厚1.2mm，单边长度大于2500mm,采用角钢法兰连接，板厚1.5mm,且风管要加强。</w:t>
      </w:r>
    </w:p>
    <w:p w14:paraId="6B6214AC">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从新鲜空气入口到供风室入口，从供风室出口到动压室或工位的风管，凡是有表冷段的必须按规定采用不低于20mm的橡塑保温。</w:t>
      </w:r>
    </w:p>
    <w:p w14:paraId="273647A2">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进风室进口在顶部的要做排水措施。</w:t>
      </w:r>
    </w:p>
    <w:p w14:paraId="0F5CFBB8">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对于有排风要求的工位（点补室等除外），排风需循环到空气供应室进风口，风量可手动控制，风管用镀锌钢板制。</w:t>
      </w:r>
    </w:p>
    <w:p w14:paraId="6E266CFA">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外部风管。外部风管是指空调机组和所服务的设备之间的供风风管及其支杆、吊架等。外部风管材料为镀锌钢板，支杆、吊架材料为碳钢。较大的送风管设带铰链、压紧密封的入口门。大风管采用壁板式结构，小风管采用法兰连接，法兰外加装饰外套。风管弯头内部设导流板。风管上设测量风量的测量口（带密封盖）。风管应具有足够的钢度，送风时风管钢板下不能产生明显的振动。</w:t>
      </w:r>
    </w:p>
    <w:p w14:paraId="295BFFF1">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喷房回风管采用sus304-1.5mm板满焊方式；</w:t>
      </w:r>
    </w:p>
    <w:p w14:paraId="5F381E61">
      <w:pPr>
        <w:pStyle w:val="17"/>
        <w:pageBreakBefore w:val="0"/>
        <w:widowControl/>
        <w:numPr>
          <w:ilvl w:val="0"/>
          <w:numId w:val="23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设备的设计时通风风速采用如下值：</w:t>
      </w:r>
    </w:p>
    <w:p w14:paraId="2B599CAE">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穿过屋顶的排气筒</w:t>
      </w:r>
      <w:r>
        <w:rPr>
          <w:rFonts w:hint="eastAsia" w:ascii="宋体" w:hAnsi="宋体" w:eastAsia="宋体" w:cs="宋体"/>
        </w:rPr>
        <w:tab/>
      </w:r>
      <w:r>
        <w:rPr>
          <w:rFonts w:hint="eastAsia" w:ascii="宋体" w:hAnsi="宋体" w:eastAsia="宋体" w:cs="宋体"/>
        </w:rPr>
        <w:t>最大15 m/s</w:t>
      </w:r>
    </w:p>
    <w:p w14:paraId="221989D2">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室外风管</w:t>
      </w:r>
      <w:r>
        <w:rPr>
          <w:rFonts w:hint="eastAsia" w:ascii="宋体" w:hAnsi="宋体" w:eastAsia="宋体" w:cs="宋体"/>
        </w:rPr>
        <w:tab/>
      </w:r>
      <w:r>
        <w:rPr>
          <w:rFonts w:hint="eastAsia" w:ascii="宋体" w:hAnsi="宋体" w:eastAsia="宋体" w:cs="宋体"/>
        </w:rPr>
        <w:t>8 -12m/s</w:t>
      </w:r>
    </w:p>
    <w:p w14:paraId="2B840433">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送风管</w:t>
      </w:r>
      <w:r>
        <w:rPr>
          <w:rFonts w:hint="eastAsia" w:ascii="宋体" w:hAnsi="宋体" w:eastAsia="宋体" w:cs="宋体"/>
        </w:rPr>
        <w:tab/>
      </w:r>
      <w:r>
        <w:rPr>
          <w:rFonts w:hint="eastAsia" w:ascii="宋体" w:hAnsi="宋体" w:eastAsia="宋体" w:cs="宋体"/>
        </w:rPr>
        <w:t>8-12 m/s</w:t>
      </w:r>
    </w:p>
    <w:p w14:paraId="12F6610F">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循环风管</w:t>
      </w:r>
      <w:r>
        <w:rPr>
          <w:rFonts w:hint="eastAsia" w:ascii="宋体" w:hAnsi="宋体" w:eastAsia="宋体" w:cs="宋体"/>
        </w:rPr>
        <w:tab/>
      </w:r>
      <w:r>
        <w:rPr>
          <w:rFonts w:hint="eastAsia" w:ascii="宋体" w:hAnsi="宋体" w:eastAsia="宋体" w:cs="宋体"/>
        </w:rPr>
        <w:t>8-12 m/s</w:t>
      </w:r>
    </w:p>
    <w:p w14:paraId="21BDBA0F">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排风管</w:t>
      </w:r>
      <w:r>
        <w:rPr>
          <w:rFonts w:hint="eastAsia" w:ascii="宋体" w:hAnsi="宋体" w:eastAsia="宋体" w:cs="宋体"/>
        </w:rPr>
        <w:tab/>
      </w:r>
      <w:r>
        <w:rPr>
          <w:rFonts w:hint="eastAsia" w:ascii="宋体" w:hAnsi="宋体" w:eastAsia="宋体" w:cs="宋体"/>
        </w:rPr>
        <w:t>10 -12m/s</w:t>
      </w:r>
    </w:p>
    <w:p w14:paraId="567D7AF4">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过滤器迎面风速</w:t>
      </w:r>
      <w:r>
        <w:rPr>
          <w:rFonts w:hint="eastAsia" w:ascii="宋体" w:hAnsi="宋体" w:eastAsia="宋体" w:cs="宋体"/>
        </w:rPr>
        <w:tab/>
      </w:r>
      <w:r>
        <w:rPr>
          <w:rFonts w:hint="eastAsia" w:ascii="宋体" w:hAnsi="宋体" w:eastAsia="宋体" w:cs="宋体"/>
        </w:rPr>
        <w:t>2.5 m/s</w:t>
      </w:r>
    </w:p>
    <w:p w14:paraId="4D602324">
      <w:pPr>
        <w:pStyle w:val="17"/>
        <w:pageBreakBefore w:val="0"/>
        <w:numPr>
          <w:ilvl w:val="0"/>
          <w:numId w:val="23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室外吸风口</w:t>
      </w:r>
      <w:r>
        <w:rPr>
          <w:rFonts w:hint="eastAsia" w:ascii="宋体" w:hAnsi="宋体" w:eastAsia="宋体" w:cs="宋体"/>
        </w:rPr>
        <w:tab/>
      </w:r>
      <w:r>
        <w:rPr>
          <w:rFonts w:hint="eastAsia" w:ascii="宋体" w:hAnsi="宋体" w:eastAsia="宋体" w:cs="宋体"/>
        </w:rPr>
        <w:t>3 m/s</w:t>
      </w:r>
    </w:p>
    <w:p w14:paraId="3E3C3A5E">
      <w:pPr>
        <w:pStyle w:val="3"/>
        <w:pageBreakBefore w:val="0"/>
        <w:widowControl/>
        <w:numPr>
          <w:ilvl w:val="0"/>
          <w:numId w:val="20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空调机组电气控制要求</w:t>
      </w:r>
    </w:p>
    <w:p w14:paraId="4B3AA5C2">
      <w:pPr>
        <w:pStyle w:val="4"/>
        <w:pageBreakBefore w:val="0"/>
        <w:widowControl/>
        <w:numPr>
          <w:ilvl w:val="0"/>
          <w:numId w:val="23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总体要求</w:t>
      </w:r>
    </w:p>
    <w:p w14:paraId="78A9E550">
      <w:pPr>
        <w:pStyle w:val="17"/>
        <w:pageBreakBefore w:val="0"/>
        <w:widowControl/>
        <w:numPr>
          <w:ilvl w:val="0"/>
          <w:numId w:val="23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装车间送风空调机组电气设计必须依据涂装工艺，涂装设备、涂装管理、涂层质量、安全消防、环境保护、设备运行、设备维修、设备管理等要求进行设计制造；电气设计必须实现工艺参数的自动控制、自动调节。</w:t>
      </w:r>
    </w:p>
    <w:p w14:paraId="1058F3AC">
      <w:pPr>
        <w:pStyle w:val="17"/>
        <w:pageBreakBefore w:val="0"/>
        <w:widowControl/>
        <w:numPr>
          <w:ilvl w:val="0"/>
          <w:numId w:val="23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控制必须能实现工艺方面的要求（对温度、湿度、液位、压力、风速、风机、进口风阀、热水、冷冻水电动阀门、防火阀等进行自动调整和控制）；每个电源供给点（系统控制总柜）均安装电源消耗计量仪表，计量仪表可实时显示当前电源消耗量、并为能源统计计量系统预留信息采集口。</w:t>
      </w:r>
    </w:p>
    <w:p w14:paraId="6F6C2497">
      <w:pPr>
        <w:pStyle w:val="17"/>
        <w:pageBreakBefore w:val="0"/>
        <w:widowControl/>
        <w:numPr>
          <w:ilvl w:val="0"/>
          <w:numId w:val="23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气温度、湿度自动控制、自动显示。风机与喷漆室及消防系统联锁。空调机组的开停顺序应联锁。空调机组风机采用变频控制。过滤器前后设压差计，要求有压差显示及超压报警功能。设风机、水泵、加热器阀门开关光信号。设新风电动阀和防火阀的阀位光信号。设可能发生故障设备的报警信号。空调机组设有就地和集中控制系统，且具有显示、控制功能。每一组空调由独立的电控柜监控，每个控制柜应包括下述个功能:</w:t>
      </w:r>
    </w:p>
    <w:p w14:paraId="493D185E">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热水盘管控制</w:t>
      </w:r>
    </w:p>
    <w:p w14:paraId="1A4EFC3B">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冷水盘管控制</w:t>
      </w:r>
    </w:p>
    <w:p w14:paraId="0AD04D21">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湿度控制</w:t>
      </w:r>
    </w:p>
    <w:p w14:paraId="1DC10846">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温度控制</w:t>
      </w:r>
    </w:p>
    <w:p w14:paraId="64117278">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风机/泵控制</w:t>
      </w:r>
    </w:p>
    <w:p w14:paraId="4B929454">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风量调节阀控制</w:t>
      </w:r>
    </w:p>
    <w:p w14:paraId="5C5B9410">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液位控制</w:t>
      </w:r>
    </w:p>
    <w:p w14:paraId="0DD914A1">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安全/消防</w:t>
      </w:r>
    </w:p>
    <w:p w14:paraId="36E314C1">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提供照明</w:t>
      </w:r>
    </w:p>
    <w:p w14:paraId="17A1B00E">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指示及报警</w:t>
      </w:r>
    </w:p>
    <w:p w14:paraId="02082798">
      <w:pPr>
        <w:pStyle w:val="17"/>
        <w:pageBreakBefore w:val="0"/>
        <w:widowControl/>
        <w:numPr>
          <w:ilvl w:val="0"/>
          <w:numId w:val="2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参数监视</w:t>
      </w:r>
    </w:p>
    <w:p w14:paraId="1DE95A22">
      <w:pPr>
        <w:pStyle w:val="17"/>
        <w:pageBreakBefore w:val="0"/>
        <w:widowControl/>
        <w:numPr>
          <w:ilvl w:val="0"/>
          <w:numId w:val="23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涂装的设备应该遵循在技术文件时</w:t>
      </w:r>
      <w:r>
        <w:rPr>
          <w:rFonts w:hint="eastAsia" w:ascii="宋体" w:hAnsi="宋体" w:cs="宋体"/>
          <w:lang w:eastAsia="zh-CN"/>
        </w:rPr>
        <w:t>招标人</w:t>
      </w:r>
      <w:r>
        <w:rPr>
          <w:rFonts w:hint="eastAsia" w:ascii="宋体" w:hAnsi="宋体" w:eastAsia="宋体" w:cs="宋体"/>
        </w:rPr>
        <w:t>的标准。应该基于工艺设计要求部分的设计标准要求。所有电气设备遵循</w:t>
      </w:r>
      <w:r>
        <w:rPr>
          <w:rFonts w:hint="eastAsia" w:ascii="宋体" w:hAnsi="宋体" w:cs="宋体"/>
          <w:lang w:eastAsia="zh-CN"/>
        </w:rPr>
        <w:t>招标人</w:t>
      </w:r>
      <w:r>
        <w:rPr>
          <w:rFonts w:hint="eastAsia" w:ascii="宋体" w:hAnsi="宋体" w:eastAsia="宋体" w:cs="宋体"/>
        </w:rPr>
        <w:t>标准。</w:t>
      </w:r>
    </w:p>
    <w:p w14:paraId="60ADB8FC">
      <w:pPr>
        <w:pStyle w:val="17"/>
        <w:pageBreakBefore w:val="0"/>
        <w:widowControl/>
        <w:numPr>
          <w:ilvl w:val="0"/>
          <w:numId w:val="23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当在这些标准及规范之间发生冲突的时候，以最严厉的那个规范为准。</w:t>
      </w:r>
      <w:r>
        <w:rPr>
          <w:rFonts w:hint="eastAsia" w:ascii="宋体" w:hAnsi="宋体" w:cs="宋体"/>
          <w:lang w:eastAsia="zh-CN"/>
        </w:rPr>
        <w:t>招标人</w:t>
      </w:r>
      <w:r>
        <w:rPr>
          <w:rFonts w:hint="eastAsia" w:ascii="宋体" w:hAnsi="宋体" w:eastAsia="宋体" w:cs="宋体"/>
        </w:rPr>
        <w:t>应该对这些冲突做出判断，并且有做出最终决定的权力。</w:t>
      </w:r>
    </w:p>
    <w:p w14:paraId="64F0D551">
      <w:pPr>
        <w:pStyle w:val="17"/>
        <w:pageBreakBefore w:val="0"/>
        <w:widowControl/>
        <w:numPr>
          <w:ilvl w:val="0"/>
          <w:numId w:val="23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要完全集成所有的控制设备和系统。包括集成所有的工艺设备，不管是现有的和/或由其他供应商新提供的。</w:t>
      </w:r>
    </w:p>
    <w:p w14:paraId="13764CBC">
      <w:pPr>
        <w:pStyle w:val="4"/>
        <w:pageBreakBefore w:val="0"/>
        <w:widowControl/>
        <w:numPr>
          <w:ilvl w:val="0"/>
          <w:numId w:val="23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val="0"/>
          <w:bCs w:val="0"/>
          <w:sz w:val="24"/>
          <w:szCs w:val="24"/>
        </w:rPr>
      </w:pPr>
      <w:r>
        <w:rPr>
          <w:rFonts w:hint="eastAsia" w:ascii="宋体" w:hAnsi="宋体" w:eastAsia="宋体" w:cs="宋体"/>
          <w:b w:val="0"/>
          <w:bCs w:val="0"/>
          <w:sz w:val="24"/>
          <w:szCs w:val="24"/>
        </w:rPr>
        <w:t>具体要求</w:t>
      </w:r>
    </w:p>
    <w:p w14:paraId="68CBEC9E">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电气控制必须保证设备安全运行，保护可靠。</w:t>
      </w:r>
    </w:p>
    <w:p w14:paraId="34201959">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电气控制必须能保证安全消防联锁可靠。</w:t>
      </w:r>
    </w:p>
    <w:p w14:paraId="6FC49297">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电气控制元件必须采用灵敏可靠，经久耐用，质量优秀的知名品牌产品，并考虑特殊环境的要求（防爆、防腐、防湿、耐高温）。</w:t>
      </w:r>
    </w:p>
    <w:p w14:paraId="43ECECFD">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备用点预留：PLC 本地输入输出不少于20%；联锁信号不少于10％；控制柜预留15 ％安装空间。控制柜及操作箱门面预留盲孔，以便扩展。</w:t>
      </w:r>
    </w:p>
    <w:p w14:paraId="1AF8C35E">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动力电缆、通讯电缆、控制电缆、采用国产或进口品牌，特殊电缆（高温电缆，超柔电缆）采用优质品牌。</w:t>
      </w:r>
    </w:p>
    <w:p w14:paraId="5C844A3A">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要求与消防、喷漆机器人、喷漆室设备、喷漆室及工位排风机、输送等设备之间有连锁，所有设备设有自动和手动转换功能，全线运行；手动进行调整、维护、检测等。</w:t>
      </w:r>
    </w:p>
    <w:p w14:paraId="43925F14">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严格按照国家有关电气设计规范进行设计制造。（</w:t>
      </w:r>
      <w:r>
        <w:rPr>
          <w:rFonts w:hint="eastAsia" w:ascii="宋体" w:hAnsi="宋体" w:cs="宋体"/>
          <w:lang w:eastAsia="zh-CN"/>
        </w:rPr>
        <w:t>招标人</w:t>
      </w:r>
      <w:r>
        <w:rPr>
          <w:rFonts w:hint="eastAsia" w:ascii="宋体" w:hAnsi="宋体" w:eastAsia="宋体" w:cs="宋体"/>
        </w:rPr>
        <w:t>有权根据图纸和相关电气设计制造标准，到</w:t>
      </w:r>
      <w:r>
        <w:rPr>
          <w:rFonts w:hint="eastAsia" w:ascii="宋体" w:hAnsi="宋体" w:cs="宋体"/>
          <w:lang w:eastAsia="zh-CN"/>
        </w:rPr>
        <w:t>投标人</w:t>
      </w:r>
      <w:r>
        <w:rPr>
          <w:rFonts w:hint="eastAsia" w:ascii="宋体" w:hAnsi="宋体" w:eastAsia="宋体" w:cs="宋体"/>
        </w:rPr>
        <w:t>现场进行监督和管理）。</w:t>
      </w:r>
    </w:p>
    <w:p w14:paraId="5A90F112">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电机控制回路配有低压断路器，热继电器组成的短路和过载保护、断相保护线路。电机正常运行时有运行信号灯显示，出现异常时，有故障灯指示。控制系统中电机的运行状态，工艺温度，液位等信号均送入PLC。功率≤18.5kW的电机采用直接启动；功率≥30kW的电机采用软启动器；功率在18.5kW到30kW之间的电机采用星三角启动；按照工艺要求，需要调速的电机采用变频器控制；星三角启动过程中，星型接法时指示灯闪烁，切换到三角形接法时指示灯常亮。</w:t>
      </w:r>
    </w:p>
    <w:p w14:paraId="12543725">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一般技术和制造要求</w:t>
      </w:r>
    </w:p>
    <w:p w14:paraId="027465D4">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电源和保护措施</w:t>
      </w:r>
    </w:p>
    <w:p w14:paraId="0C8A51E5">
      <w:pPr>
        <w:pStyle w:val="17"/>
        <w:pageBreakBefore w:val="0"/>
        <w:widowControl/>
        <w:numPr>
          <w:ilvl w:val="0"/>
          <w:numId w:val="23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主电源：三相 380V，50Hz，三相五线制（L1,L2,L3,N,PE）。</w:t>
      </w:r>
    </w:p>
    <w:p w14:paraId="2F8ACE4F">
      <w:pPr>
        <w:pStyle w:val="17"/>
        <w:pageBreakBefore w:val="0"/>
        <w:widowControl/>
        <w:numPr>
          <w:ilvl w:val="0"/>
          <w:numId w:val="23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控制柜内部要有接零线和地线用的铜排，用于接三相五线制的电源。</w:t>
      </w:r>
    </w:p>
    <w:p w14:paraId="2AE7347F">
      <w:pPr>
        <w:pStyle w:val="17"/>
        <w:pageBreakBefore w:val="0"/>
        <w:widowControl/>
        <w:numPr>
          <w:ilvl w:val="0"/>
          <w:numId w:val="23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总开关必须具有过电流及电磁保护功能，并配手动或电动操作机构，分断等级为N级。</w:t>
      </w:r>
    </w:p>
    <w:p w14:paraId="6A51A223">
      <w:pPr>
        <w:pStyle w:val="17"/>
        <w:pageBreakBefore w:val="0"/>
        <w:widowControl/>
        <w:numPr>
          <w:ilvl w:val="0"/>
          <w:numId w:val="23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辅助控制电压：</w:t>
      </w:r>
    </w:p>
    <w:tbl>
      <w:tblPr>
        <w:tblStyle w:val="44"/>
        <w:tblW w:w="9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5023"/>
      </w:tblGrid>
      <w:tr w14:paraId="12683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43D9D42F">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控制回路</w:t>
            </w:r>
          </w:p>
        </w:tc>
        <w:tc>
          <w:tcPr>
            <w:tcW w:w="5023" w:type="dxa"/>
            <w:tcBorders>
              <w:top w:val="single" w:color="auto" w:sz="4" w:space="0"/>
              <w:left w:val="single" w:color="auto" w:sz="4" w:space="0"/>
              <w:bottom w:val="single" w:color="auto" w:sz="4" w:space="0"/>
              <w:right w:val="single" w:color="auto" w:sz="4" w:space="0"/>
            </w:tcBorders>
            <w:vAlign w:val="center"/>
          </w:tcPr>
          <w:p w14:paraId="018371DA">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220VAC 50Hz或者24VDC</w:t>
            </w:r>
          </w:p>
        </w:tc>
      </w:tr>
      <w:tr w14:paraId="4F68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0199A0D3">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交流感应电机</w:t>
            </w:r>
          </w:p>
        </w:tc>
        <w:tc>
          <w:tcPr>
            <w:tcW w:w="5023" w:type="dxa"/>
            <w:tcBorders>
              <w:top w:val="single" w:color="auto" w:sz="4" w:space="0"/>
              <w:left w:val="single" w:color="auto" w:sz="4" w:space="0"/>
              <w:bottom w:val="single" w:color="auto" w:sz="4" w:space="0"/>
              <w:right w:val="single" w:color="auto" w:sz="4" w:space="0"/>
            </w:tcBorders>
            <w:vAlign w:val="center"/>
          </w:tcPr>
          <w:p w14:paraId="7526239D">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3相 380VAC 50Hz</w:t>
            </w:r>
          </w:p>
        </w:tc>
      </w:tr>
      <w:tr w14:paraId="38B42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0F88703D">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电磁阀</w:t>
            </w:r>
          </w:p>
        </w:tc>
        <w:tc>
          <w:tcPr>
            <w:tcW w:w="5023" w:type="dxa"/>
            <w:tcBorders>
              <w:top w:val="single" w:color="auto" w:sz="4" w:space="0"/>
              <w:left w:val="single" w:color="auto" w:sz="4" w:space="0"/>
              <w:bottom w:val="single" w:color="auto" w:sz="4" w:space="0"/>
              <w:right w:val="single" w:color="auto" w:sz="4" w:space="0"/>
            </w:tcBorders>
            <w:vAlign w:val="center"/>
          </w:tcPr>
          <w:p w14:paraId="7FDADE5E">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color w:val="auto"/>
                <w:sz w:val="24"/>
                <w:szCs w:val="24"/>
              </w:rPr>
              <w:t>24VDC</w:t>
            </w:r>
          </w:p>
        </w:tc>
      </w:tr>
      <w:tr w14:paraId="52833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55C01629">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电动阀</w:t>
            </w:r>
          </w:p>
        </w:tc>
        <w:tc>
          <w:tcPr>
            <w:tcW w:w="5023" w:type="dxa"/>
            <w:tcBorders>
              <w:top w:val="single" w:color="auto" w:sz="4" w:space="0"/>
              <w:left w:val="single" w:color="auto" w:sz="4" w:space="0"/>
              <w:bottom w:val="single" w:color="auto" w:sz="4" w:space="0"/>
              <w:right w:val="single" w:color="auto" w:sz="4" w:space="0"/>
            </w:tcBorders>
            <w:vAlign w:val="center"/>
          </w:tcPr>
          <w:p w14:paraId="6A073DDA">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220VAC</w:t>
            </w:r>
          </w:p>
        </w:tc>
      </w:tr>
      <w:tr w14:paraId="2FB1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60874920">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PLC电源</w:t>
            </w:r>
          </w:p>
        </w:tc>
        <w:tc>
          <w:tcPr>
            <w:tcW w:w="5023" w:type="dxa"/>
            <w:tcBorders>
              <w:top w:val="single" w:color="auto" w:sz="4" w:space="0"/>
              <w:left w:val="single" w:color="auto" w:sz="4" w:space="0"/>
              <w:bottom w:val="single" w:color="auto" w:sz="4" w:space="0"/>
              <w:right w:val="single" w:color="auto" w:sz="4" w:space="0"/>
            </w:tcBorders>
            <w:vAlign w:val="center"/>
          </w:tcPr>
          <w:p w14:paraId="5B694FBF">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220VAC带电源滤波器</w:t>
            </w:r>
          </w:p>
        </w:tc>
      </w:tr>
      <w:tr w14:paraId="3C96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4EBA1B21">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工作指示灯</w:t>
            </w:r>
          </w:p>
        </w:tc>
        <w:tc>
          <w:tcPr>
            <w:tcW w:w="5023" w:type="dxa"/>
            <w:tcBorders>
              <w:top w:val="single" w:color="auto" w:sz="4" w:space="0"/>
              <w:left w:val="single" w:color="auto" w:sz="4" w:space="0"/>
              <w:bottom w:val="single" w:color="auto" w:sz="4" w:space="0"/>
              <w:right w:val="single" w:color="auto" w:sz="4" w:space="0"/>
            </w:tcBorders>
            <w:vAlign w:val="center"/>
          </w:tcPr>
          <w:p w14:paraId="401483F3">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24VDC</w:t>
            </w:r>
          </w:p>
        </w:tc>
      </w:tr>
      <w:tr w14:paraId="4F488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5B9B5A26">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接近开关</w:t>
            </w:r>
          </w:p>
        </w:tc>
        <w:tc>
          <w:tcPr>
            <w:tcW w:w="5023" w:type="dxa"/>
            <w:tcBorders>
              <w:top w:val="single" w:color="auto" w:sz="4" w:space="0"/>
              <w:left w:val="single" w:color="auto" w:sz="4" w:space="0"/>
              <w:bottom w:val="single" w:color="auto" w:sz="4" w:space="0"/>
              <w:right w:val="single" w:color="auto" w:sz="4" w:space="0"/>
            </w:tcBorders>
            <w:vAlign w:val="center"/>
          </w:tcPr>
          <w:p w14:paraId="41659716">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24VDC</w:t>
            </w:r>
          </w:p>
        </w:tc>
      </w:tr>
      <w:tr w14:paraId="5621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536" w:type="dxa"/>
            <w:tcBorders>
              <w:top w:val="single" w:color="auto" w:sz="4" w:space="0"/>
              <w:left w:val="single" w:color="auto" w:sz="4" w:space="0"/>
              <w:bottom w:val="single" w:color="auto" w:sz="4" w:space="0"/>
              <w:right w:val="single" w:color="auto" w:sz="4" w:space="0"/>
            </w:tcBorders>
            <w:vAlign w:val="center"/>
          </w:tcPr>
          <w:p w14:paraId="695C1791">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信号联锁</w:t>
            </w:r>
          </w:p>
        </w:tc>
        <w:tc>
          <w:tcPr>
            <w:tcW w:w="5023" w:type="dxa"/>
            <w:tcBorders>
              <w:top w:val="single" w:color="auto" w:sz="4" w:space="0"/>
              <w:left w:val="single" w:color="auto" w:sz="4" w:space="0"/>
              <w:bottom w:val="single" w:color="auto" w:sz="4" w:space="0"/>
              <w:right w:val="single" w:color="auto" w:sz="4" w:space="0"/>
            </w:tcBorders>
            <w:vAlign w:val="center"/>
          </w:tcPr>
          <w:p w14:paraId="4C4C87A7">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24VDC</w:t>
            </w:r>
          </w:p>
        </w:tc>
      </w:tr>
    </w:tbl>
    <w:p w14:paraId="747515F3">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掉电保护措施</w:t>
      </w:r>
    </w:p>
    <w:p w14:paraId="55C4102C">
      <w:pPr>
        <w:pStyle w:val="17"/>
        <w:pageBreakBefore w:val="0"/>
        <w:widowControl/>
        <w:numPr>
          <w:ilvl w:val="0"/>
          <w:numId w:val="23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电控系统及元件必须能够适应工厂电网上的电压波动和脉冲干扰。</w:t>
      </w:r>
    </w:p>
    <w:p w14:paraId="7A6899A3">
      <w:pPr>
        <w:pStyle w:val="17"/>
        <w:pageBreakBefore w:val="0"/>
        <w:widowControl/>
        <w:numPr>
          <w:ilvl w:val="0"/>
          <w:numId w:val="23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在电压干扰或者掉电后，被中断的程序必须能够从中断点重新执行。</w:t>
      </w:r>
    </w:p>
    <w:p w14:paraId="28E08A85">
      <w:pPr>
        <w:pStyle w:val="17"/>
        <w:pageBreakBefore w:val="0"/>
        <w:widowControl/>
        <w:numPr>
          <w:ilvl w:val="0"/>
          <w:numId w:val="23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电源系统的一相或者两相掉电时，所有设备电源必须随之自动断开。</w:t>
      </w:r>
    </w:p>
    <w:p w14:paraId="00E853CC">
      <w:pPr>
        <w:pStyle w:val="17"/>
        <w:pageBreakBefore w:val="0"/>
        <w:widowControl/>
        <w:numPr>
          <w:ilvl w:val="0"/>
          <w:numId w:val="23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在电源断开或者设备急停时，不允许设备运动执行元件有任何动作。</w:t>
      </w:r>
    </w:p>
    <w:p w14:paraId="4C6891B4">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电机过载保护</w:t>
      </w:r>
    </w:p>
    <w:p w14:paraId="4EB95CB3">
      <w:pPr>
        <w:pStyle w:val="17"/>
        <w:pageBreakBefore w:val="0"/>
        <w:widowControl/>
        <w:numPr>
          <w:ilvl w:val="0"/>
          <w:numId w:val="23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电机必须采用过载保护装置，而且要防止它自动再次接通。</w:t>
      </w:r>
    </w:p>
    <w:p w14:paraId="185AAC20">
      <w:pPr>
        <w:pStyle w:val="17"/>
        <w:pageBreakBefore w:val="0"/>
        <w:widowControl/>
        <w:numPr>
          <w:ilvl w:val="0"/>
          <w:numId w:val="23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三相电机的电流过载保护器必须分别安装在三相线路上。</w:t>
      </w:r>
    </w:p>
    <w:p w14:paraId="5C90C7D9">
      <w:pPr>
        <w:pStyle w:val="17"/>
        <w:pageBreakBefore w:val="0"/>
        <w:widowControl/>
        <w:numPr>
          <w:ilvl w:val="0"/>
          <w:numId w:val="23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电机热保护继电器的辅助触点接入控制回路。</w:t>
      </w:r>
    </w:p>
    <w:p w14:paraId="0E9D7586">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导线和接线端子</w:t>
      </w:r>
    </w:p>
    <w:p w14:paraId="1F5C4428">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一般要求</w:t>
      </w:r>
    </w:p>
    <w:p w14:paraId="7A1FF244">
      <w:pPr>
        <w:pStyle w:val="17"/>
        <w:pageBreakBefore w:val="0"/>
        <w:widowControl/>
        <w:numPr>
          <w:ilvl w:val="0"/>
          <w:numId w:val="2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电源电路和控制电路必须符合国家标准。</w:t>
      </w:r>
    </w:p>
    <w:p w14:paraId="19615191">
      <w:pPr>
        <w:pStyle w:val="17"/>
        <w:pageBreakBefore w:val="0"/>
        <w:widowControl/>
        <w:numPr>
          <w:ilvl w:val="0"/>
          <w:numId w:val="2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电缆必须具有足够的长度而且能够使元件之间进行快速准确的信号交换。</w:t>
      </w:r>
    </w:p>
    <w:p w14:paraId="4A14C9F0">
      <w:pPr>
        <w:pStyle w:val="17"/>
        <w:pageBreakBefore w:val="0"/>
        <w:widowControl/>
        <w:numPr>
          <w:ilvl w:val="0"/>
          <w:numId w:val="2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需要外敷的导线或者柔性电缆敷设保护镀锌钢管，不能外露。</w:t>
      </w:r>
    </w:p>
    <w:p w14:paraId="22BEB8D7">
      <w:pPr>
        <w:pStyle w:val="17"/>
        <w:pageBreakBefore w:val="0"/>
        <w:widowControl/>
        <w:numPr>
          <w:ilvl w:val="0"/>
          <w:numId w:val="2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电缆线槽用2mm冷轧镀锌钢板制作，宽度根据需要由</w:t>
      </w:r>
      <w:r>
        <w:rPr>
          <w:rFonts w:hint="eastAsia" w:ascii="宋体" w:hAnsi="宋体" w:cs="宋体"/>
          <w:lang w:eastAsia="zh-CN"/>
        </w:rPr>
        <w:t>投标人</w:t>
      </w:r>
      <w:r>
        <w:rPr>
          <w:rFonts w:hint="eastAsia" w:ascii="宋体" w:hAnsi="宋体" w:eastAsia="宋体" w:cs="宋体"/>
        </w:rPr>
        <w:t>确定，线槽要开散热孔，并设有隔板。</w:t>
      </w:r>
    </w:p>
    <w:p w14:paraId="24190ED3">
      <w:pPr>
        <w:pStyle w:val="17"/>
        <w:pageBreakBefore w:val="0"/>
        <w:widowControl/>
        <w:numPr>
          <w:ilvl w:val="0"/>
          <w:numId w:val="23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导线颜色标准</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917"/>
        <w:gridCol w:w="2297"/>
        <w:gridCol w:w="3674"/>
        <w:gridCol w:w="2762"/>
      </w:tblGrid>
      <w:tr w14:paraId="1184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665"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A34BEC">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主 电 路</w:t>
            </w:r>
          </w:p>
        </w:tc>
        <w:tc>
          <w:tcPr>
            <w:tcW w:w="1903" w:type="pct"/>
            <w:tcBorders>
              <w:top w:val="single" w:color="auto" w:sz="4" w:space="0"/>
              <w:left w:val="single" w:color="auto" w:sz="4" w:space="0"/>
              <w:bottom w:val="single" w:color="auto" w:sz="4" w:space="0"/>
              <w:right w:val="single" w:color="auto" w:sz="4" w:space="0"/>
            </w:tcBorders>
            <w:shd w:val="clear" w:color="auto" w:fill="auto"/>
            <w:vAlign w:val="center"/>
          </w:tcPr>
          <w:p w14:paraId="18D7290F">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控 制 电 路</w:t>
            </w:r>
          </w:p>
        </w:tc>
        <w:tc>
          <w:tcPr>
            <w:tcW w:w="1431" w:type="pct"/>
            <w:tcBorders>
              <w:top w:val="single" w:color="auto" w:sz="4" w:space="0"/>
              <w:left w:val="single" w:color="auto" w:sz="4" w:space="0"/>
              <w:bottom w:val="single" w:color="auto" w:sz="4" w:space="0"/>
              <w:right w:val="single" w:color="auto" w:sz="4" w:space="0"/>
            </w:tcBorders>
            <w:shd w:val="clear" w:color="auto" w:fill="auto"/>
            <w:vAlign w:val="center"/>
          </w:tcPr>
          <w:p w14:paraId="4E906AF9">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保 护 线</w:t>
            </w:r>
          </w:p>
        </w:tc>
      </w:tr>
      <w:tr w14:paraId="2A53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47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E363433">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交流</w:t>
            </w:r>
          </w:p>
          <w:p w14:paraId="139AB745">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189" w:type="pct"/>
            <w:tcBorders>
              <w:top w:val="single" w:color="auto" w:sz="4" w:space="0"/>
              <w:left w:val="single" w:color="auto" w:sz="4" w:space="0"/>
              <w:bottom w:val="single" w:color="auto" w:sz="4" w:space="0"/>
              <w:right w:val="single" w:color="auto" w:sz="4" w:space="0"/>
            </w:tcBorders>
            <w:shd w:val="clear" w:color="auto" w:fill="auto"/>
            <w:vAlign w:val="center"/>
          </w:tcPr>
          <w:p w14:paraId="622D1332">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b/>
                <w:kern w:val="0"/>
                <w:sz w:val="24"/>
                <w:szCs w:val="24"/>
                <w:lang w:val="de-DE"/>
              </w:rPr>
              <w:t>A</w:t>
            </w:r>
            <w:r>
              <w:rPr>
                <w:rFonts w:hint="eastAsia" w:ascii="宋体" w:hAnsi="宋体" w:eastAsia="宋体" w:cs="宋体"/>
                <w:kern w:val="0"/>
                <w:sz w:val="24"/>
                <w:szCs w:val="24"/>
                <w:lang w:val="de-DE"/>
              </w:rPr>
              <w:t>(L1)相 黄</w:t>
            </w:r>
          </w:p>
        </w:tc>
        <w:tc>
          <w:tcPr>
            <w:tcW w:w="1903" w:type="pct"/>
            <w:tcBorders>
              <w:top w:val="single" w:color="auto" w:sz="4" w:space="0"/>
              <w:left w:val="single" w:color="auto" w:sz="4" w:space="0"/>
              <w:bottom w:val="single" w:color="auto" w:sz="4" w:space="0"/>
              <w:right w:val="single" w:color="auto" w:sz="4" w:space="0"/>
            </w:tcBorders>
            <w:shd w:val="clear" w:color="auto" w:fill="auto"/>
            <w:vAlign w:val="center"/>
          </w:tcPr>
          <w:p w14:paraId="70FBEE02">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交流控制</w:t>
            </w:r>
          </w:p>
        </w:tc>
        <w:tc>
          <w:tcPr>
            <w:tcW w:w="1431" w:type="pct"/>
            <w:tcBorders>
              <w:top w:val="single" w:color="auto" w:sz="4" w:space="0"/>
              <w:left w:val="single" w:color="auto" w:sz="4" w:space="0"/>
              <w:bottom w:val="single" w:color="auto" w:sz="4" w:space="0"/>
              <w:right w:val="single" w:color="auto" w:sz="4" w:space="0"/>
            </w:tcBorders>
            <w:shd w:val="clear" w:color="auto" w:fill="auto"/>
            <w:vAlign w:val="center"/>
          </w:tcPr>
          <w:p w14:paraId="621E05EB">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黄绿双色</w:t>
            </w:r>
          </w:p>
        </w:tc>
      </w:tr>
      <w:tr w14:paraId="7609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jc w:val="center"/>
        </w:trPr>
        <w:tc>
          <w:tcPr>
            <w:tcW w:w="47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429A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189" w:type="pct"/>
            <w:tcBorders>
              <w:top w:val="single" w:color="auto" w:sz="4" w:space="0"/>
              <w:left w:val="single" w:color="auto" w:sz="4" w:space="0"/>
              <w:bottom w:val="single" w:color="auto" w:sz="4" w:space="0"/>
              <w:right w:val="single" w:color="auto" w:sz="4" w:space="0"/>
            </w:tcBorders>
            <w:shd w:val="clear" w:color="auto" w:fill="auto"/>
            <w:vAlign w:val="center"/>
          </w:tcPr>
          <w:p w14:paraId="7ABFC7FB">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b/>
                <w:kern w:val="0"/>
                <w:sz w:val="24"/>
                <w:szCs w:val="24"/>
                <w:lang w:val="de-DE"/>
              </w:rPr>
              <w:t>B</w:t>
            </w:r>
            <w:r>
              <w:rPr>
                <w:rFonts w:hint="eastAsia" w:ascii="宋体" w:hAnsi="宋体" w:eastAsia="宋体" w:cs="宋体"/>
                <w:kern w:val="0"/>
                <w:sz w:val="24"/>
                <w:szCs w:val="24"/>
                <w:lang w:val="de-DE"/>
              </w:rPr>
              <w:t>(L2) 相 绿</w:t>
            </w:r>
          </w:p>
        </w:tc>
        <w:tc>
          <w:tcPr>
            <w:tcW w:w="1903" w:type="pct"/>
            <w:tcBorders>
              <w:top w:val="single" w:color="auto" w:sz="4" w:space="0"/>
              <w:left w:val="single" w:color="auto" w:sz="4" w:space="0"/>
              <w:bottom w:val="single" w:color="auto" w:sz="4" w:space="0"/>
              <w:right w:val="single" w:color="auto" w:sz="4" w:space="0"/>
            </w:tcBorders>
            <w:shd w:val="clear" w:color="auto" w:fill="auto"/>
            <w:vAlign w:val="center"/>
          </w:tcPr>
          <w:p w14:paraId="02DDF08A">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火线：红色；零线：黑色</w:t>
            </w:r>
          </w:p>
        </w:tc>
        <w:tc>
          <w:tcPr>
            <w:tcW w:w="1431" w:type="pct"/>
            <w:tcBorders>
              <w:top w:val="single" w:color="auto" w:sz="4" w:space="0"/>
              <w:left w:val="single" w:color="auto" w:sz="4" w:space="0"/>
              <w:bottom w:val="single" w:color="auto" w:sz="4" w:space="0"/>
              <w:right w:val="single" w:color="auto" w:sz="4" w:space="0"/>
            </w:tcBorders>
            <w:shd w:val="clear" w:color="auto" w:fill="auto"/>
            <w:vAlign w:val="center"/>
          </w:tcPr>
          <w:p w14:paraId="744794C0">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p>
        </w:tc>
      </w:tr>
      <w:tr w14:paraId="26B2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trHeight w:val="300" w:hRule="atLeast"/>
          <w:jc w:val="center"/>
        </w:trPr>
        <w:tc>
          <w:tcPr>
            <w:tcW w:w="47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EB009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189" w:type="pct"/>
            <w:tcBorders>
              <w:top w:val="single" w:color="auto" w:sz="4" w:space="0"/>
              <w:left w:val="single" w:color="auto" w:sz="4" w:space="0"/>
              <w:bottom w:val="single" w:color="auto" w:sz="4" w:space="0"/>
              <w:right w:val="single" w:color="auto" w:sz="4" w:space="0"/>
            </w:tcBorders>
            <w:shd w:val="clear" w:color="auto" w:fill="auto"/>
            <w:vAlign w:val="center"/>
          </w:tcPr>
          <w:p w14:paraId="39D19285">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b/>
                <w:kern w:val="0"/>
                <w:sz w:val="24"/>
                <w:szCs w:val="24"/>
                <w:lang w:val="de-DE"/>
              </w:rPr>
              <w:t>C</w:t>
            </w:r>
            <w:r>
              <w:rPr>
                <w:rFonts w:hint="eastAsia" w:ascii="宋体" w:hAnsi="宋体" w:eastAsia="宋体" w:cs="宋体"/>
                <w:kern w:val="0"/>
                <w:sz w:val="24"/>
                <w:szCs w:val="24"/>
                <w:lang w:val="de-DE"/>
              </w:rPr>
              <w:t>(L3) 相 红</w:t>
            </w:r>
          </w:p>
        </w:tc>
        <w:tc>
          <w:tcPr>
            <w:tcW w:w="1903" w:type="pct"/>
            <w:tcBorders>
              <w:top w:val="single" w:color="auto" w:sz="4" w:space="0"/>
              <w:left w:val="single" w:color="auto" w:sz="4" w:space="0"/>
              <w:bottom w:val="single" w:color="auto" w:sz="4" w:space="0"/>
              <w:right w:val="single" w:color="auto" w:sz="4" w:space="0"/>
            </w:tcBorders>
            <w:shd w:val="clear" w:color="auto" w:fill="auto"/>
            <w:vAlign w:val="center"/>
          </w:tcPr>
          <w:p w14:paraId="5E31B774">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p>
        </w:tc>
        <w:tc>
          <w:tcPr>
            <w:tcW w:w="1431" w:type="pct"/>
            <w:tcBorders>
              <w:top w:val="single" w:color="auto" w:sz="4" w:space="0"/>
              <w:left w:val="single" w:color="auto" w:sz="4" w:space="0"/>
              <w:bottom w:val="single" w:color="auto" w:sz="4" w:space="0"/>
              <w:right w:val="single" w:color="auto" w:sz="4" w:space="0"/>
            </w:tcBorders>
            <w:shd w:val="clear" w:color="auto" w:fill="auto"/>
            <w:vAlign w:val="center"/>
          </w:tcPr>
          <w:p w14:paraId="4A841A29">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p>
        </w:tc>
      </w:tr>
      <w:tr w14:paraId="22FF1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47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B456F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189" w:type="pct"/>
            <w:tcBorders>
              <w:top w:val="single" w:color="auto" w:sz="4" w:space="0"/>
              <w:left w:val="single" w:color="auto" w:sz="4" w:space="0"/>
              <w:bottom w:val="single" w:color="auto" w:sz="4" w:space="0"/>
              <w:right w:val="single" w:color="auto" w:sz="4" w:space="0"/>
            </w:tcBorders>
            <w:shd w:val="clear" w:color="auto" w:fill="auto"/>
            <w:vAlign w:val="center"/>
          </w:tcPr>
          <w:p w14:paraId="3EFD4512">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N  相 蓝</w:t>
            </w:r>
          </w:p>
        </w:tc>
        <w:tc>
          <w:tcPr>
            <w:tcW w:w="1903" w:type="pct"/>
            <w:tcBorders>
              <w:top w:val="single" w:color="auto" w:sz="4" w:space="0"/>
              <w:left w:val="single" w:color="auto" w:sz="4" w:space="0"/>
              <w:bottom w:val="single" w:color="auto" w:sz="4" w:space="0"/>
              <w:right w:val="single" w:color="auto" w:sz="4" w:space="0"/>
            </w:tcBorders>
            <w:shd w:val="clear" w:color="auto" w:fill="auto"/>
            <w:vAlign w:val="center"/>
          </w:tcPr>
          <w:p w14:paraId="151A0EAF">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直流控制</w:t>
            </w:r>
          </w:p>
        </w:tc>
        <w:tc>
          <w:tcPr>
            <w:tcW w:w="1431" w:type="pct"/>
            <w:tcBorders>
              <w:top w:val="single" w:color="auto" w:sz="4" w:space="0"/>
              <w:left w:val="single" w:color="auto" w:sz="4" w:space="0"/>
              <w:bottom w:val="single" w:color="auto" w:sz="4" w:space="0"/>
              <w:right w:val="single" w:color="auto" w:sz="4" w:space="0"/>
            </w:tcBorders>
            <w:shd w:val="clear" w:color="auto" w:fill="auto"/>
            <w:vAlign w:val="center"/>
          </w:tcPr>
          <w:p w14:paraId="7A173E06">
            <w:pPr>
              <w:pageBreakBefore w:val="0"/>
              <w:widowControl/>
              <w:tabs>
                <w:tab w:val="left" w:pos="10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p>
        </w:tc>
      </w:tr>
      <w:tr w14:paraId="0627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2" w:hRule="atLeast"/>
          <w:jc w:val="center"/>
        </w:trPr>
        <w:tc>
          <w:tcPr>
            <w:tcW w:w="475" w:type="pct"/>
            <w:tcBorders>
              <w:top w:val="single" w:color="auto" w:sz="4" w:space="0"/>
              <w:left w:val="single" w:color="auto" w:sz="4" w:space="0"/>
              <w:bottom w:val="single" w:color="auto" w:sz="4" w:space="0"/>
              <w:right w:val="single" w:color="auto" w:sz="4" w:space="0"/>
            </w:tcBorders>
            <w:shd w:val="clear" w:color="auto" w:fill="auto"/>
            <w:vAlign w:val="center"/>
          </w:tcPr>
          <w:p w14:paraId="1924570A">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直流</w:t>
            </w:r>
          </w:p>
        </w:tc>
        <w:tc>
          <w:tcPr>
            <w:tcW w:w="1189" w:type="pct"/>
            <w:tcBorders>
              <w:top w:val="single" w:color="auto" w:sz="4" w:space="0"/>
              <w:left w:val="single" w:color="auto" w:sz="4" w:space="0"/>
              <w:bottom w:val="single" w:color="auto" w:sz="4" w:space="0"/>
              <w:right w:val="single" w:color="auto" w:sz="4" w:space="0"/>
            </w:tcBorders>
            <w:shd w:val="clear" w:color="auto" w:fill="auto"/>
            <w:vAlign w:val="center"/>
          </w:tcPr>
          <w:p w14:paraId="3FD30F00">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红</w:t>
            </w:r>
          </w:p>
        </w:tc>
        <w:tc>
          <w:tcPr>
            <w:tcW w:w="1903" w:type="pct"/>
            <w:tcBorders>
              <w:top w:val="single" w:color="auto" w:sz="4" w:space="0"/>
              <w:left w:val="single" w:color="auto" w:sz="4" w:space="0"/>
              <w:bottom w:val="single" w:color="auto" w:sz="4" w:space="0"/>
              <w:right w:val="single" w:color="auto" w:sz="4" w:space="0"/>
            </w:tcBorders>
            <w:shd w:val="clear" w:color="auto" w:fill="auto"/>
            <w:vAlign w:val="center"/>
          </w:tcPr>
          <w:p w14:paraId="75009B24">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r>
              <w:rPr>
                <w:rFonts w:hint="eastAsia" w:ascii="宋体" w:hAnsi="宋体" w:eastAsia="宋体" w:cs="宋体"/>
                <w:kern w:val="0"/>
                <w:sz w:val="24"/>
                <w:szCs w:val="24"/>
                <w:lang w:val="de-DE"/>
              </w:rPr>
              <w:t>（正）棕色；（负）蓝色</w:t>
            </w:r>
          </w:p>
        </w:tc>
        <w:tc>
          <w:tcPr>
            <w:tcW w:w="1431" w:type="pct"/>
            <w:tcBorders>
              <w:top w:val="single" w:color="auto" w:sz="4" w:space="0"/>
              <w:left w:val="single" w:color="auto" w:sz="4" w:space="0"/>
              <w:bottom w:val="single" w:color="auto" w:sz="4" w:space="0"/>
              <w:right w:val="single" w:color="auto" w:sz="4" w:space="0"/>
            </w:tcBorders>
            <w:shd w:val="clear" w:color="auto" w:fill="auto"/>
            <w:vAlign w:val="center"/>
          </w:tcPr>
          <w:p w14:paraId="68A41AC8">
            <w:pPr>
              <w:pageBreakBefore w:val="0"/>
              <w:widowControl/>
              <w:tabs>
                <w:tab w:val="left" w:pos="54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lang w:val="de-DE"/>
              </w:rPr>
            </w:pPr>
          </w:p>
        </w:tc>
      </w:tr>
    </w:tbl>
    <w:p w14:paraId="27C0B148">
      <w:pPr>
        <w:pStyle w:val="17"/>
        <w:pageBreakBefore w:val="0"/>
        <w:widowControl/>
        <w:numPr>
          <w:ilvl w:val="0"/>
          <w:numId w:val="2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导线的横截面必须符合国家标准，必须满足设备和电气元件正常稳定运行。</w:t>
      </w:r>
    </w:p>
    <w:p w14:paraId="2781EEF4">
      <w:pPr>
        <w:pStyle w:val="17"/>
        <w:pageBreakBefore w:val="0"/>
        <w:widowControl/>
        <w:numPr>
          <w:ilvl w:val="0"/>
          <w:numId w:val="2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动力线不小于1.5mm</w:t>
      </w:r>
      <w:r>
        <w:rPr>
          <w:rFonts w:hint="eastAsia" w:ascii="宋体" w:hAnsi="宋体" w:eastAsia="宋体" w:cs="宋体"/>
          <w:vertAlign w:val="superscript"/>
        </w:rPr>
        <w:t>2</w:t>
      </w:r>
      <w:r>
        <w:rPr>
          <w:rFonts w:hint="eastAsia" w:ascii="宋体" w:hAnsi="宋体" w:eastAsia="宋体" w:cs="宋体"/>
        </w:rPr>
        <w:t>。</w:t>
      </w:r>
    </w:p>
    <w:p w14:paraId="592F9746">
      <w:pPr>
        <w:pStyle w:val="17"/>
        <w:pageBreakBefore w:val="0"/>
        <w:widowControl/>
        <w:numPr>
          <w:ilvl w:val="0"/>
          <w:numId w:val="2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220V控制线不小于1.0 mm</w:t>
      </w:r>
      <w:r>
        <w:rPr>
          <w:rFonts w:hint="eastAsia" w:ascii="宋体" w:hAnsi="宋体" w:eastAsia="宋体" w:cs="宋体"/>
          <w:vertAlign w:val="superscript"/>
        </w:rPr>
        <w:t>2</w:t>
      </w:r>
      <w:r>
        <w:rPr>
          <w:rFonts w:hint="eastAsia" w:ascii="宋体" w:hAnsi="宋体" w:eastAsia="宋体" w:cs="宋体"/>
        </w:rPr>
        <w:t>。</w:t>
      </w:r>
    </w:p>
    <w:p w14:paraId="3B49C828">
      <w:pPr>
        <w:pStyle w:val="17"/>
        <w:pageBreakBefore w:val="0"/>
        <w:widowControl/>
        <w:numPr>
          <w:ilvl w:val="0"/>
          <w:numId w:val="240"/>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24V控制线不小于0.75 mm</w:t>
      </w:r>
      <w:r>
        <w:rPr>
          <w:rFonts w:hint="eastAsia" w:ascii="宋体" w:hAnsi="宋体" w:eastAsia="宋体" w:cs="宋体"/>
          <w:vertAlign w:val="superscript"/>
        </w:rPr>
        <w:t>2</w:t>
      </w:r>
      <w:r>
        <w:rPr>
          <w:rFonts w:hint="eastAsia" w:ascii="宋体" w:hAnsi="宋体" w:eastAsia="宋体" w:cs="宋体"/>
        </w:rPr>
        <w:t>。</w:t>
      </w:r>
    </w:p>
    <w:p w14:paraId="1D8CF857">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控制柜内部的导线</w:t>
      </w:r>
    </w:p>
    <w:p w14:paraId="0F8BE1D1">
      <w:pPr>
        <w:pStyle w:val="17"/>
        <w:pageBreakBefore w:val="0"/>
        <w:widowControl/>
        <w:numPr>
          <w:ilvl w:val="0"/>
          <w:numId w:val="2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PLC的备用I/O点必须用导线从接线端子连接到相应的PLC模块上。</w:t>
      </w:r>
    </w:p>
    <w:p w14:paraId="7900A0D4">
      <w:pPr>
        <w:pStyle w:val="17"/>
        <w:pageBreakBefore w:val="0"/>
        <w:widowControl/>
        <w:numPr>
          <w:ilvl w:val="0"/>
          <w:numId w:val="2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控制柜内使用的布线线槽必须具有20％的备用空间。</w:t>
      </w:r>
    </w:p>
    <w:p w14:paraId="1B50B665">
      <w:pPr>
        <w:pStyle w:val="17"/>
        <w:pageBreakBefore w:val="0"/>
        <w:widowControl/>
        <w:numPr>
          <w:ilvl w:val="0"/>
          <w:numId w:val="24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电气元件布置有规律，柜内整齐有序。</w:t>
      </w:r>
    </w:p>
    <w:p w14:paraId="3F19CC54">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控制柜外部电缆</w:t>
      </w:r>
    </w:p>
    <w:p w14:paraId="6402419F">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从控制柜到设备各部位的控制电缆必须布置在电缆桥架内，并与动力电缆隔离；</w:t>
      </w:r>
    </w:p>
    <w:p w14:paraId="4E99DCCD">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所有外部电缆必须有编号，并且保证每根电缆编号的唯一性；</w:t>
      </w:r>
    </w:p>
    <w:p w14:paraId="2D11AD2B">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必须采取措施确保在电缆间传输的电压不会引起任何相互干扰；</w:t>
      </w:r>
    </w:p>
    <w:p w14:paraId="7AE89B81">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电缆桥架内的电缆不可以进行任何导线连接；</w:t>
      </w:r>
    </w:p>
    <w:p w14:paraId="5E23BFA5">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电缆的长度要足以能够满足更换元件的需要；</w:t>
      </w:r>
    </w:p>
    <w:p w14:paraId="76D931CD">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为了便于维修，从控制箱到电柜的控制线至少要预留10％；</w:t>
      </w:r>
    </w:p>
    <w:p w14:paraId="559DD9BB">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金属线槽及其附件表面应进行镀锌或者喷塑处理，其规格、型号应符合设计要求，并有合格证；</w:t>
      </w:r>
    </w:p>
    <w:p w14:paraId="1CF1EE62">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线槽内外光滑平整、无棱刺；线槽无扭曲、翘边变形现象；</w:t>
      </w:r>
    </w:p>
    <w:p w14:paraId="4450D629">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线槽底部底部、侧部及盖板冲有散热孔；</w:t>
      </w:r>
    </w:p>
    <w:p w14:paraId="03F5C978">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线槽施工及布线应按图纸及有关规定进行；</w:t>
      </w:r>
    </w:p>
    <w:p w14:paraId="1E7465ED">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可靠接地，水平或垂直偏差不超过 5‰；线槽支架采用标准镀锌支架；</w:t>
      </w:r>
    </w:p>
    <w:p w14:paraId="1BE72497">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弯头、三通、变径等过渡处必须采用标准件，不得切割、焊接；</w:t>
      </w:r>
    </w:p>
    <w:p w14:paraId="683EC58E">
      <w:pPr>
        <w:pStyle w:val="17"/>
        <w:pageBreakBefore w:val="0"/>
        <w:widowControl/>
        <w:numPr>
          <w:ilvl w:val="0"/>
          <w:numId w:val="24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所有沿地面、楼面布置的线槽，应采用支架，使线槽离地面或楼面高于10厘米以防潮防腐，线槽连接处应该按照国家标准规定用接地线进行跨接并进行接地处理。</w:t>
      </w:r>
    </w:p>
    <w:p w14:paraId="148BA025">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编号和标记</w:t>
      </w:r>
    </w:p>
    <w:p w14:paraId="420467E0">
      <w:pPr>
        <w:pStyle w:val="17"/>
        <w:pageBreakBefore w:val="0"/>
        <w:widowControl/>
        <w:numPr>
          <w:ilvl w:val="0"/>
          <w:numId w:val="24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所有电气元件必须作出标记符号，且在更换元件时，标记不能被覆盖或者丢失；标记必须是永久且便于识别的；</w:t>
      </w:r>
    </w:p>
    <w:p w14:paraId="2CA5B52F">
      <w:pPr>
        <w:pStyle w:val="17"/>
        <w:pageBreakBefore w:val="0"/>
        <w:widowControl/>
        <w:numPr>
          <w:ilvl w:val="0"/>
          <w:numId w:val="24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所有电控柜外部的接线、传感器和执行元件等（如接近开关、电磁阀、电机等）应该使用永久标牌标明控制功能以及图纸编号，必须能明确该元件的位置（不能镶嵌到元件上），便于维修查找；</w:t>
      </w:r>
    </w:p>
    <w:p w14:paraId="38C14DAE">
      <w:pPr>
        <w:pStyle w:val="17"/>
        <w:pageBreakBefore w:val="0"/>
        <w:widowControl/>
        <w:numPr>
          <w:ilvl w:val="0"/>
          <w:numId w:val="24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备用电缆应标明“备用***”挂牌标记；</w:t>
      </w:r>
    </w:p>
    <w:p w14:paraId="276BEA5D">
      <w:pPr>
        <w:pStyle w:val="17"/>
        <w:pageBreakBefore w:val="0"/>
        <w:widowControl/>
        <w:numPr>
          <w:ilvl w:val="0"/>
          <w:numId w:val="243"/>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接线端子上的标记应与电路图上的标记相同。</w:t>
      </w:r>
    </w:p>
    <w:p w14:paraId="088764BD">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开关断路器</w:t>
      </w:r>
    </w:p>
    <w:p w14:paraId="28D537FF">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操作面板上的开关</w:t>
      </w:r>
    </w:p>
    <w:p w14:paraId="3525934C">
      <w:pPr>
        <w:pStyle w:val="17"/>
        <w:pageBreakBefore w:val="0"/>
        <w:widowControl/>
        <w:numPr>
          <w:ilvl w:val="0"/>
          <w:numId w:val="24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控制自动/手动采用钥匙开关；</w:t>
      </w:r>
    </w:p>
    <w:p w14:paraId="58E8A728">
      <w:pPr>
        <w:pStyle w:val="17"/>
        <w:pageBreakBefore w:val="0"/>
        <w:widowControl/>
        <w:numPr>
          <w:ilvl w:val="0"/>
          <w:numId w:val="24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在各控制柜上单独设置指示灯检测按钮；</w:t>
      </w:r>
    </w:p>
    <w:p w14:paraId="2FF27504">
      <w:pPr>
        <w:pStyle w:val="17"/>
        <w:pageBreakBefore w:val="0"/>
        <w:widowControl/>
        <w:numPr>
          <w:ilvl w:val="0"/>
          <w:numId w:val="24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铭牌使用PVC板制成，采用蓝底白字；</w:t>
      </w:r>
    </w:p>
    <w:p w14:paraId="0F46E115">
      <w:pPr>
        <w:pStyle w:val="17"/>
        <w:pageBreakBefore w:val="0"/>
        <w:widowControl/>
        <w:numPr>
          <w:ilvl w:val="0"/>
          <w:numId w:val="24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各控制柜至少预留三个备用按钮；</w:t>
      </w:r>
    </w:p>
    <w:p w14:paraId="0D72D2A2">
      <w:pPr>
        <w:pStyle w:val="17"/>
        <w:pageBreakBefore w:val="0"/>
        <w:widowControl/>
        <w:numPr>
          <w:ilvl w:val="0"/>
          <w:numId w:val="24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急停按钮要统一布置在操作面板操作区的左下或者右下部。</w:t>
      </w:r>
    </w:p>
    <w:p w14:paraId="44F9FFA0">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电源主开关</w:t>
      </w:r>
    </w:p>
    <w:p w14:paraId="7D25A80B">
      <w:pPr>
        <w:pStyle w:val="17"/>
        <w:pageBreakBefore w:val="0"/>
        <w:widowControl/>
        <w:numPr>
          <w:ilvl w:val="0"/>
          <w:numId w:val="2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各控制柜都应设置机械方式操作的主断路器，并且装有“主断路器”的符号标记；</w:t>
      </w:r>
    </w:p>
    <w:p w14:paraId="0053052F">
      <w:pPr>
        <w:pStyle w:val="17"/>
        <w:pageBreakBefore w:val="0"/>
        <w:widowControl/>
        <w:numPr>
          <w:ilvl w:val="0"/>
          <w:numId w:val="2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各控制柜主断路器不与柜门互锁应单独设置并在柜门上开仿形孔方便操作；</w:t>
      </w:r>
    </w:p>
    <w:p w14:paraId="18298AC0">
      <w:pPr>
        <w:pStyle w:val="17"/>
        <w:pageBreakBefore w:val="0"/>
        <w:widowControl/>
        <w:numPr>
          <w:ilvl w:val="0"/>
          <w:numId w:val="24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主断路器应该设置在电控柜的中部（开关旋转轴中心距地面高1100mm）以方便操作。</w:t>
      </w:r>
    </w:p>
    <w:p w14:paraId="2A95FF12">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按钮开关的颜色应按照下表配置</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088"/>
        <w:gridCol w:w="3081"/>
        <w:gridCol w:w="3485"/>
      </w:tblGrid>
      <w:tr w14:paraId="0BB0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5A045793">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按钮类型</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1366B56D">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颜色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561358F8">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742A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42B1D2B1">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操作准备</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55858200">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橙色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1382D0DC">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E248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5FD66A55">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自动启动</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7330AB37">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绿色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61883AFE">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C7AA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1E50685B">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灯测试</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68A50B18">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白色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4D8CA6BF">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2A523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5BA9EE2E">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撤销报警</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6E9FDD32">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黄色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0925CF2E">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2615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5E2D827D">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复位</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750A8142">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蓝色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26F860FB">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5B407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39829A5C">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停止或者结束</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69734473">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红色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67A63758">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5954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56D8B9A5">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紧急停止</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6DEA99F4">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红色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3FC35419">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蘑菇头按钮（旋转释放）</w:t>
            </w:r>
          </w:p>
        </w:tc>
      </w:tr>
      <w:tr w14:paraId="1C12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vAlign w:val="center"/>
          </w:tcPr>
          <w:p w14:paraId="13F6C26E">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选择开关</w:t>
            </w:r>
          </w:p>
        </w:tc>
        <w:tc>
          <w:tcPr>
            <w:tcW w:w="1595" w:type="pct"/>
            <w:tcBorders>
              <w:top w:val="single" w:color="auto" w:sz="4" w:space="0"/>
              <w:left w:val="single" w:color="auto" w:sz="4" w:space="0"/>
              <w:bottom w:val="single" w:color="auto" w:sz="4" w:space="0"/>
              <w:right w:val="single" w:color="auto" w:sz="4" w:space="0"/>
            </w:tcBorders>
            <w:shd w:val="clear" w:color="auto" w:fill="auto"/>
            <w:vAlign w:val="center"/>
          </w:tcPr>
          <w:p w14:paraId="219EE7EF">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黑色</w:t>
            </w:r>
          </w:p>
        </w:tc>
        <w:tc>
          <w:tcPr>
            <w:tcW w:w="1804" w:type="pct"/>
            <w:tcBorders>
              <w:top w:val="single" w:color="auto" w:sz="4" w:space="0"/>
              <w:left w:val="single" w:color="auto" w:sz="4" w:space="0"/>
              <w:bottom w:val="single" w:color="auto" w:sz="4" w:space="0"/>
              <w:right w:val="single" w:color="auto" w:sz="4" w:space="0"/>
            </w:tcBorders>
            <w:shd w:val="clear" w:color="auto" w:fill="auto"/>
            <w:vAlign w:val="center"/>
          </w:tcPr>
          <w:p w14:paraId="56A6A785">
            <w:pPr>
              <w:pageBreakBefore w:val="0"/>
              <w:widowControl/>
              <w:tabs>
                <w:tab w:val="left" w:pos="750"/>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bl>
    <w:p w14:paraId="298129DD">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指示元件</w:t>
      </w:r>
    </w:p>
    <w:p w14:paraId="3C6437A2">
      <w:pPr>
        <w:pStyle w:val="17"/>
        <w:pageBreakBefore w:val="0"/>
        <w:widowControl/>
        <w:numPr>
          <w:ilvl w:val="0"/>
          <w:numId w:val="2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指示灯</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088"/>
        <w:gridCol w:w="3081"/>
        <w:gridCol w:w="3485"/>
      </w:tblGrid>
      <w:tr w14:paraId="70D5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tcPr>
          <w:p w14:paraId="78B22013">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指示灯类别</w:t>
            </w:r>
          </w:p>
        </w:tc>
        <w:tc>
          <w:tcPr>
            <w:tcW w:w="1595" w:type="pct"/>
            <w:tcBorders>
              <w:top w:val="single" w:color="auto" w:sz="4" w:space="0"/>
              <w:left w:val="single" w:color="auto" w:sz="4" w:space="0"/>
              <w:bottom w:val="single" w:color="auto" w:sz="4" w:space="0"/>
              <w:right w:val="single" w:color="auto" w:sz="4" w:space="0"/>
            </w:tcBorders>
            <w:shd w:val="clear" w:color="auto" w:fill="auto"/>
          </w:tcPr>
          <w:p w14:paraId="1CD2CBBF">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颜色</w:t>
            </w:r>
          </w:p>
        </w:tc>
        <w:tc>
          <w:tcPr>
            <w:tcW w:w="1804" w:type="pct"/>
            <w:tcBorders>
              <w:top w:val="single" w:color="auto" w:sz="4" w:space="0"/>
              <w:left w:val="single" w:color="auto" w:sz="4" w:space="0"/>
              <w:bottom w:val="single" w:color="auto" w:sz="4" w:space="0"/>
              <w:right w:val="single" w:color="auto" w:sz="4" w:space="0"/>
            </w:tcBorders>
            <w:shd w:val="clear" w:color="auto" w:fill="auto"/>
          </w:tcPr>
          <w:p w14:paraId="1FFD500C">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5923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tcPr>
          <w:p w14:paraId="77F529B7">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电源接通，PLC工作</w:t>
            </w:r>
          </w:p>
        </w:tc>
        <w:tc>
          <w:tcPr>
            <w:tcW w:w="1595" w:type="pct"/>
            <w:tcBorders>
              <w:top w:val="single" w:color="auto" w:sz="4" w:space="0"/>
              <w:left w:val="single" w:color="auto" w:sz="4" w:space="0"/>
              <w:bottom w:val="single" w:color="auto" w:sz="4" w:space="0"/>
              <w:right w:val="single" w:color="auto" w:sz="4" w:space="0"/>
            </w:tcBorders>
            <w:shd w:val="clear" w:color="auto" w:fill="auto"/>
          </w:tcPr>
          <w:p w14:paraId="670E4021">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白色</w:t>
            </w:r>
          </w:p>
        </w:tc>
        <w:tc>
          <w:tcPr>
            <w:tcW w:w="1804" w:type="pct"/>
            <w:tcBorders>
              <w:top w:val="single" w:color="auto" w:sz="4" w:space="0"/>
              <w:left w:val="single" w:color="auto" w:sz="4" w:space="0"/>
              <w:bottom w:val="single" w:color="auto" w:sz="4" w:space="0"/>
              <w:right w:val="single" w:color="auto" w:sz="4" w:space="0"/>
            </w:tcBorders>
            <w:shd w:val="clear" w:color="auto" w:fill="auto"/>
          </w:tcPr>
          <w:p w14:paraId="0908E2C1">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50DA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tcPr>
          <w:p w14:paraId="2DB9DD60">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急停，手动控制，故障</w:t>
            </w:r>
          </w:p>
        </w:tc>
        <w:tc>
          <w:tcPr>
            <w:tcW w:w="1595" w:type="pct"/>
            <w:tcBorders>
              <w:top w:val="single" w:color="auto" w:sz="4" w:space="0"/>
              <w:left w:val="single" w:color="auto" w:sz="4" w:space="0"/>
              <w:bottom w:val="single" w:color="auto" w:sz="4" w:space="0"/>
              <w:right w:val="single" w:color="auto" w:sz="4" w:space="0"/>
            </w:tcBorders>
            <w:shd w:val="clear" w:color="auto" w:fill="auto"/>
          </w:tcPr>
          <w:p w14:paraId="36535E97">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红色</w:t>
            </w:r>
          </w:p>
        </w:tc>
        <w:tc>
          <w:tcPr>
            <w:tcW w:w="1804" w:type="pct"/>
            <w:tcBorders>
              <w:top w:val="single" w:color="auto" w:sz="4" w:space="0"/>
              <w:left w:val="single" w:color="auto" w:sz="4" w:space="0"/>
              <w:bottom w:val="single" w:color="auto" w:sz="4" w:space="0"/>
              <w:right w:val="single" w:color="auto" w:sz="4" w:space="0"/>
            </w:tcBorders>
            <w:shd w:val="clear" w:color="auto" w:fill="auto"/>
          </w:tcPr>
          <w:p w14:paraId="36D29CE9">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19347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599" w:type="pct"/>
            <w:tcBorders>
              <w:top w:val="single" w:color="auto" w:sz="4" w:space="0"/>
              <w:left w:val="single" w:color="auto" w:sz="4" w:space="0"/>
              <w:bottom w:val="single" w:color="auto" w:sz="4" w:space="0"/>
              <w:right w:val="single" w:color="auto" w:sz="4" w:space="0"/>
            </w:tcBorders>
            <w:shd w:val="clear" w:color="auto" w:fill="auto"/>
          </w:tcPr>
          <w:p w14:paraId="51A71DAF">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设备正常运行</w:t>
            </w:r>
          </w:p>
        </w:tc>
        <w:tc>
          <w:tcPr>
            <w:tcW w:w="1595" w:type="pct"/>
            <w:tcBorders>
              <w:top w:val="single" w:color="auto" w:sz="4" w:space="0"/>
              <w:left w:val="single" w:color="auto" w:sz="4" w:space="0"/>
              <w:bottom w:val="single" w:color="auto" w:sz="4" w:space="0"/>
              <w:right w:val="single" w:color="auto" w:sz="4" w:space="0"/>
            </w:tcBorders>
            <w:shd w:val="clear" w:color="auto" w:fill="auto"/>
          </w:tcPr>
          <w:p w14:paraId="0E1C38D3">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绿色</w:t>
            </w:r>
          </w:p>
        </w:tc>
        <w:tc>
          <w:tcPr>
            <w:tcW w:w="1804" w:type="pct"/>
            <w:tcBorders>
              <w:top w:val="single" w:color="auto" w:sz="4" w:space="0"/>
              <w:left w:val="single" w:color="auto" w:sz="4" w:space="0"/>
              <w:bottom w:val="single" w:color="auto" w:sz="4" w:space="0"/>
              <w:right w:val="single" w:color="auto" w:sz="4" w:space="0"/>
            </w:tcBorders>
            <w:shd w:val="clear" w:color="auto" w:fill="auto"/>
          </w:tcPr>
          <w:p w14:paraId="57564330">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bl>
    <w:p w14:paraId="4C14146F">
      <w:pPr>
        <w:pStyle w:val="17"/>
        <w:pageBreakBefore w:val="0"/>
        <w:widowControl/>
        <w:numPr>
          <w:ilvl w:val="0"/>
          <w:numId w:val="2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报警灯</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3088"/>
        <w:gridCol w:w="6566"/>
      </w:tblGrid>
      <w:tr w14:paraId="37F2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1599" w:type="pct"/>
            <w:tcBorders>
              <w:top w:val="single" w:color="auto" w:sz="4" w:space="0"/>
              <w:left w:val="single" w:color="auto" w:sz="4" w:space="0"/>
              <w:bottom w:val="single" w:color="auto" w:sz="4" w:space="0"/>
              <w:right w:val="single" w:color="auto" w:sz="4" w:space="0"/>
            </w:tcBorders>
            <w:shd w:val="clear" w:color="auto" w:fill="auto"/>
          </w:tcPr>
          <w:p w14:paraId="3676E336">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颜色</w:t>
            </w:r>
          </w:p>
        </w:tc>
        <w:tc>
          <w:tcPr>
            <w:tcW w:w="3400" w:type="pct"/>
            <w:tcBorders>
              <w:top w:val="single" w:color="auto" w:sz="4" w:space="0"/>
              <w:left w:val="single" w:color="auto" w:sz="4" w:space="0"/>
              <w:bottom w:val="single" w:color="auto" w:sz="4" w:space="0"/>
              <w:right w:val="single" w:color="auto" w:sz="4" w:space="0"/>
            </w:tcBorders>
            <w:shd w:val="clear" w:color="auto" w:fill="auto"/>
          </w:tcPr>
          <w:p w14:paraId="5993D7F9">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条件</w:t>
            </w:r>
          </w:p>
        </w:tc>
      </w:tr>
      <w:tr w14:paraId="3477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cantSplit/>
          <w:jc w:val="center"/>
        </w:trPr>
        <w:tc>
          <w:tcPr>
            <w:tcW w:w="1599" w:type="pct"/>
            <w:tcBorders>
              <w:top w:val="single" w:color="auto" w:sz="4" w:space="0"/>
              <w:left w:val="single" w:color="auto" w:sz="4" w:space="0"/>
              <w:bottom w:val="single" w:color="auto" w:sz="4" w:space="0"/>
              <w:right w:val="single" w:color="auto" w:sz="4" w:space="0"/>
            </w:tcBorders>
            <w:shd w:val="clear" w:color="auto" w:fill="auto"/>
          </w:tcPr>
          <w:p w14:paraId="793CC450">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三色</w:t>
            </w:r>
          </w:p>
        </w:tc>
        <w:tc>
          <w:tcPr>
            <w:tcW w:w="3400" w:type="pct"/>
            <w:tcBorders>
              <w:top w:val="single" w:color="auto" w:sz="4" w:space="0"/>
              <w:left w:val="single" w:color="auto" w:sz="4" w:space="0"/>
              <w:bottom w:val="single" w:color="auto" w:sz="4" w:space="0"/>
              <w:right w:val="single" w:color="auto" w:sz="4" w:space="0"/>
            </w:tcBorders>
            <w:shd w:val="clear" w:color="auto" w:fill="auto"/>
          </w:tcPr>
          <w:p w14:paraId="17B16C0C">
            <w:pPr>
              <w:pageBreakBefore w:val="0"/>
              <w:widowControl/>
              <w:tabs>
                <w:tab w:val="left" w:pos="675"/>
              </w:tabs>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设备运行的故障/正常/警告状态</w:t>
            </w:r>
          </w:p>
        </w:tc>
      </w:tr>
    </w:tbl>
    <w:p w14:paraId="67A04222">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 xml:space="preserve"> 控制柜、现场操作站</w:t>
      </w:r>
    </w:p>
    <w:p w14:paraId="633DACFE">
      <w:pPr>
        <w:pStyle w:val="17"/>
        <w:pageBreakBefore w:val="0"/>
        <w:widowControl/>
        <w:numPr>
          <w:ilvl w:val="0"/>
          <w:numId w:val="24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控制柜技术要求</w:t>
      </w:r>
    </w:p>
    <w:p w14:paraId="66863A44">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遵守涂装行业相关规范对开关柜的制造要求；</w:t>
      </w:r>
    </w:p>
    <w:p w14:paraId="4EE1EC40">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根据涂装行业消防、防腐的要求进行喷丸、喷塑；</w:t>
      </w:r>
    </w:p>
    <w:p w14:paraId="488C02E0">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color w:val="auto"/>
        </w:rPr>
      </w:pPr>
      <w:r>
        <w:rPr>
          <w:rFonts w:hint="eastAsia" w:ascii="宋体" w:hAnsi="宋体" w:eastAsia="宋体" w:cs="宋体"/>
          <w:color w:val="auto"/>
        </w:rPr>
        <w:t xml:space="preserve"> 采用仿威图组合式标准电柜</w:t>
      </w:r>
      <w:r>
        <w:rPr>
          <w:rFonts w:hint="eastAsia" w:ascii="宋体" w:hAnsi="宋体" w:eastAsia="宋体" w:cs="宋体"/>
          <w:color w:val="auto"/>
          <w:lang w:eastAsia="zh-CN"/>
        </w:rPr>
        <w:t>（</w:t>
      </w:r>
      <w:r>
        <w:rPr>
          <w:rFonts w:hint="eastAsia" w:ascii="宋体" w:hAnsi="宋体" w:eastAsia="宋体" w:cs="宋体"/>
          <w:color w:val="auto"/>
          <w:lang w:val="en-US" w:eastAsia="zh-CN"/>
        </w:rPr>
        <w:t>利旧</w:t>
      </w:r>
      <w:r>
        <w:rPr>
          <w:rFonts w:hint="eastAsia" w:ascii="宋体" w:hAnsi="宋体" w:eastAsia="宋体" w:cs="宋体"/>
          <w:color w:val="auto"/>
          <w:lang w:eastAsia="zh-CN"/>
        </w:rPr>
        <w:t>）</w:t>
      </w:r>
      <w:r>
        <w:rPr>
          <w:rFonts w:hint="eastAsia" w:ascii="宋体" w:hAnsi="宋体" w:eastAsia="宋体" w:cs="宋体"/>
          <w:color w:val="auto"/>
        </w:rPr>
        <w:t>；颜色为灰色RAL7035；安装板为镀锌板；</w:t>
      </w:r>
    </w:p>
    <w:p w14:paraId="40B3E850">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控制柜必须采用PU发泡橡胶进行密封处理，使电柜的防护等级达到IP54,满足涂装工作环境要求；</w:t>
      </w:r>
    </w:p>
    <w:p w14:paraId="690F335A">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电柜门锁采用舒适型手柄、方条形锁芯（7mm）。</w:t>
      </w:r>
    </w:p>
    <w:p w14:paraId="0D672321">
      <w:pPr>
        <w:pStyle w:val="17"/>
        <w:keepNext w:val="0"/>
        <w:keepLines w:val="0"/>
        <w:pageBreakBefore w:val="0"/>
        <w:widowControl/>
        <w:numPr>
          <w:ilvl w:val="0"/>
          <w:numId w:val="246"/>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电气控制柜尺寸要求</w:t>
      </w:r>
    </w:p>
    <w:p w14:paraId="71390B56">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单门柜H*W*D：2000mm*800mm*600mm；</w:t>
      </w:r>
    </w:p>
    <w:p w14:paraId="6302E329">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双门柜H*W*D：2000mm*1200mm*600mm；</w:t>
      </w:r>
    </w:p>
    <w:p w14:paraId="098C9B40">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如电控柜采用双门柜和单门柜组合时单门柜尺寸为：H*W*D：2000mm*600mm*600mm；</w:t>
      </w:r>
    </w:p>
    <w:p w14:paraId="60CEF57E">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底座尺寸为：H*W*D 200×800×600（mm）或H*W*D 200×600×600（mm）；</w:t>
      </w:r>
    </w:p>
    <w:p w14:paraId="223537F9">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每个控制柜顶部安装20W冷光源照明灯，由门限位开关控制，电源来自主断路器前；</w:t>
      </w:r>
    </w:p>
    <w:p w14:paraId="58BDC689">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每组控制柜设10A的单相电源插座一套（2孔＋3孔），供调试和维修用；</w:t>
      </w:r>
    </w:p>
    <w:p w14:paraId="267C6F64">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每组控制柜设一个图纸盒和PLC编程器托架；</w:t>
      </w:r>
    </w:p>
    <w:p w14:paraId="3EB1BD41">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每套控制柜顶部设柱状四色报警灯一个；</w:t>
      </w:r>
    </w:p>
    <w:p w14:paraId="6F6AB98D">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控制柜下部设置通风窗并有过滤网，侧面上部设冷却风扇。所有PLC主控柜或变频器的电柜要安装适当功率等级的空调，空调自蒸发式；</w:t>
      </w:r>
    </w:p>
    <w:p w14:paraId="21B91221">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电柜进出线方式：采用下进下出线方式；</w:t>
      </w:r>
    </w:p>
    <w:p w14:paraId="3BF3772E">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电柜标识：在各设备控制柜（箱）门上醒目位置处，使用统一标准的标签（蓝底白字），标注电控柜的名称和编号；</w:t>
      </w:r>
    </w:p>
    <w:p w14:paraId="2A980A2B">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低压电气元件布置原则：从上到下依次为熔断器（断路器），控制继电器，电力接触器，热继电器，接线端子；</w:t>
      </w:r>
    </w:p>
    <w:p w14:paraId="34031E69">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操作与信号元件：安装于电控柜门上，根据功能组布置；</w:t>
      </w:r>
    </w:p>
    <w:p w14:paraId="06ED25C2">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在电源断开或者设备急停时，为了避免设备损坏或者人身伤害，不允许设备有任何电气驱动运动；</w:t>
      </w:r>
    </w:p>
    <w:p w14:paraId="2E3BBAB4">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电柜面板必须设置急停按钮；</w:t>
      </w:r>
    </w:p>
    <w:p w14:paraId="4EDD99A4">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 xml:space="preserve"> 外部检测信号和手动信号操作按钮的数量应能够保证设备具有完善的保护和自诊断功能，确保设备运行安全，操作方便。</w:t>
      </w:r>
    </w:p>
    <w:p w14:paraId="186E8795">
      <w:pPr>
        <w:pStyle w:val="17"/>
        <w:keepNext w:val="0"/>
        <w:keepLines w:val="0"/>
        <w:pageBreakBefore w:val="0"/>
        <w:widowControl/>
        <w:numPr>
          <w:ilvl w:val="0"/>
          <w:numId w:val="235"/>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主要电气元件选型</w:t>
      </w:r>
    </w:p>
    <w:p w14:paraId="57575C4E">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空调送风机组电气控制系统必须以涂装工艺为中心，从便于设备操作和管理，以及安全、防火、环保的角度进行设计制造。要求相关设备之间设置硬件和软件的互锁保护功能，所有设备都要具有手动运行和自动运行功能。</w:t>
      </w:r>
    </w:p>
    <w:p w14:paraId="01B84271">
      <w:pPr>
        <w:pStyle w:val="17"/>
        <w:keepNext w:val="0"/>
        <w:keepLines w:val="0"/>
        <w:pageBreakBefore w:val="0"/>
        <w:widowControl/>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主要元器件的选型参见主要元器件清单。</w:t>
      </w:r>
    </w:p>
    <w:p w14:paraId="236A7F10">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模块化硬件设计和软件编程</w:t>
      </w:r>
    </w:p>
    <w:p w14:paraId="420B1CA1">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要求采用EPLAN软件进行电气原理图设计，电气设计应考虑对典型设备的电气控制原理图进行标准化设计。</w:t>
      </w:r>
    </w:p>
    <w:p w14:paraId="039DB273">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PLC程序设计应该先确立控制架构，此架构应该与硬件设计的架构保持一致；设计好各类标准设备，控制柜箱、按钮盒的标准程序模块，在程序设计中直接调用各个基本模块即可，保证程序架构清晰，层次明确，便于</w:t>
      </w:r>
      <w:r>
        <w:rPr>
          <w:rFonts w:hint="eastAsia" w:ascii="宋体" w:hAnsi="宋体" w:cs="宋体"/>
          <w:lang w:eastAsia="zh-CN"/>
        </w:rPr>
        <w:t>招标人</w:t>
      </w:r>
      <w:r>
        <w:rPr>
          <w:rFonts w:hint="eastAsia" w:ascii="宋体" w:hAnsi="宋体" w:eastAsia="宋体" w:cs="宋体"/>
        </w:rPr>
        <w:t>学习和掌握。程序设计应使用LAD或者FBD，个别处允许使用语句表实现，标准程序模块及其内部的所有代码段都应有明确的中文或英文注释。</w:t>
      </w:r>
    </w:p>
    <w:p w14:paraId="4A87BA90">
      <w:pPr>
        <w:pStyle w:val="17"/>
        <w:pageBreakBefore w:val="0"/>
        <w:widowControl/>
        <w:numPr>
          <w:ilvl w:val="0"/>
          <w:numId w:val="235"/>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电气控制要求</w:t>
      </w:r>
    </w:p>
    <w:p w14:paraId="079D8133">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负责对风机的启动、停止，进风电动阀、出口消防阀、检修照明灯进行电气控制；空调机组温度、湿度的自动化控制，包括自动点火装置、UV检测系统、温度调节系统、故障报警切断系统、控制柜、自动阀门、电缆电线桥架等材料、显示和控制仪表等归</w:t>
      </w:r>
      <w:r>
        <w:rPr>
          <w:rFonts w:hint="eastAsia" w:ascii="宋体" w:hAnsi="宋体" w:cs="宋体"/>
          <w:lang w:eastAsia="zh-CN"/>
        </w:rPr>
        <w:t>投标人</w:t>
      </w:r>
      <w:r>
        <w:rPr>
          <w:rFonts w:hint="eastAsia" w:ascii="宋体" w:hAnsi="宋体" w:eastAsia="宋体" w:cs="宋体"/>
        </w:rPr>
        <w:t>负责，</w:t>
      </w:r>
      <w:r>
        <w:rPr>
          <w:rFonts w:hint="eastAsia" w:ascii="宋体" w:hAnsi="宋体" w:cs="宋体"/>
          <w:lang w:eastAsia="zh-CN"/>
        </w:rPr>
        <w:t>投标人</w:t>
      </w:r>
      <w:r>
        <w:rPr>
          <w:rFonts w:hint="eastAsia" w:ascii="宋体" w:hAnsi="宋体" w:eastAsia="宋体" w:cs="宋体"/>
        </w:rPr>
        <w:t>温湿度探头应位于靠近喷漆动压室风管处。</w:t>
      </w:r>
    </w:p>
    <w:p w14:paraId="39EFDC4D">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车间所有空调系统温度和湿度控制方式要求采用自动和手动相结合的控制方式。</w:t>
      </w:r>
    </w:p>
    <w:p w14:paraId="761B2FA7">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在电气控制柜中留有信号采集口，</w:t>
      </w:r>
      <w:r>
        <w:rPr>
          <w:rFonts w:hint="eastAsia" w:ascii="宋体" w:hAnsi="宋体" w:cs="宋体"/>
          <w:lang w:eastAsia="zh-CN"/>
        </w:rPr>
        <w:t>招标人</w:t>
      </w:r>
      <w:r>
        <w:rPr>
          <w:rFonts w:hint="eastAsia" w:ascii="宋体" w:hAnsi="宋体" w:eastAsia="宋体" w:cs="宋体"/>
        </w:rPr>
        <w:t>通过信号采集口将信号连接至中控室，在中控室可查看、控制空调相关参数（如设备运行状态、送风温湿度、过滤器压差、风机频率等）。</w:t>
      </w:r>
    </w:p>
    <w:p w14:paraId="4877FB3B">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系统主要控制设备采用进口品牌PLC，配置相应数量的数字量输入/输出模块、模拟量输入模块、总线通讯模块、以太网通讯模块、温度传感器、液位传感器、压差传感器、电器控制元件以及控制柜（箱）、桥架钢管、电线电缆等电器元件与材料。</w:t>
      </w:r>
    </w:p>
    <w:p w14:paraId="20959196">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每台空调设备的温湿度控制系统为一个完整控制系统，能实现温湿度的恒温恒湿的自动控制和监控，显示空调系统的升降温度与湿度曲线、亦能随时设定、修改参数以便调整温度与湿</w:t>
      </w:r>
      <w:r>
        <w:rPr>
          <w:rFonts w:hint="eastAsia" w:ascii="宋体" w:hAnsi="宋体" w:eastAsia="宋体" w:cs="宋体"/>
          <w:color w:val="auto"/>
        </w:rPr>
        <w:t>度，每台空调独立PLC系统控制，每组主电控柜的面板上均需安装1</w:t>
      </w:r>
      <w:r>
        <w:rPr>
          <w:rFonts w:hint="eastAsia" w:ascii="宋体" w:hAnsi="宋体" w:eastAsia="宋体" w:cs="宋体"/>
          <w:color w:val="auto"/>
          <w:lang w:val="en-US" w:eastAsia="zh-CN"/>
        </w:rPr>
        <w:t>2</w:t>
      </w:r>
      <w:r>
        <w:rPr>
          <w:rFonts w:hint="eastAsia" w:ascii="宋体" w:hAnsi="宋体" w:eastAsia="宋体" w:cs="宋体"/>
          <w:color w:val="auto"/>
        </w:rPr>
        <w:t>吋彩色触摸屏，要求</w:t>
      </w:r>
      <w:r>
        <w:rPr>
          <w:rFonts w:hint="eastAsia" w:ascii="宋体" w:hAnsi="宋体" w:eastAsia="宋体" w:cs="宋体"/>
        </w:rPr>
        <w:t>可以对每台空调的设备运行状态和送风温湿度进行显示并能对参数进行调节。</w:t>
      </w:r>
    </w:p>
    <w:p w14:paraId="420BF942">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空调风机的控制由</w:t>
      </w:r>
      <w:r>
        <w:rPr>
          <w:rFonts w:hint="eastAsia" w:ascii="宋体" w:hAnsi="宋体" w:cs="宋体"/>
          <w:lang w:eastAsia="zh-CN"/>
        </w:rPr>
        <w:t>投标人</w:t>
      </w:r>
      <w:r>
        <w:rPr>
          <w:rFonts w:hint="eastAsia" w:ascii="宋体" w:hAnsi="宋体" w:eastAsia="宋体" w:cs="宋体"/>
        </w:rPr>
        <w:t>电控完成，空调机组与风机相关的联锁信号由</w:t>
      </w:r>
      <w:r>
        <w:rPr>
          <w:rFonts w:hint="eastAsia" w:ascii="宋体" w:hAnsi="宋体" w:cs="宋体"/>
          <w:lang w:eastAsia="zh-CN"/>
        </w:rPr>
        <w:t>投标人</w:t>
      </w:r>
      <w:r>
        <w:rPr>
          <w:rFonts w:hint="eastAsia" w:ascii="宋体" w:hAnsi="宋体" w:eastAsia="宋体" w:cs="宋体"/>
        </w:rPr>
        <w:t>自行接入本身的控制系统中（含通讯模块），空调温湿度控制电柜的供电由</w:t>
      </w:r>
      <w:r>
        <w:rPr>
          <w:rFonts w:hint="eastAsia" w:ascii="宋体" w:hAnsi="宋体" w:cs="宋体"/>
          <w:lang w:eastAsia="zh-CN"/>
        </w:rPr>
        <w:t>招标人</w:t>
      </w:r>
      <w:r>
        <w:rPr>
          <w:rFonts w:hint="eastAsia" w:ascii="宋体" w:hAnsi="宋体" w:eastAsia="宋体" w:cs="宋体"/>
        </w:rPr>
        <w:t>的控制柜提供主电源，</w:t>
      </w:r>
      <w:r>
        <w:rPr>
          <w:rFonts w:hint="eastAsia" w:ascii="宋体" w:hAnsi="宋体" w:cs="宋体"/>
          <w:lang w:eastAsia="zh-CN"/>
        </w:rPr>
        <w:t>投标人</w:t>
      </w:r>
      <w:r>
        <w:rPr>
          <w:rFonts w:hint="eastAsia" w:ascii="宋体" w:hAnsi="宋体" w:eastAsia="宋体" w:cs="宋体"/>
        </w:rPr>
        <w:t>负责将电源引到自身空调控制柜开关的进线端，所有空调相关的联锁控制接线采用“谁用谁取”的原则。</w:t>
      </w:r>
    </w:p>
    <w:p w14:paraId="705AED02">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在自动模式下，水泵只能在机组风机启动后才能开启，相关联锁信号由</w:t>
      </w:r>
      <w:r>
        <w:rPr>
          <w:rFonts w:hint="eastAsia" w:ascii="宋体" w:hAnsi="宋体" w:cs="宋体"/>
          <w:lang w:eastAsia="zh-CN"/>
        </w:rPr>
        <w:t>投标人</w:t>
      </w:r>
      <w:r>
        <w:rPr>
          <w:rFonts w:hint="eastAsia" w:ascii="宋体" w:hAnsi="宋体" w:eastAsia="宋体" w:cs="宋体"/>
        </w:rPr>
        <w:t>接取。</w:t>
      </w:r>
    </w:p>
    <w:p w14:paraId="23EF3045">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空调设备采用进口品牌PLC控制，配1</w:t>
      </w:r>
      <w:r>
        <w:rPr>
          <w:rFonts w:hint="eastAsia" w:ascii="宋体" w:hAnsi="宋体" w:eastAsia="宋体" w:cs="宋体"/>
          <w:color w:val="auto"/>
          <w:lang w:val="en-US" w:eastAsia="zh-CN"/>
        </w:rPr>
        <w:t>2</w:t>
      </w:r>
      <w:r>
        <w:rPr>
          <w:rFonts w:hint="eastAsia" w:ascii="宋体" w:hAnsi="宋体" w:eastAsia="宋体" w:cs="宋体"/>
          <w:color w:val="auto"/>
        </w:rPr>
        <w:t>吋彩色触摸屏，并配备控制柜,防护等级：IP54，带</w:t>
      </w:r>
      <w:r>
        <w:rPr>
          <w:rFonts w:hint="eastAsia" w:ascii="宋体" w:hAnsi="宋体" w:eastAsia="宋体" w:cs="宋体"/>
        </w:rPr>
        <w:t>柱状四色报警灯，控制柜壁板采用2mm厚钢板制作，控制柜内低压电气元件采用国外主流品牌产品，控制柜进出线采用电缆桥架，采用下进下出线方式，柜内采用线槽走线，按钮指示灯统一采用主流品牌产品，开孔φ22.5产品，其颜色选用RAL7035石英灰，所有电气元件及接线端子应该有明确的编号。</w:t>
      </w:r>
    </w:p>
    <w:p w14:paraId="1F0B9C62">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天然气直燃燃烧机控制系统有如下功能：安全连锁检测、自动吹扫、自动点小火、火焰监测、</w:t>
      </w:r>
      <w:r>
        <w:rPr>
          <w:rFonts w:hint="eastAsia" w:ascii="宋体" w:hAnsi="宋体" w:eastAsia="宋体" w:cs="宋体"/>
        </w:rPr>
        <w:t>自动转大火、比例燃烧、恒温控制、故障切断报警。</w:t>
      </w:r>
    </w:p>
    <w:p w14:paraId="1B9F7FB7">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燃烧机控制系统柜内配有火焰程序控制器、温度控制器、超温限位表、点火变压器、UV紫外线火焰监测仪、风压开关、伺服电机、运行显示灯、点火启动按钮、连锁显示灯、故障报警灯等设备。</w:t>
      </w:r>
    </w:p>
    <w:p w14:paraId="66747AAF">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空调机组喷淋加湿段采用变频比例调节技术来控制出风的相对湿度。</w:t>
      </w:r>
    </w:p>
    <w:p w14:paraId="03450BD1">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温湿度传感器采用国外品牌产品，测量精度不低于温度±0.3℃、湿度±2%RH。</w:t>
      </w:r>
    </w:p>
    <w:p w14:paraId="2BAF78BC">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color w:val="auto"/>
        </w:rPr>
        <w:t>水箱液位采用电极式液位传感器,可以监控水箱液位状态，输出液位异常报警信号，并实现低</w:t>
      </w:r>
      <w:r>
        <w:rPr>
          <w:rFonts w:hint="eastAsia" w:ascii="宋体" w:hAnsi="宋体" w:eastAsia="宋体" w:cs="宋体"/>
        </w:rPr>
        <w:t>水位停泵保护功能。</w:t>
      </w:r>
    </w:p>
    <w:p w14:paraId="239056EE">
      <w:pPr>
        <w:pStyle w:val="17"/>
        <w:pageBreakBefore w:val="0"/>
        <w:widowControl/>
        <w:numPr>
          <w:ilvl w:val="0"/>
          <w:numId w:val="247"/>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电气控制系统要按机组在满足工艺要求前提下，最经济的运行方式，温湿度控制设置冬季、夏季、春秋季控制模式。</w:t>
      </w:r>
    </w:p>
    <w:p w14:paraId="21065090">
      <w:pPr>
        <w:pStyle w:val="2"/>
        <w:pageBreakBefore w:val="0"/>
        <w:widowControl/>
        <w:numPr>
          <w:ilvl w:val="0"/>
          <w:numId w:val="20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35" w:name="_Toc4286"/>
      <w:r>
        <w:rPr>
          <w:rFonts w:hint="eastAsia" w:ascii="宋体" w:hAnsi="宋体" w:eastAsia="宋体" w:cs="宋体"/>
          <w:b/>
          <w:bCs/>
          <w:sz w:val="24"/>
          <w:szCs w:val="24"/>
        </w:rPr>
        <w:t>质量要求</w:t>
      </w:r>
      <w:bookmarkEnd w:id="235"/>
    </w:p>
    <w:p w14:paraId="24CD4620">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lang w:val="en-US" w:eastAsia="zh-CN"/>
        </w:rPr>
      </w:pPr>
      <w:r>
        <w:rPr>
          <w:rFonts w:hint="eastAsia" w:ascii="宋体" w:hAnsi="宋体" w:cs="宋体"/>
          <w:lang w:eastAsia="zh-CN"/>
        </w:rPr>
        <w:t>投标人</w:t>
      </w:r>
      <w:r>
        <w:rPr>
          <w:rFonts w:hint="eastAsia" w:ascii="宋体" w:hAnsi="宋体" w:eastAsia="宋体" w:cs="宋体"/>
        </w:rPr>
        <w:t>应对设备设计图纸认真消化，要求厂家进行制造工艺设计，确认无误后方可投料，设备各个部件需要在</w:t>
      </w:r>
      <w:r>
        <w:rPr>
          <w:rFonts w:hint="eastAsia" w:ascii="宋体" w:hAnsi="宋体" w:cs="宋体"/>
          <w:lang w:eastAsia="zh-CN"/>
        </w:rPr>
        <w:t>投标人</w:t>
      </w:r>
      <w:r>
        <w:rPr>
          <w:rFonts w:hint="eastAsia" w:ascii="宋体" w:hAnsi="宋体" w:eastAsia="宋体" w:cs="宋体"/>
        </w:rPr>
        <w:t>厂内制造，预制完成后必须经</w:t>
      </w:r>
      <w:r>
        <w:rPr>
          <w:rFonts w:hint="eastAsia" w:ascii="宋体" w:hAnsi="宋体" w:cs="宋体"/>
          <w:lang w:eastAsia="zh-CN"/>
        </w:rPr>
        <w:t>招标人</w:t>
      </w:r>
      <w:r>
        <w:rPr>
          <w:rFonts w:hint="eastAsia" w:ascii="宋体" w:hAnsi="宋体" w:eastAsia="宋体" w:cs="宋体"/>
        </w:rPr>
        <w:t>派驻现场人员预验收合格后，才能运到现场安装，如因预制质量引起的工期延误，进度迟缓，</w:t>
      </w:r>
      <w:r>
        <w:rPr>
          <w:rFonts w:hint="eastAsia" w:ascii="宋体" w:hAnsi="宋体" w:cs="宋体"/>
          <w:lang w:eastAsia="zh-CN"/>
        </w:rPr>
        <w:t>投标人</w:t>
      </w:r>
      <w:r>
        <w:rPr>
          <w:rFonts w:hint="eastAsia" w:ascii="宋体" w:hAnsi="宋体" w:eastAsia="宋体" w:cs="宋体"/>
        </w:rPr>
        <w:t>负全责。若违反此条，将按</w:t>
      </w:r>
      <w:r>
        <w:rPr>
          <w:rFonts w:hint="eastAsia" w:ascii="宋体" w:hAnsi="宋体" w:eastAsia="宋体" w:cs="宋体"/>
          <w:lang w:val="en-US" w:eastAsia="zh-CN"/>
        </w:rPr>
        <w:t>照商务条款执行。</w:t>
      </w:r>
    </w:p>
    <w:p w14:paraId="161A2A92">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对空调设备设计制造当中，应严格执行下列国家相关标准：</w:t>
      </w:r>
    </w:p>
    <w:p w14:paraId="480B5DD3">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组合式空调机组国家标准                              GB/T 14294-2008；</w:t>
      </w:r>
    </w:p>
    <w:p w14:paraId="585045EE">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工业建筑供暖通风与空气调节设计规范                  GB50019-2015；</w:t>
      </w:r>
    </w:p>
    <w:p w14:paraId="6AD93E36">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空气冷却器和空气加热器                              GB/T14296-2008；</w:t>
      </w:r>
    </w:p>
    <w:p w14:paraId="0ACB2A37">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建筑给水排水及采暖工程施工质量验收规范              GB50242-2002；</w:t>
      </w:r>
    </w:p>
    <w:p w14:paraId="0556100D">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通风与空调工程施工质量验收规范                       GB50243-2002；</w:t>
      </w:r>
    </w:p>
    <w:p w14:paraId="455CFE03">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工业金属管道工程施工及验收规范                       GB50235-2010；</w:t>
      </w:r>
    </w:p>
    <w:p w14:paraId="13106EB7">
      <w:pPr>
        <w:pStyle w:val="263"/>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热轧型钢 </w:t>
      </w:r>
      <w:r>
        <w:rPr>
          <w:rFonts w:hint="eastAsia" w:ascii="宋体" w:hAnsi="宋体" w:eastAsia="宋体" w:cs="宋体"/>
          <w:kern w:val="0"/>
          <w:szCs w:val="21"/>
        </w:rPr>
        <w:t xml:space="preserve">                                           </w:t>
      </w:r>
      <w:r>
        <w:rPr>
          <w:rFonts w:hint="eastAsia" w:ascii="宋体" w:hAnsi="宋体" w:cs="宋体"/>
          <w:kern w:val="0"/>
          <w:szCs w:val="21"/>
          <w:lang w:val="en-US" w:eastAsia="zh-CN"/>
        </w:rPr>
        <w:t xml:space="preserve">  </w:t>
      </w:r>
      <w:r>
        <w:rPr>
          <w:rFonts w:hint="eastAsia" w:ascii="宋体" w:hAnsi="宋体" w:eastAsia="宋体" w:cs="宋体"/>
          <w:kern w:val="0"/>
          <w:szCs w:val="21"/>
        </w:rPr>
        <w:t xml:space="preserve"> </w:t>
      </w:r>
      <w:r>
        <w:rPr>
          <w:rFonts w:hint="eastAsia" w:ascii="宋体" w:hAnsi="宋体" w:cs="宋体"/>
          <w:kern w:val="0"/>
          <w:szCs w:val="21"/>
          <w:lang w:val="en-US" w:eastAsia="zh-CN"/>
        </w:rPr>
        <w:t xml:space="preserve">    </w:t>
      </w:r>
      <w:r>
        <w:rPr>
          <w:rFonts w:hint="eastAsia" w:ascii="宋体" w:hAnsi="宋体" w:eastAsia="宋体" w:cs="宋体"/>
          <w:kern w:val="2"/>
          <w:sz w:val="24"/>
          <w:szCs w:val="24"/>
          <w:lang w:val="en-US" w:eastAsia="zh-CN" w:bidi="ar-SA"/>
        </w:rPr>
        <w:t>GB/T 706-2008；</w:t>
      </w:r>
    </w:p>
    <w:p w14:paraId="39B84BCC">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热轧钢棒尺寸、外形、重量及允许偏差                   GB/T 702-2008；</w:t>
      </w:r>
    </w:p>
    <w:p w14:paraId="45DE126D">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冷轧钢板和钢带尺寸、外形、重量及允许偏差             GB/T708-2006；</w:t>
      </w:r>
    </w:p>
    <w:p w14:paraId="6D7B7DE1">
      <w:pPr>
        <w:pStyle w:val="17"/>
        <w:pageBreakBefore w:val="0"/>
        <w:widowControl/>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冷拉圆钢、方钢、六角钢尺寸、外形、重量及允许偏差     GB/T905-1994</w:t>
      </w:r>
    </w:p>
    <w:p w14:paraId="1ADCE850">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满足</w:t>
      </w:r>
      <w:r>
        <w:rPr>
          <w:rFonts w:hint="eastAsia" w:ascii="宋体" w:hAnsi="宋体" w:cs="宋体"/>
          <w:lang w:eastAsia="zh-CN"/>
        </w:rPr>
        <w:t>招标人</w:t>
      </w:r>
      <w:r>
        <w:rPr>
          <w:rFonts w:hint="eastAsia" w:ascii="宋体" w:hAnsi="宋体" w:eastAsia="宋体" w:cs="宋体"/>
        </w:rPr>
        <w:t>所需的的工艺用风量，并留有15%的风量余地。</w:t>
      </w:r>
    </w:p>
    <w:p w14:paraId="1258CC6D">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送风平稳，风量、风压准确，空气洁净度到达</w:t>
      </w:r>
      <w:r>
        <w:rPr>
          <w:rFonts w:hint="eastAsia" w:ascii="宋体" w:hAnsi="宋体" w:cs="宋体"/>
          <w:lang w:eastAsia="zh-CN"/>
        </w:rPr>
        <w:t>招标人</w:t>
      </w:r>
      <w:r>
        <w:rPr>
          <w:rFonts w:hint="eastAsia" w:ascii="宋体" w:hAnsi="宋体" w:eastAsia="宋体" w:cs="宋体"/>
        </w:rPr>
        <w:t>要求，温湿度控制精确（详见</w:t>
      </w:r>
      <w:r>
        <w:rPr>
          <w:rFonts w:hint="eastAsia" w:ascii="宋体" w:hAnsi="宋体" w:cs="宋体"/>
          <w:lang w:eastAsia="zh-CN"/>
        </w:rPr>
        <w:t>招标人</w:t>
      </w:r>
      <w:r>
        <w:rPr>
          <w:rFonts w:hint="eastAsia" w:ascii="宋体" w:hAnsi="宋体" w:eastAsia="宋体" w:cs="宋体"/>
        </w:rPr>
        <w:t>的设计图纸）。</w:t>
      </w:r>
    </w:p>
    <w:p w14:paraId="19E5559B">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各种仪表显示准确，电气元件控制准确。</w:t>
      </w:r>
    </w:p>
    <w:p w14:paraId="37DBEC25">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所有原材料加工前均需校正，并进行防锈处理。</w:t>
      </w:r>
    </w:p>
    <w:p w14:paraId="04F655B8">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金属材料和非金属材料的品种、规格和性能等应符合现行国家产品标准和设计要求。</w:t>
      </w:r>
    </w:p>
    <w:p w14:paraId="60F7004D">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钢板厚度及允许偏差应符合其产品标准的要求。其中冷轧钢板和钢带的偏差应符合下列规范的要求：</w:t>
      </w:r>
    </w:p>
    <w:p w14:paraId="4C9AE255">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当钢材的表面有锈蚀、麻点或划痕等缺陷时，其深度不得大于该钢材厚度负允许偏差值的1/2，钢材表面的锈蚀等级应符合现行国家标准«涂装前钢材表面锈蚀等级和除锈等级》GB 8923规定的C级及C级以上，钢材端边或断口处不应有分层、夹渣等缺陷。</w:t>
      </w:r>
    </w:p>
    <w:p w14:paraId="3285CCE3">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金属材料采购应选购国家定点大、中型企业优质产品。</w:t>
      </w:r>
    </w:p>
    <w:p w14:paraId="44CD24AF">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所有材料均不得含硅酮。</w:t>
      </w:r>
    </w:p>
    <w:p w14:paraId="11C12074">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所购材料的质量，</w:t>
      </w:r>
      <w:r>
        <w:rPr>
          <w:rFonts w:hint="eastAsia" w:ascii="宋体" w:hAnsi="宋体" w:cs="宋体"/>
          <w:lang w:eastAsia="zh-CN"/>
        </w:rPr>
        <w:t>招标人</w:t>
      </w:r>
      <w:r>
        <w:rPr>
          <w:rFonts w:hint="eastAsia" w:ascii="宋体" w:hAnsi="宋体" w:eastAsia="宋体" w:cs="宋体"/>
        </w:rPr>
        <w:t>有权进行抽查或全检，发现质量问题</w:t>
      </w:r>
      <w:r>
        <w:rPr>
          <w:rFonts w:hint="eastAsia" w:ascii="宋体" w:hAnsi="宋体" w:cs="宋体"/>
          <w:lang w:eastAsia="zh-CN"/>
        </w:rPr>
        <w:t>招标人</w:t>
      </w:r>
      <w:r>
        <w:rPr>
          <w:rFonts w:hint="eastAsia" w:ascii="宋体" w:hAnsi="宋体" w:eastAsia="宋体" w:cs="宋体"/>
        </w:rPr>
        <w:t>有权拒绝使用，由此造成的损失由</w:t>
      </w:r>
      <w:r>
        <w:rPr>
          <w:rFonts w:hint="eastAsia" w:ascii="宋体" w:hAnsi="宋体" w:cs="宋体"/>
          <w:lang w:eastAsia="zh-CN"/>
        </w:rPr>
        <w:t>投标人</w:t>
      </w:r>
      <w:r>
        <w:rPr>
          <w:rFonts w:hint="eastAsia" w:ascii="宋体" w:hAnsi="宋体" w:eastAsia="宋体" w:cs="宋体"/>
        </w:rPr>
        <w:t>负责。</w:t>
      </w:r>
    </w:p>
    <w:p w14:paraId="16DC2E17">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标准件及外购件</w:t>
      </w:r>
    </w:p>
    <w:p w14:paraId="71C19DC1">
      <w:pPr>
        <w:pStyle w:val="17"/>
        <w:pageBreakBefore w:val="0"/>
        <w:widowControl/>
        <w:numPr>
          <w:ilvl w:val="0"/>
          <w:numId w:val="2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标准件及外购件采购应满足设计图纸及本协议的相关要求。</w:t>
      </w:r>
    </w:p>
    <w:p w14:paraId="58B375B1">
      <w:pPr>
        <w:pStyle w:val="17"/>
        <w:pageBreakBefore w:val="0"/>
        <w:widowControl/>
        <w:numPr>
          <w:ilvl w:val="0"/>
          <w:numId w:val="2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标准件及外购件的品种、规格和性能等应符合现行国家产品标准和设计要求。</w:t>
      </w:r>
    </w:p>
    <w:p w14:paraId="053317D5">
      <w:pPr>
        <w:pStyle w:val="17"/>
        <w:pageBreakBefore w:val="0"/>
        <w:widowControl/>
        <w:numPr>
          <w:ilvl w:val="0"/>
          <w:numId w:val="2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标准件及外购件，必须是正式定点厂家生产的定型产品,生产厂家需经</w:t>
      </w:r>
      <w:r>
        <w:rPr>
          <w:rFonts w:hint="eastAsia" w:ascii="宋体" w:hAnsi="宋体" w:cs="宋体"/>
          <w:lang w:eastAsia="zh-CN"/>
        </w:rPr>
        <w:t>招标人</w:t>
      </w:r>
      <w:r>
        <w:rPr>
          <w:rFonts w:hint="eastAsia" w:ascii="宋体" w:hAnsi="宋体" w:eastAsia="宋体" w:cs="宋体"/>
        </w:rPr>
        <w:t>确认，否则</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按</w:t>
      </w:r>
      <w:r>
        <w:rPr>
          <w:rFonts w:hint="eastAsia" w:ascii="宋体" w:hAnsi="宋体" w:cs="宋体"/>
          <w:lang w:eastAsia="zh-CN"/>
        </w:rPr>
        <w:t>招标人</w:t>
      </w:r>
      <w:r>
        <w:rPr>
          <w:rFonts w:hint="eastAsia" w:ascii="宋体" w:hAnsi="宋体" w:eastAsia="宋体" w:cs="宋体"/>
        </w:rPr>
        <w:t>要求重购，其一切费用由</w:t>
      </w:r>
      <w:r>
        <w:rPr>
          <w:rFonts w:hint="eastAsia" w:ascii="宋体" w:hAnsi="宋体" w:cs="宋体"/>
          <w:lang w:eastAsia="zh-CN"/>
        </w:rPr>
        <w:t>投标人</w:t>
      </w:r>
      <w:r>
        <w:rPr>
          <w:rFonts w:hint="eastAsia" w:ascii="宋体" w:hAnsi="宋体" w:eastAsia="宋体" w:cs="宋体"/>
        </w:rPr>
        <w:t>自行负责；对重要配套件，订货时应满足</w:t>
      </w:r>
      <w:r>
        <w:rPr>
          <w:rFonts w:hint="eastAsia" w:ascii="宋体" w:hAnsi="宋体" w:cs="宋体"/>
          <w:lang w:eastAsia="zh-CN"/>
        </w:rPr>
        <w:t>招标人</w:t>
      </w:r>
      <w:r>
        <w:rPr>
          <w:rFonts w:hint="eastAsia" w:ascii="宋体" w:hAnsi="宋体" w:eastAsia="宋体" w:cs="宋体"/>
        </w:rPr>
        <w:t>要求，在发货前必须经</w:t>
      </w:r>
      <w:r>
        <w:rPr>
          <w:rFonts w:hint="eastAsia" w:ascii="宋体" w:hAnsi="宋体" w:cs="宋体"/>
          <w:lang w:eastAsia="zh-CN"/>
        </w:rPr>
        <w:t>招标人</w:t>
      </w:r>
      <w:r>
        <w:rPr>
          <w:rFonts w:hint="eastAsia" w:ascii="宋体" w:hAnsi="宋体" w:eastAsia="宋体" w:cs="宋体"/>
        </w:rPr>
        <w:t>验收后才能发运到现场，并具有质量合格证，生产日期，产地等证明。</w:t>
      </w:r>
    </w:p>
    <w:p w14:paraId="37BB94A4">
      <w:pPr>
        <w:pStyle w:val="17"/>
        <w:pageBreakBefore w:val="0"/>
        <w:widowControl/>
        <w:numPr>
          <w:ilvl w:val="0"/>
          <w:numId w:val="249"/>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所购外购件中必须有内容齐全的设备铭牌、设备使用维护说明书、产品质量合格证、备件明细表、培训教材等资料，这些技术资料在设备验收时完整转交</w:t>
      </w:r>
      <w:r>
        <w:rPr>
          <w:rFonts w:hint="eastAsia" w:ascii="宋体" w:hAnsi="宋体" w:cs="宋体"/>
          <w:lang w:eastAsia="zh-CN"/>
        </w:rPr>
        <w:t>招标人</w:t>
      </w:r>
      <w:r>
        <w:rPr>
          <w:rFonts w:hint="eastAsia" w:ascii="宋体" w:hAnsi="宋体" w:eastAsia="宋体" w:cs="宋体"/>
        </w:rPr>
        <w:t>，否则不预验收。</w:t>
      </w:r>
    </w:p>
    <w:p w14:paraId="557B9F4D">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天燃气直燃加热设备</w:t>
      </w:r>
    </w:p>
    <w:p w14:paraId="346A86BE">
      <w:pPr>
        <w:pStyle w:val="17"/>
        <w:pageBreakBefore w:val="0"/>
        <w:widowControl/>
        <w:numPr>
          <w:ilvl w:val="0"/>
          <w:numId w:val="2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燃气直燃加热装置质保期为一年（设备</w:t>
      </w:r>
      <w:r>
        <w:rPr>
          <w:rFonts w:hint="eastAsia" w:ascii="宋体" w:hAnsi="宋体" w:cs="宋体"/>
          <w:lang w:eastAsia="zh-CN"/>
        </w:rPr>
        <w:t>调试验收</w:t>
      </w:r>
      <w:r>
        <w:rPr>
          <w:rFonts w:hint="eastAsia" w:ascii="宋体" w:hAnsi="宋体" w:eastAsia="宋体" w:cs="宋体"/>
        </w:rPr>
        <w:t>后），质保期内设备出现故障厂家必须提供现场的免费服务和免费更换损坏的设备零件。如因设备故障导致空调机组燃烧、爆炸等情况，由空调制作厂家和燃烧系统供应商承担由此给</w:t>
      </w:r>
      <w:r>
        <w:rPr>
          <w:rFonts w:hint="eastAsia" w:ascii="宋体" w:hAnsi="宋体" w:cs="宋体"/>
          <w:lang w:eastAsia="zh-CN"/>
        </w:rPr>
        <w:t>招标人</w:t>
      </w:r>
      <w:r>
        <w:rPr>
          <w:rFonts w:hint="eastAsia" w:ascii="宋体" w:hAnsi="宋体" w:eastAsia="宋体" w:cs="宋体"/>
        </w:rPr>
        <w:t>造成的一切经济损失，并承担相应的法律责任。</w:t>
      </w:r>
    </w:p>
    <w:p w14:paraId="2115A7AF">
      <w:pPr>
        <w:pStyle w:val="17"/>
        <w:pageBreakBefore w:val="0"/>
        <w:widowControl/>
        <w:numPr>
          <w:ilvl w:val="0"/>
          <w:numId w:val="2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rPr>
        <w:t>燃气直燃加热装置在质保期内如出现设备故障停机，燃烧系统供应商必须在</w:t>
      </w:r>
      <w:r>
        <w:rPr>
          <w:rFonts w:hint="eastAsia" w:ascii="宋体" w:hAnsi="宋体" w:eastAsia="宋体" w:cs="宋体"/>
          <w:lang w:val="en-US" w:eastAsia="zh-CN"/>
        </w:rPr>
        <w:t>36</w:t>
      </w:r>
      <w:r>
        <w:rPr>
          <w:rFonts w:hint="eastAsia" w:ascii="宋体" w:hAnsi="宋体" w:eastAsia="宋体" w:cs="宋体"/>
        </w:rPr>
        <w:t>小时内到达</w:t>
      </w:r>
      <w:r>
        <w:rPr>
          <w:rFonts w:hint="eastAsia" w:ascii="宋体" w:hAnsi="宋体" w:eastAsia="宋体" w:cs="宋体"/>
          <w:color w:val="auto"/>
        </w:rPr>
        <w:t>现场，如有延期将处以燃烧系统供应商3000元/天罚金。</w:t>
      </w:r>
    </w:p>
    <w:p w14:paraId="31B369E4">
      <w:pPr>
        <w:pStyle w:val="17"/>
        <w:pageBreakBefore w:val="0"/>
        <w:widowControl/>
        <w:numPr>
          <w:ilvl w:val="0"/>
          <w:numId w:val="250"/>
        </w:numPr>
        <w:tabs>
          <w:tab w:val="left" w:pos="0"/>
        </w:tabs>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燃烧系统供应商必须在中国境内有集成工厂、在汽车涂装工业有良好的使用案例、有良好的应用技术团队，有完善的售后服务团队及口碑。</w:t>
      </w:r>
    </w:p>
    <w:p w14:paraId="51A54A19">
      <w:pPr>
        <w:pStyle w:val="17"/>
        <w:pageBreakBefore w:val="0"/>
        <w:widowControl/>
        <w:numPr>
          <w:ilvl w:val="0"/>
          <w:numId w:val="24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满足上述技术要求中的其他性能参数。</w:t>
      </w:r>
    </w:p>
    <w:p w14:paraId="5CEE89D4">
      <w:pPr>
        <w:pStyle w:val="2"/>
        <w:pageBreakBefore w:val="0"/>
        <w:widowControl/>
        <w:numPr>
          <w:ilvl w:val="0"/>
          <w:numId w:val="20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36" w:name="_Toc16734"/>
      <w:r>
        <w:rPr>
          <w:rFonts w:hint="eastAsia" w:ascii="宋体" w:hAnsi="宋体" w:eastAsia="宋体" w:cs="宋体"/>
          <w:b/>
          <w:bCs/>
          <w:sz w:val="24"/>
          <w:szCs w:val="24"/>
        </w:rPr>
        <w:t>培训</w:t>
      </w:r>
      <w:bookmarkEnd w:id="236"/>
    </w:p>
    <w:p w14:paraId="146119F2">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在培训开始2周前，提供所有培训课程教材和培训计划，其他培训都在</w:t>
      </w:r>
      <w:r>
        <w:rPr>
          <w:rFonts w:hint="eastAsia" w:ascii="宋体" w:hAnsi="宋体" w:cs="宋体"/>
          <w:lang w:eastAsia="zh-CN"/>
        </w:rPr>
        <w:t>招标人</w:t>
      </w:r>
      <w:r>
        <w:rPr>
          <w:rFonts w:hint="eastAsia" w:ascii="宋体" w:hAnsi="宋体" w:eastAsia="宋体" w:cs="宋体"/>
        </w:rPr>
        <w:t>车间现场及培训教室。培训效果要求实际操作和理论试卷确认，双方共同讨论测试课题，</w:t>
      </w:r>
      <w:r>
        <w:rPr>
          <w:rFonts w:hint="eastAsia" w:ascii="宋体" w:hAnsi="宋体" w:cs="宋体"/>
          <w:lang w:eastAsia="zh-CN"/>
        </w:rPr>
        <w:t>招标人</w:t>
      </w:r>
      <w:r>
        <w:rPr>
          <w:rFonts w:hint="eastAsia" w:ascii="宋体" w:hAnsi="宋体" w:eastAsia="宋体" w:cs="宋体"/>
        </w:rPr>
        <w:t>员工需达到独立操作、维护、保养设备，机械部件更换，PLC 编程组态及排除故障等。</w:t>
      </w:r>
    </w:p>
    <w:p w14:paraId="6A8BA363">
      <w:pPr>
        <w:pStyle w:val="3"/>
        <w:pageBreakBefore w:val="0"/>
        <w:numPr>
          <w:ilvl w:val="0"/>
          <w:numId w:val="251"/>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r>
        <w:rPr>
          <w:rFonts w:hint="eastAsia" w:ascii="宋体" w:hAnsi="宋体" w:eastAsia="宋体" w:cs="宋体"/>
          <w:b/>
          <w:bCs/>
          <w:sz w:val="24"/>
          <w:szCs w:val="24"/>
        </w:rPr>
        <w:t>具体的培训清单如下：</w:t>
      </w:r>
    </w:p>
    <w:tbl>
      <w:tblPr>
        <w:tblStyle w:val="44"/>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45"/>
        <w:gridCol w:w="1180"/>
        <w:gridCol w:w="3457"/>
        <w:gridCol w:w="854"/>
        <w:gridCol w:w="1564"/>
        <w:gridCol w:w="1701"/>
      </w:tblGrid>
      <w:tr w14:paraId="2236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0"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7CC01D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序号</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0E30D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培训项目</w:t>
            </w: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02B62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培训内容</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C3451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课时</w:t>
            </w:r>
          </w:p>
        </w:tc>
        <w:tc>
          <w:tcPr>
            <w:tcW w:w="831"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D5BAE1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培训时间</w:t>
            </w:r>
          </w:p>
        </w:tc>
        <w:tc>
          <w:tcPr>
            <w:tcW w:w="904" w:type="pct"/>
            <w:tcBorders>
              <w:top w:val="single" w:color="auto" w:sz="4" w:space="0"/>
              <w:left w:val="single" w:color="auto" w:sz="4" w:space="0"/>
              <w:bottom w:val="single" w:color="auto" w:sz="4" w:space="0"/>
              <w:right w:val="single" w:color="auto" w:sz="4" w:space="0"/>
            </w:tcBorders>
            <w:shd w:val="clear" w:color="auto" w:fill="auto"/>
            <w:vAlign w:val="center"/>
          </w:tcPr>
          <w:p w14:paraId="1160E5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r>
              <w:rPr>
                <w:rFonts w:hint="eastAsia" w:ascii="宋体" w:hAnsi="宋体" w:eastAsia="宋体" w:cs="宋体"/>
                <w:bCs/>
                <w:sz w:val="24"/>
                <w:szCs w:val="24"/>
              </w:rPr>
              <w:t>培训对象</w:t>
            </w:r>
          </w:p>
        </w:tc>
      </w:tr>
      <w:tr w14:paraId="6CE90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5"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85644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A10DC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设备使用说明书</w:t>
            </w: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5D9D8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设备安全操作、点检、保养、润滑、一般故障处理等</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A0E77E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039DF5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设备安装调试结束后2个月之内</w:t>
            </w:r>
          </w:p>
        </w:tc>
        <w:tc>
          <w:tcPr>
            <w:tcW w:w="904" w:type="pct"/>
            <w:tcBorders>
              <w:top w:val="single" w:color="auto" w:sz="4" w:space="0"/>
              <w:left w:val="single" w:color="auto" w:sz="4" w:space="0"/>
              <w:bottom w:val="single" w:color="auto" w:sz="4" w:space="0"/>
              <w:right w:val="single" w:color="auto" w:sz="4" w:space="0"/>
            </w:tcBorders>
            <w:shd w:val="clear" w:color="auto" w:fill="auto"/>
            <w:vAlign w:val="center"/>
          </w:tcPr>
          <w:p w14:paraId="3205D1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操作工、维修工、技师、设备工程师</w:t>
            </w:r>
          </w:p>
        </w:tc>
      </w:tr>
      <w:tr w14:paraId="2082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99"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13CB5C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62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A85E8B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电气培训</w:t>
            </w: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A4BB8D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1、PLC基础知识；</w:t>
            </w:r>
          </w:p>
          <w:p w14:paraId="6F5578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2、编程软件使用，硬件组态；</w:t>
            </w:r>
          </w:p>
          <w:p w14:paraId="4820ACB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3、程序修改及编程，常用指令使用。</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99B9D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40小时</w:t>
            </w:r>
          </w:p>
        </w:tc>
        <w:tc>
          <w:tcPr>
            <w:tcW w:w="831"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ABB15D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设备进厂期间</w:t>
            </w:r>
          </w:p>
        </w:tc>
        <w:tc>
          <w:tcPr>
            <w:tcW w:w="9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67423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维修技师、设备工程师</w:t>
            </w:r>
          </w:p>
        </w:tc>
      </w:tr>
      <w:tr w14:paraId="614A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42"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8771B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62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4C66B8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电气现场</w:t>
            </w:r>
          </w:p>
          <w:p w14:paraId="6AD1443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培训</w:t>
            </w: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2EEC99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1、PLC程序上传下载步骤；</w:t>
            </w:r>
          </w:p>
          <w:p w14:paraId="04A90BA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2、各区域程序结构、控制逻辑；</w:t>
            </w:r>
          </w:p>
          <w:p w14:paraId="526AC5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3、网络故障查找步骤方法；</w:t>
            </w:r>
          </w:p>
          <w:p w14:paraId="503E65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4、日常使用注意事项。</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9F40FF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40小时</w:t>
            </w:r>
          </w:p>
        </w:tc>
        <w:tc>
          <w:tcPr>
            <w:tcW w:w="831"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5C68C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w:t>
            </w:r>
            <w:r>
              <w:rPr>
                <w:rFonts w:hint="eastAsia" w:ascii="宋体" w:hAnsi="宋体" w:eastAsia="宋体" w:cs="宋体"/>
                <w:sz w:val="24"/>
                <w:szCs w:val="24"/>
                <w:lang w:eastAsia="zh-CN"/>
              </w:rPr>
              <w:t>调试验收</w:t>
            </w:r>
            <w:r>
              <w:rPr>
                <w:rFonts w:hint="eastAsia" w:ascii="宋体" w:hAnsi="宋体" w:eastAsia="宋体" w:cs="宋体"/>
                <w:sz w:val="24"/>
                <w:szCs w:val="24"/>
              </w:rPr>
              <w:t>前</w:t>
            </w: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53B91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3AE5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9"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B692D2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A9CD9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AB2DE2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现场电气原理图、接线图。</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7BADA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277E2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设备安装调试结束后2个月之内</w:t>
            </w: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3B71D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16B74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60"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B81FD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62DE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B14C9C6">
            <w:pPr>
              <w:pageBreakBefore w:val="0"/>
              <w:kinsoku/>
              <w:wordWrap/>
              <w:topLinePunct w:val="0"/>
              <w:autoSpaceDE w:val="0"/>
              <w:autoSpaceDN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1、变频调速参数设定；</w:t>
            </w:r>
          </w:p>
          <w:p w14:paraId="5E154800">
            <w:pPr>
              <w:pageBreakBefore w:val="0"/>
              <w:kinsoku/>
              <w:wordWrap/>
              <w:topLinePunct w:val="0"/>
              <w:autoSpaceDE w:val="0"/>
              <w:autoSpaceDN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2、变频器日常保养；</w:t>
            </w:r>
          </w:p>
          <w:p w14:paraId="189F06F1">
            <w:pPr>
              <w:pageBreakBefore w:val="0"/>
              <w:kinsoku/>
              <w:wordWrap/>
              <w:topLinePunct w:val="0"/>
              <w:autoSpaceDE w:val="0"/>
              <w:autoSpaceDN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szCs w:val="24"/>
              </w:rPr>
            </w:pPr>
            <w:r>
              <w:rPr>
                <w:rFonts w:hint="eastAsia" w:ascii="宋体" w:hAnsi="宋体" w:eastAsia="宋体" w:cs="宋体"/>
                <w:sz w:val="24"/>
                <w:szCs w:val="24"/>
              </w:rPr>
              <w:t>3、常见故障处理。</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33481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A7718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99B29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1FCD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49"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FD0A40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337D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CB69DB4">
            <w:pPr>
              <w:pageBreakBefore w:val="0"/>
              <w:kinsoku/>
              <w:wordWrap/>
              <w:topLinePunct w:val="0"/>
              <w:autoSpaceDE w:val="0"/>
              <w:autoSpaceDN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HMI人机界面的操作、运行。</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07EA2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FCA9A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tcBorders>
              <w:top w:val="single" w:color="auto" w:sz="4" w:space="0"/>
              <w:left w:val="single" w:color="auto" w:sz="4" w:space="0"/>
              <w:bottom w:val="single" w:color="auto" w:sz="4" w:space="0"/>
              <w:right w:val="single" w:color="auto" w:sz="4" w:space="0"/>
            </w:tcBorders>
            <w:shd w:val="clear" w:color="auto" w:fill="auto"/>
            <w:vAlign w:val="center"/>
          </w:tcPr>
          <w:p w14:paraId="75155C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操作工、维修工、设备工程师</w:t>
            </w:r>
          </w:p>
        </w:tc>
      </w:tr>
      <w:tr w14:paraId="78F1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22"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72A499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7</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548B1F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C704AB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现场故障查询及处理。</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4FF1B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1B379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36473A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操作工、维修技师、设备工程师</w:t>
            </w:r>
          </w:p>
        </w:tc>
      </w:tr>
      <w:tr w14:paraId="3679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6"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48415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8</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75EA1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F7A54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设备数据、程序备份。</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84519D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4小时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1BC8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994FC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141D5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5"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DC777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9</w:t>
            </w:r>
          </w:p>
        </w:tc>
        <w:tc>
          <w:tcPr>
            <w:tcW w:w="627"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2358CC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机械培训</w:t>
            </w: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389D02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设备机械结构，设备机械图纸。</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35EDF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24小时</w:t>
            </w:r>
          </w:p>
        </w:tc>
        <w:tc>
          <w:tcPr>
            <w:tcW w:w="831" w:type="pct"/>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3B83A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设备安装调试结束后2个月之内</w:t>
            </w: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2B5BE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39ED7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7"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444D48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10</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64AC4B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C489EB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设备润滑及保养。</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71B53B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8小时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0B80C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9656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3CBA5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9D88DD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11</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505FD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90BCE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设备易损件更换及维修。</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32713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7684AD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F14D0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r w14:paraId="63CE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5" w:hRule="atLeast"/>
          <w:jc w:val="center"/>
        </w:trPr>
        <w:tc>
          <w:tcPr>
            <w:tcW w:w="343"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0565DE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12</w:t>
            </w:r>
          </w:p>
        </w:tc>
        <w:tc>
          <w:tcPr>
            <w:tcW w:w="627"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C43C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1837"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7321CFB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主要机械部件更换及维修。</w:t>
            </w:r>
          </w:p>
        </w:tc>
        <w:tc>
          <w:tcPr>
            <w:tcW w:w="454" w:type="pc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725BA7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16小时</w:t>
            </w:r>
          </w:p>
        </w:tc>
        <w:tc>
          <w:tcPr>
            <w:tcW w:w="83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EE9C04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90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60EE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bl>
    <w:p w14:paraId="1AA62AC4">
      <w:pPr>
        <w:pStyle w:val="3"/>
        <w:pageBreakBefore w:val="0"/>
        <w:numPr>
          <w:ilvl w:val="0"/>
          <w:numId w:val="251"/>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b/>
          <w:bCs/>
          <w:sz w:val="24"/>
          <w:szCs w:val="24"/>
          <w:lang w:eastAsia="zh-CN"/>
        </w:rPr>
        <w:t>招标人</w:t>
      </w:r>
      <w:r>
        <w:rPr>
          <w:rFonts w:hint="eastAsia" w:ascii="宋体" w:hAnsi="宋体" w:eastAsia="宋体" w:cs="宋体"/>
          <w:b/>
          <w:bCs/>
          <w:sz w:val="24"/>
          <w:szCs w:val="24"/>
        </w:rPr>
        <w:t>受训人员掌握技能目标</w:t>
      </w:r>
      <w:r>
        <w:rPr>
          <w:rFonts w:hint="eastAsia" w:ascii="宋体" w:hAnsi="宋体" w:eastAsia="宋体" w:cs="宋体"/>
          <w:sz w:val="24"/>
          <w:szCs w:val="24"/>
        </w:rPr>
        <w:t>：</w:t>
      </w:r>
    </w:p>
    <w:p w14:paraId="78D96895">
      <w:pPr>
        <w:pStyle w:val="17"/>
        <w:pageBreakBefore w:val="0"/>
        <w:widowControl/>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参加培训的人员可以独立正确操作、点检及保养设备。</w:t>
      </w:r>
    </w:p>
    <w:p w14:paraId="0165E159">
      <w:pPr>
        <w:pStyle w:val="17"/>
        <w:pageBreakBefore w:val="0"/>
        <w:widowControl/>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能熟练的浏览人机界面及利用人机界面查找故障。</w:t>
      </w:r>
    </w:p>
    <w:p w14:paraId="7F7D09E8">
      <w:pPr>
        <w:pStyle w:val="17"/>
        <w:pageBreakBefore w:val="0"/>
        <w:widowControl/>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参加培训的人员能掌握设备的电气原理、机械结构及性能。</w:t>
      </w:r>
    </w:p>
    <w:p w14:paraId="5B1D14C5">
      <w:pPr>
        <w:pStyle w:val="17"/>
        <w:pageBreakBefore w:val="0"/>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能够进行电气、机械故障排查及维修。</w:t>
      </w:r>
    </w:p>
    <w:p w14:paraId="2A46A779">
      <w:pPr>
        <w:pStyle w:val="17"/>
        <w:pageBreakBefore w:val="0"/>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能够熟练使用编程软件、程序查看、程序修改、上传和下载程序。</w:t>
      </w:r>
    </w:p>
    <w:p w14:paraId="5A820882">
      <w:pPr>
        <w:pStyle w:val="17"/>
        <w:pageBreakBefore w:val="0"/>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能够熟练使用人机界面编程软件并能对人机画面修改，并对程序下载。</w:t>
      </w:r>
    </w:p>
    <w:p w14:paraId="5CB48DCE">
      <w:pPr>
        <w:pStyle w:val="17"/>
        <w:pageBreakBefore w:val="0"/>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能够熟练对变频器参数进行修改，并知道每个参数的功能及作用。</w:t>
      </w:r>
    </w:p>
    <w:p w14:paraId="3F3CDE0D">
      <w:pPr>
        <w:pStyle w:val="17"/>
        <w:pageBreakBefore w:val="0"/>
        <w:widowControl/>
        <w:numPr>
          <w:ilvl w:val="0"/>
          <w:numId w:val="252"/>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能够独立更换电气及机械元件。</w:t>
      </w:r>
    </w:p>
    <w:p w14:paraId="46CBC041">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b/>
        </w:rPr>
      </w:pPr>
      <w:r>
        <w:rPr>
          <w:rFonts w:hint="eastAsia" w:ascii="宋体" w:hAnsi="宋体" w:eastAsia="宋体" w:cs="宋体"/>
        </w:rPr>
        <w:t>2.8.1</w:t>
      </w:r>
      <w:r>
        <w:rPr>
          <w:rFonts w:hint="eastAsia" w:ascii="宋体" w:hAnsi="宋体" w:cs="宋体"/>
          <w:lang w:eastAsia="zh-CN"/>
        </w:rPr>
        <w:t>投标人</w:t>
      </w:r>
      <w:r>
        <w:rPr>
          <w:rFonts w:hint="eastAsia" w:ascii="宋体" w:hAnsi="宋体" w:eastAsia="宋体" w:cs="宋体"/>
        </w:rPr>
        <w:t>必须确保培训的有效性，使受训的</w:t>
      </w:r>
      <w:r>
        <w:rPr>
          <w:rFonts w:hint="eastAsia" w:ascii="宋体" w:hAnsi="宋体" w:cs="宋体"/>
          <w:lang w:eastAsia="zh-CN"/>
        </w:rPr>
        <w:t>招标人</w:t>
      </w:r>
      <w:r>
        <w:rPr>
          <w:rFonts w:hint="eastAsia" w:ascii="宋体" w:hAnsi="宋体" w:eastAsia="宋体" w:cs="宋体"/>
        </w:rPr>
        <w:t>员工能够独立地解决和排除相应的设备问题。培训结束后</w:t>
      </w:r>
      <w:r>
        <w:rPr>
          <w:rFonts w:hint="eastAsia" w:ascii="宋体" w:hAnsi="宋体" w:cs="宋体"/>
          <w:lang w:eastAsia="zh-CN"/>
        </w:rPr>
        <w:t>招标人</w:t>
      </w:r>
      <w:r>
        <w:rPr>
          <w:rFonts w:hint="eastAsia" w:ascii="宋体" w:hAnsi="宋体" w:eastAsia="宋体" w:cs="宋体"/>
        </w:rPr>
        <w:t>对其测评，测评内容为培训内容，</w:t>
      </w:r>
      <w:r>
        <w:rPr>
          <w:rFonts w:hint="eastAsia" w:ascii="宋体" w:hAnsi="宋体" w:cs="宋体"/>
          <w:lang w:eastAsia="zh-CN"/>
        </w:rPr>
        <w:t>招标人</w:t>
      </w:r>
      <w:r>
        <w:rPr>
          <w:rFonts w:hint="eastAsia" w:ascii="宋体" w:hAnsi="宋体" w:eastAsia="宋体" w:cs="宋体"/>
        </w:rPr>
        <w:t>受训人员未达到80%以上合格的，</w:t>
      </w:r>
      <w:r>
        <w:rPr>
          <w:rFonts w:hint="eastAsia" w:ascii="宋体" w:hAnsi="宋体" w:cs="宋体"/>
          <w:lang w:eastAsia="zh-CN"/>
        </w:rPr>
        <w:t>招标人</w:t>
      </w:r>
      <w:r>
        <w:rPr>
          <w:rFonts w:hint="eastAsia" w:ascii="宋体" w:hAnsi="宋体" w:eastAsia="宋体" w:cs="宋体"/>
        </w:rPr>
        <w:t>有权要求</w:t>
      </w:r>
      <w:r>
        <w:rPr>
          <w:rFonts w:hint="eastAsia" w:ascii="宋体" w:hAnsi="宋体" w:cs="宋体"/>
          <w:lang w:eastAsia="zh-CN"/>
        </w:rPr>
        <w:t>投标人</w:t>
      </w:r>
      <w:r>
        <w:rPr>
          <w:rFonts w:hint="eastAsia" w:ascii="宋体" w:hAnsi="宋体" w:eastAsia="宋体" w:cs="宋体"/>
        </w:rPr>
        <w:t>免费再次培训，直到</w:t>
      </w:r>
      <w:r>
        <w:rPr>
          <w:rFonts w:hint="eastAsia" w:ascii="宋体" w:hAnsi="宋体" w:cs="宋体"/>
          <w:lang w:eastAsia="zh-CN"/>
        </w:rPr>
        <w:t>招标人</w:t>
      </w:r>
      <w:r>
        <w:rPr>
          <w:rFonts w:hint="eastAsia" w:ascii="宋体" w:hAnsi="宋体" w:eastAsia="宋体" w:cs="宋体"/>
        </w:rPr>
        <w:t>受训人员达到80%以上合格为止。</w:t>
      </w:r>
    </w:p>
    <w:p w14:paraId="2BA7D109">
      <w:pPr>
        <w:pStyle w:val="2"/>
        <w:pageBreakBefore w:val="0"/>
        <w:widowControl/>
        <w:numPr>
          <w:ilvl w:val="0"/>
          <w:numId w:val="20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sz w:val="24"/>
          <w:szCs w:val="24"/>
        </w:rPr>
      </w:pPr>
      <w:bookmarkStart w:id="237" w:name="_Toc8179"/>
      <w:r>
        <w:rPr>
          <w:rFonts w:hint="eastAsia" w:ascii="宋体" w:hAnsi="宋体" w:eastAsia="宋体" w:cs="宋体"/>
          <w:b/>
          <w:bCs/>
          <w:sz w:val="24"/>
          <w:szCs w:val="24"/>
        </w:rPr>
        <w:t>资料、辅件</w:t>
      </w:r>
      <w:bookmarkEnd w:id="237"/>
    </w:p>
    <w:p w14:paraId="2FAEF456">
      <w:pPr>
        <w:pStyle w:val="17"/>
        <w:keepNext w:val="0"/>
        <w:keepLines w:val="0"/>
        <w:pageBreakBefore w:val="0"/>
        <w:widowControl/>
        <w:numPr>
          <w:ilvl w:val="0"/>
          <w:numId w:val="25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cs="宋体"/>
          <w:lang w:eastAsia="zh-CN"/>
        </w:rPr>
        <w:t>投标人</w:t>
      </w:r>
      <w:r>
        <w:rPr>
          <w:rFonts w:hint="eastAsia" w:ascii="宋体" w:hAnsi="宋体" w:eastAsia="宋体" w:cs="宋体"/>
        </w:rPr>
        <w:t>提供的电子文件指定使用软件：图纸AutoCAD 2014或以上版本，EPLAN和PDF版本的电控纸各元器件须按电柜分布。电控程序的编写版本应为中文。</w:t>
      </w:r>
    </w:p>
    <w:p w14:paraId="72E00E35">
      <w:pPr>
        <w:pStyle w:val="17"/>
        <w:keepNext w:val="0"/>
        <w:keepLines w:val="0"/>
        <w:pageBreakBefore w:val="0"/>
        <w:widowControl/>
        <w:numPr>
          <w:ilvl w:val="0"/>
          <w:numId w:val="25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rPr>
      </w:pPr>
      <w:r>
        <w:rPr>
          <w:rFonts w:hint="eastAsia" w:ascii="宋体" w:hAnsi="宋体" w:eastAsia="宋体" w:cs="宋体"/>
        </w:rPr>
        <w:t>技术资料明细表，如下表</w:t>
      </w:r>
    </w:p>
    <w:tbl>
      <w:tblPr>
        <w:tblStyle w:val="44"/>
        <w:tblW w:w="50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932"/>
        <w:gridCol w:w="5226"/>
        <w:gridCol w:w="786"/>
        <w:gridCol w:w="1264"/>
        <w:gridCol w:w="1263"/>
      </w:tblGrid>
      <w:tr w14:paraId="5B6F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96" w:hRule="atLeast"/>
          <w:jc w:val="center"/>
        </w:trPr>
        <w:tc>
          <w:tcPr>
            <w:tcW w:w="492" w:type="pct"/>
            <w:vMerge w:val="restart"/>
            <w:shd w:val="clear" w:color="auto" w:fill="auto"/>
            <w:vAlign w:val="center"/>
          </w:tcPr>
          <w:p w14:paraId="76C38A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758" w:type="pct"/>
            <w:vMerge w:val="restart"/>
            <w:shd w:val="clear" w:color="auto" w:fill="auto"/>
            <w:vAlign w:val="center"/>
          </w:tcPr>
          <w:p w14:paraId="7B1D2C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资料名称</w:t>
            </w:r>
          </w:p>
        </w:tc>
        <w:tc>
          <w:tcPr>
            <w:tcW w:w="1082" w:type="pct"/>
            <w:gridSpan w:val="2"/>
            <w:shd w:val="clear" w:color="auto" w:fill="auto"/>
            <w:vAlign w:val="center"/>
          </w:tcPr>
          <w:p w14:paraId="45D18FE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资料形式</w:t>
            </w:r>
          </w:p>
        </w:tc>
        <w:tc>
          <w:tcPr>
            <w:tcW w:w="666" w:type="pct"/>
            <w:vMerge w:val="restart"/>
            <w:shd w:val="clear" w:color="auto" w:fill="auto"/>
            <w:vAlign w:val="center"/>
          </w:tcPr>
          <w:p w14:paraId="1D8D6AB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7A8B9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92" w:type="pct"/>
            <w:vMerge w:val="continue"/>
            <w:shd w:val="clear" w:color="auto" w:fill="auto"/>
            <w:vAlign w:val="center"/>
          </w:tcPr>
          <w:p w14:paraId="404FB9D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p>
        </w:tc>
        <w:tc>
          <w:tcPr>
            <w:tcW w:w="2758" w:type="pct"/>
            <w:vMerge w:val="continue"/>
            <w:shd w:val="clear" w:color="auto" w:fill="auto"/>
            <w:vAlign w:val="center"/>
          </w:tcPr>
          <w:p w14:paraId="014E4B0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p>
        </w:tc>
        <w:tc>
          <w:tcPr>
            <w:tcW w:w="415" w:type="pct"/>
            <w:shd w:val="clear" w:color="auto" w:fill="auto"/>
            <w:vAlign w:val="center"/>
          </w:tcPr>
          <w:p w14:paraId="7C3FFF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书面版</w:t>
            </w:r>
          </w:p>
        </w:tc>
        <w:tc>
          <w:tcPr>
            <w:tcW w:w="667" w:type="pct"/>
            <w:shd w:val="clear" w:color="auto" w:fill="auto"/>
            <w:vAlign w:val="center"/>
          </w:tcPr>
          <w:p w14:paraId="28FF108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电子版</w:t>
            </w:r>
          </w:p>
        </w:tc>
        <w:tc>
          <w:tcPr>
            <w:tcW w:w="666" w:type="pct"/>
            <w:vMerge w:val="continue"/>
            <w:shd w:val="clear" w:color="auto" w:fill="auto"/>
            <w:vAlign w:val="center"/>
          </w:tcPr>
          <w:p w14:paraId="7226123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sz w:val="24"/>
                <w:szCs w:val="24"/>
              </w:rPr>
            </w:pPr>
          </w:p>
        </w:tc>
      </w:tr>
      <w:tr w14:paraId="013D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restart"/>
            <w:shd w:val="clear" w:color="auto" w:fill="auto"/>
            <w:vAlign w:val="center"/>
          </w:tcPr>
          <w:p w14:paraId="6ED8C6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设计完成</w:t>
            </w:r>
          </w:p>
        </w:tc>
        <w:tc>
          <w:tcPr>
            <w:tcW w:w="2758" w:type="pct"/>
            <w:shd w:val="clear" w:color="auto" w:fill="auto"/>
            <w:vAlign w:val="center"/>
          </w:tcPr>
          <w:p w14:paraId="570888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设备平面布置图</w:t>
            </w:r>
          </w:p>
        </w:tc>
        <w:tc>
          <w:tcPr>
            <w:tcW w:w="415" w:type="pct"/>
            <w:shd w:val="clear" w:color="auto" w:fill="auto"/>
            <w:vAlign w:val="center"/>
          </w:tcPr>
          <w:p w14:paraId="1F1CE96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B7B54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restart"/>
            <w:shd w:val="clear" w:color="auto" w:fill="auto"/>
            <w:vAlign w:val="center"/>
          </w:tcPr>
          <w:p w14:paraId="702DE51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FF0000"/>
                <w:sz w:val="24"/>
                <w:szCs w:val="24"/>
              </w:rPr>
            </w:pPr>
            <w:r>
              <w:rPr>
                <w:rFonts w:hint="eastAsia" w:ascii="宋体" w:hAnsi="宋体" w:eastAsia="宋体" w:cs="宋体"/>
                <w:bCs/>
                <w:color w:val="auto"/>
                <w:sz w:val="24"/>
                <w:szCs w:val="24"/>
              </w:rPr>
              <w:t>最终设计完成后提供2份，</w:t>
            </w:r>
            <w:r>
              <w:rPr>
                <w:rFonts w:hint="eastAsia" w:ascii="宋体" w:hAnsi="宋体" w:cs="宋体"/>
                <w:bCs/>
                <w:color w:val="auto"/>
                <w:sz w:val="24"/>
                <w:szCs w:val="24"/>
                <w:lang w:eastAsia="zh-CN"/>
              </w:rPr>
              <w:t>调试验收</w:t>
            </w:r>
            <w:r>
              <w:rPr>
                <w:rFonts w:hint="eastAsia" w:ascii="宋体" w:hAnsi="宋体" w:eastAsia="宋体" w:cs="宋体"/>
                <w:bCs/>
                <w:color w:val="auto"/>
                <w:sz w:val="24"/>
                <w:szCs w:val="24"/>
              </w:rPr>
              <w:t>前提供4份</w:t>
            </w:r>
          </w:p>
          <w:p w14:paraId="5DF0A0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p w14:paraId="1F46C18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45FF0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69AA058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5F5AFEF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五气动能使用点及其用量图、所有管道走向布置图</w:t>
            </w:r>
          </w:p>
        </w:tc>
        <w:tc>
          <w:tcPr>
            <w:tcW w:w="415" w:type="pct"/>
            <w:shd w:val="clear" w:color="auto" w:fill="auto"/>
            <w:vAlign w:val="center"/>
          </w:tcPr>
          <w:p w14:paraId="136409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76C4B4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110D5B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1FE37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2C52A24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E2DD9E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设备总图、原理图、流程图、断面图、设备安装图（装配图）、部件图。</w:t>
            </w:r>
          </w:p>
        </w:tc>
        <w:tc>
          <w:tcPr>
            <w:tcW w:w="415" w:type="pct"/>
            <w:vMerge w:val="restart"/>
            <w:shd w:val="clear" w:color="auto" w:fill="auto"/>
            <w:vAlign w:val="center"/>
          </w:tcPr>
          <w:p w14:paraId="2D0FCFA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vMerge w:val="restart"/>
            <w:shd w:val="clear" w:color="auto" w:fill="auto"/>
            <w:vAlign w:val="center"/>
          </w:tcPr>
          <w:p w14:paraId="6A46CE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2F36861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8F7B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7B38683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1AE3814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NO.1、NO.2面漆喷漆室空调</w:t>
            </w:r>
          </w:p>
        </w:tc>
        <w:tc>
          <w:tcPr>
            <w:tcW w:w="415" w:type="pct"/>
            <w:vMerge w:val="continue"/>
            <w:shd w:val="clear" w:color="auto" w:fill="auto"/>
            <w:vAlign w:val="center"/>
          </w:tcPr>
          <w:p w14:paraId="67AD67E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667" w:type="pct"/>
            <w:vMerge w:val="continue"/>
            <w:shd w:val="clear" w:color="auto" w:fill="auto"/>
            <w:vAlign w:val="center"/>
          </w:tcPr>
          <w:p w14:paraId="0F2BA9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p>
        </w:tc>
        <w:tc>
          <w:tcPr>
            <w:tcW w:w="666" w:type="pct"/>
            <w:vMerge w:val="continue"/>
            <w:shd w:val="clear" w:color="auto" w:fill="auto"/>
            <w:vAlign w:val="center"/>
          </w:tcPr>
          <w:p w14:paraId="0DF9A51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9E0C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228A611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5B699AB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NO.3、NO.4、清漆空调机组</w:t>
            </w:r>
          </w:p>
        </w:tc>
        <w:tc>
          <w:tcPr>
            <w:tcW w:w="415" w:type="pct"/>
            <w:vMerge w:val="continue"/>
            <w:shd w:val="clear" w:color="auto" w:fill="auto"/>
            <w:vAlign w:val="center"/>
          </w:tcPr>
          <w:p w14:paraId="263DDA9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667" w:type="pct"/>
            <w:vMerge w:val="continue"/>
            <w:shd w:val="clear" w:color="auto" w:fill="auto"/>
            <w:vAlign w:val="center"/>
          </w:tcPr>
          <w:p w14:paraId="33624A6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p>
        </w:tc>
        <w:tc>
          <w:tcPr>
            <w:tcW w:w="666" w:type="pct"/>
            <w:vMerge w:val="continue"/>
            <w:shd w:val="clear" w:color="auto" w:fill="auto"/>
            <w:vAlign w:val="center"/>
          </w:tcPr>
          <w:p w14:paraId="19E5E7D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B431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2D5A3EA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5655137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NO.6过滤风箱、NO.7、NO.8、NO.9工位及厂房空调机组</w:t>
            </w:r>
          </w:p>
        </w:tc>
        <w:tc>
          <w:tcPr>
            <w:tcW w:w="415" w:type="pct"/>
            <w:vMerge w:val="continue"/>
            <w:shd w:val="clear" w:color="auto" w:fill="auto"/>
            <w:vAlign w:val="center"/>
          </w:tcPr>
          <w:p w14:paraId="24AADD5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p>
        </w:tc>
        <w:tc>
          <w:tcPr>
            <w:tcW w:w="667" w:type="pct"/>
            <w:vMerge w:val="continue"/>
            <w:shd w:val="clear" w:color="auto" w:fill="auto"/>
            <w:vAlign w:val="center"/>
          </w:tcPr>
          <w:p w14:paraId="371D216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p>
        </w:tc>
        <w:tc>
          <w:tcPr>
            <w:tcW w:w="666" w:type="pct"/>
            <w:vMerge w:val="continue"/>
            <w:shd w:val="clear" w:color="auto" w:fill="auto"/>
            <w:vAlign w:val="center"/>
          </w:tcPr>
          <w:p w14:paraId="7EAC59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4619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06646F6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2FA3E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NO.5工位调漆间空调机组</w:t>
            </w:r>
          </w:p>
        </w:tc>
        <w:tc>
          <w:tcPr>
            <w:tcW w:w="415" w:type="pct"/>
            <w:shd w:val="clear" w:color="auto" w:fill="auto"/>
            <w:vAlign w:val="center"/>
          </w:tcPr>
          <w:p w14:paraId="5446FFB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43A766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78B76B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657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18EA329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BF6CAE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成套设备明细表（含型号、规格、台数、能源消耗及生产厂家）</w:t>
            </w:r>
          </w:p>
        </w:tc>
        <w:tc>
          <w:tcPr>
            <w:tcW w:w="415" w:type="pct"/>
            <w:shd w:val="clear" w:color="auto" w:fill="auto"/>
            <w:vAlign w:val="center"/>
          </w:tcPr>
          <w:p w14:paraId="6F36B5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625668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178FD9D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29B0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3311FD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0D35ED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外购件明细表（含型号、规格、数量、能源消耗及备选厂家）</w:t>
            </w:r>
          </w:p>
        </w:tc>
        <w:tc>
          <w:tcPr>
            <w:tcW w:w="415" w:type="pct"/>
            <w:shd w:val="clear" w:color="auto" w:fill="auto"/>
            <w:vAlign w:val="center"/>
          </w:tcPr>
          <w:p w14:paraId="04ACA8D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22E8E8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009EA70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E3DB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5C766F9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02FF1D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材料清单（按单台设备分别提出）</w:t>
            </w:r>
          </w:p>
        </w:tc>
        <w:tc>
          <w:tcPr>
            <w:tcW w:w="415" w:type="pct"/>
            <w:shd w:val="clear" w:color="auto" w:fill="auto"/>
            <w:vAlign w:val="center"/>
          </w:tcPr>
          <w:p w14:paraId="559970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52BD7A7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3E649C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3CDC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65C0428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AA783B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标准件清单（按单台设备分别提出）</w:t>
            </w:r>
          </w:p>
        </w:tc>
        <w:tc>
          <w:tcPr>
            <w:tcW w:w="415" w:type="pct"/>
            <w:shd w:val="clear" w:color="auto" w:fill="auto"/>
            <w:vAlign w:val="center"/>
          </w:tcPr>
          <w:p w14:paraId="68F63E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3238C6A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3224355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30BA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35A3D5E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646EA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备件清单</w:t>
            </w:r>
          </w:p>
        </w:tc>
        <w:tc>
          <w:tcPr>
            <w:tcW w:w="415" w:type="pct"/>
            <w:shd w:val="clear" w:color="auto" w:fill="auto"/>
            <w:vAlign w:val="center"/>
          </w:tcPr>
          <w:p w14:paraId="78448FD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EFBC0E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24D4BAC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17E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7EE559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5D31F4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专用工具清单</w:t>
            </w:r>
          </w:p>
        </w:tc>
        <w:tc>
          <w:tcPr>
            <w:tcW w:w="415" w:type="pct"/>
            <w:shd w:val="clear" w:color="auto" w:fill="auto"/>
            <w:vAlign w:val="center"/>
          </w:tcPr>
          <w:p w14:paraId="3E8527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29B51A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1E5189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EDD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205B81F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0D1B78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项目实施方案及计划</w:t>
            </w:r>
          </w:p>
        </w:tc>
        <w:tc>
          <w:tcPr>
            <w:tcW w:w="415" w:type="pct"/>
            <w:shd w:val="clear" w:color="auto" w:fill="auto"/>
            <w:vAlign w:val="center"/>
          </w:tcPr>
          <w:p w14:paraId="06AEE4D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34C568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69B41C6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21FE4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264028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61AD16E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总包商、分包商资质证明</w:t>
            </w:r>
          </w:p>
        </w:tc>
        <w:tc>
          <w:tcPr>
            <w:tcW w:w="415" w:type="pct"/>
            <w:shd w:val="clear" w:color="auto" w:fill="auto"/>
            <w:vAlign w:val="center"/>
          </w:tcPr>
          <w:p w14:paraId="4291DA0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6C9EDBA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6E3430E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5EC91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92" w:type="pct"/>
            <w:vMerge w:val="continue"/>
            <w:shd w:val="clear" w:color="auto" w:fill="auto"/>
            <w:vAlign w:val="center"/>
          </w:tcPr>
          <w:p w14:paraId="0A00A5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03741E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技术服务方案及人员培训计划</w:t>
            </w:r>
          </w:p>
        </w:tc>
        <w:tc>
          <w:tcPr>
            <w:tcW w:w="415" w:type="pct"/>
            <w:shd w:val="clear" w:color="auto" w:fill="auto"/>
            <w:vAlign w:val="center"/>
          </w:tcPr>
          <w:p w14:paraId="2912CC3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5F0590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vMerge w:val="continue"/>
            <w:shd w:val="clear" w:color="auto" w:fill="auto"/>
            <w:vAlign w:val="center"/>
          </w:tcPr>
          <w:p w14:paraId="79C0CFA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03A37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exact"/>
          <w:jc w:val="center"/>
        </w:trPr>
        <w:tc>
          <w:tcPr>
            <w:tcW w:w="492" w:type="pct"/>
            <w:vMerge w:val="restart"/>
            <w:shd w:val="clear" w:color="auto" w:fill="auto"/>
            <w:vAlign w:val="center"/>
          </w:tcPr>
          <w:p w14:paraId="3419ED0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工程施工</w:t>
            </w:r>
          </w:p>
        </w:tc>
        <w:tc>
          <w:tcPr>
            <w:tcW w:w="2758" w:type="pct"/>
            <w:shd w:val="clear" w:color="auto" w:fill="auto"/>
            <w:vAlign w:val="center"/>
          </w:tcPr>
          <w:p w14:paraId="20A9FAB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施工图</w:t>
            </w:r>
          </w:p>
        </w:tc>
        <w:tc>
          <w:tcPr>
            <w:tcW w:w="415" w:type="pct"/>
            <w:shd w:val="clear" w:color="auto" w:fill="auto"/>
            <w:vAlign w:val="center"/>
          </w:tcPr>
          <w:p w14:paraId="63A4EA5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07A1DF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0E287B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1313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04577F7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ECCEA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设备系统原理图</w:t>
            </w:r>
          </w:p>
        </w:tc>
        <w:tc>
          <w:tcPr>
            <w:tcW w:w="415" w:type="pct"/>
            <w:shd w:val="clear" w:color="auto" w:fill="auto"/>
            <w:vAlign w:val="center"/>
          </w:tcPr>
          <w:p w14:paraId="597827E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62F3B1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4C2224F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5FD0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5B1CF62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60F514D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安装检查记录</w:t>
            </w:r>
          </w:p>
        </w:tc>
        <w:tc>
          <w:tcPr>
            <w:tcW w:w="415" w:type="pct"/>
            <w:shd w:val="clear" w:color="auto" w:fill="auto"/>
            <w:vAlign w:val="center"/>
          </w:tcPr>
          <w:p w14:paraId="0F6E3F5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781F9B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114DF9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0F8B8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1D8B133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5EC7DB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材质报告</w:t>
            </w:r>
          </w:p>
        </w:tc>
        <w:tc>
          <w:tcPr>
            <w:tcW w:w="415" w:type="pct"/>
            <w:shd w:val="clear" w:color="auto" w:fill="auto"/>
            <w:vAlign w:val="center"/>
          </w:tcPr>
          <w:p w14:paraId="459EC8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7CF6FE2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5F0183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22FE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60960BA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FCA11B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输送设备关键零件热处理记录</w:t>
            </w:r>
          </w:p>
        </w:tc>
        <w:tc>
          <w:tcPr>
            <w:tcW w:w="415" w:type="pct"/>
            <w:shd w:val="clear" w:color="auto" w:fill="auto"/>
            <w:vAlign w:val="center"/>
          </w:tcPr>
          <w:p w14:paraId="11354B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2680B44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156E975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170ED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503EDDF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14A98E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产品合格证</w:t>
            </w:r>
          </w:p>
        </w:tc>
        <w:tc>
          <w:tcPr>
            <w:tcW w:w="415" w:type="pct"/>
            <w:shd w:val="clear" w:color="auto" w:fill="auto"/>
            <w:vAlign w:val="center"/>
          </w:tcPr>
          <w:p w14:paraId="667692E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376A49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42BCA2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29A48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390AE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40F1C7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异常记录</w:t>
            </w:r>
          </w:p>
        </w:tc>
        <w:tc>
          <w:tcPr>
            <w:tcW w:w="415" w:type="pct"/>
            <w:shd w:val="clear" w:color="auto" w:fill="auto"/>
            <w:vAlign w:val="center"/>
          </w:tcPr>
          <w:p w14:paraId="1D8763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565267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1AD972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568A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5C13596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1D18FA8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施工规范</w:t>
            </w:r>
          </w:p>
        </w:tc>
        <w:tc>
          <w:tcPr>
            <w:tcW w:w="415" w:type="pct"/>
            <w:shd w:val="clear" w:color="auto" w:fill="auto"/>
            <w:vAlign w:val="center"/>
          </w:tcPr>
          <w:p w14:paraId="6B23E9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038A72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38FF81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4281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5190EA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3ED9DE5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特种设备及专业要求的设备设计、施工资质</w:t>
            </w:r>
          </w:p>
        </w:tc>
        <w:tc>
          <w:tcPr>
            <w:tcW w:w="415" w:type="pct"/>
            <w:shd w:val="clear" w:color="auto" w:fill="auto"/>
            <w:vAlign w:val="center"/>
          </w:tcPr>
          <w:p w14:paraId="5C7D30E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48B08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45E5F59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4542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restart"/>
            <w:shd w:val="clear" w:color="auto" w:fill="auto"/>
            <w:vAlign w:val="center"/>
          </w:tcPr>
          <w:p w14:paraId="3CD47B0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设备调试～SOP</w:t>
            </w:r>
          </w:p>
        </w:tc>
        <w:tc>
          <w:tcPr>
            <w:tcW w:w="2758" w:type="pct"/>
            <w:shd w:val="clear" w:color="auto" w:fill="auto"/>
            <w:vAlign w:val="center"/>
          </w:tcPr>
          <w:p w14:paraId="49E2D6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各设备操作说明</w:t>
            </w:r>
          </w:p>
        </w:tc>
        <w:tc>
          <w:tcPr>
            <w:tcW w:w="415" w:type="pct"/>
            <w:shd w:val="clear" w:color="auto" w:fill="auto"/>
            <w:vAlign w:val="center"/>
          </w:tcPr>
          <w:p w14:paraId="54EC7CB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3FE7FA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21B6F21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4030B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10CE6B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1B9744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各设备点检、保养说明书</w:t>
            </w:r>
          </w:p>
        </w:tc>
        <w:tc>
          <w:tcPr>
            <w:tcW w:w="415" w:type="pct"/>
            <w:shd w:val="clear" w:color="auto" w:fill="auto"/>
            <w:vAlign w:val="center"/>
          </w:tcPr>
          <w:p w14:paraId="271FDBA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0DB9D9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78E7FD5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03F2C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3AAE23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52040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电气原理图、硬件接线图</w:t>
            </w:r>
          </w:p>
        </w:tc>
        <w:tc>
          <w:tcPr>
            <w:tcW w:w="415" w:type="pct"/>
            <w:shd w:val="clear" w:color="auto" w:fill="auto"/>
            <w:vAlign w:val="center"/>
          </w:tcPr>
          <w:p w14:paraId="68D835C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793F94D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1CFE89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5680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694FEAA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BAAA75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PLC最终程序（中文注释）、HMI画面程序、</w:t>
            </w:r>
          </w:p>
        </w:tc>
        <w:tc>
          <w:tcPr>
            <w:tcW w:w="415" w:type="pct"/>
            <w:shd w:val="clear" w:color="auto" w:fill="auto"/>
            <w:vAlign w:val="center"/>
          </w:tcPr>
          <w:p w14:paraId="19D4A7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21FF5E0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2B53921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2B65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169D01E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8C88B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调试、试运转记录</w:t>
            </w:r>
          </w:p>
        </w:tc>
        <w:tc>
          <w:tcPr>
            <w:tcW w:w="415" w:type="pct"/>
            <w:shd w:val="clear" w:color="auto" w:fill="auto"/>
            <w:vAlign w:val="center"/>
          </w:tcPr>
          <w:p w14:paraId="662881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578B959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336A76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BB5D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6DB56F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602DB72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参数设定记录</w:t>
            </w:r>
          </w:p>
        </w:tc>
        <w:tc>
          <w:tcPr>
            <w:tcW w:w="415" w:type="pct"/>
            <w:shd w:val="clear" w:color="auto" w:fill="auto"/>
            <w:vAlign w:val="center"/>
          </w:tcPr>
          <w:p w14:paraId="0D770E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04970E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37D596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0125D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1451512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514611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电气绝缘检测记录</w:t>
            </w:r>
          </w:p>
        </w:tc>
        <w:tc>
          <w:tcPr>
            <w:tcW w:w="415" w:type="pct"/>
            <w:shd w:val="clear" w:color="auto" w:fill="auto"/>
            <w:vAlign w:val="center"/>
          </w:tcPr>
          <w:p w14:paraId="649778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03154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6ABD67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530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7094CF3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7146BD6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异常记录</w:t>
            </w:r>
          </w:p>
        </w:tc>
        <w:tc>
          <w:tcPr>
            <w:tcW w:w="415" w:type="pct"/>
            <w:shd w:val="clear" w:color="auto" w:fill="auto"/>
            <w:vAlign w:val="center"/>
          </w:tcPr>
          <w:p w14:paraId="6F119B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07DA981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0041C92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24EC4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2789E15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3353B23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设备说明书</w:t>
            </w:r>
          </w:p>
        </w:tc>
        <w:tc>
          <w:tcPr>
            <w:tcW w:w="415" w:type="pct"/>
            <w:shd w:val="clear" w:color="auto" w:fill="auto"/>
            <w:vAlign w:val="center"/>
          </w:tcPr>
          <w:p w14:paraId="1401CC2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378471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675B22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473E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6AC5BC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0717A4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备件清单（包括型号、厂家、现场安装数量）</w:t>
            </w:r>
          </w:p>
        </w:tc>
        <w:tc>
          <w:tcPr>
            <w:tcW w:w="415" w:type="pct"/>
            <w:shd w:val="clear" w:color="auto" w:fill="auto"/>
            <w:vAlign w:val="center"/>
          </w:tcPr>
          <w:p w14:paraId="0573B06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527E8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1DD9BA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071F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3" w:hRule="exact"/>
          <w:jc w:val="center"/>
        </w:trPr>
        <w:tc>
          <w:tcPr>
            <w:tcW w:w="492" w:type="pct"/>
            <w:vMerge w:val="restart"/>
            <w:shd w:val="clear" w:color="auto" w:fill="auto"/>
            <w:vAlign w:val="center"/>
          </w:tcPr>
          <w:p w14:paraId="0DDC07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lang w:eastAsia="zh-CN"/>
              </w:rPr>
            </w:pPr>
            <w:r>
              <w:rPr>
                <w:rFonts w:hint="eastAsia" w:ascii="宋体" w:hAnsi="宋体" w:eastAsia="宋体" w:cs="宋体"/>
                <w:sz w:val="24"/>
                <w:szCs w:val="24"/>
              </w:rPr>
              <w:t>最</w:t>
            </w:r>
            <w:r>
              <w:rPr>
                <w:rFonts w:hint="eastAsia" w:ascii="宋体" w:hAnsi="宋体" w:cs="宋体"/>
                <w:sz w:val="24"/>
                <w:szCs w:val="24"/>
                <w:lang w:eastAsia="zh-CN"/>
              </w:rPr>
              <w:t>调试验收</w:t>
            </w:r>
          </w:p>
        </w:tc>
        <w:tc>
          <w:tcPr>
            <w:tcW w:w="2758" w:type="pct"/>
            <w:shd w:val="clear" w:color="auto" w:fill="auto"/>
            <w:vAlign w:val="center"/>
          </w:tcPr>
          <w:p w14:paraId="2D0C48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设备竣工图</w:t>
            </w:r>
          </w:p>
        </w:tc>
        <w:tc>
          <w:tcPr>
            <w:tcW w:w="415" w:type="pct"/>
            <w:shd w:val="clear" w:color="auto" w:fill="auto"/>
            <w:vAlign w:val="center"/>
          </w:tcPr>
          <w:p w14:paraId="787D39D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0C71F8B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540612B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7C80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998B9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5C8627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最终PLC程序、HMI监控画面程序</w:t>
            </w:r>
          </w:p>
        </w:tc>
        <w:tc>
          <w:tcPr>
            <w:tcW w:w="415" w:type="pct"/>
            <w:shd w:val="clear" w:color="auto" w:fill="auto"/>
            <w:vAlign w:val="center"/>
          </w:tcPr>
          <w:p w14:paraId="5A32A46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9FB3E5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5F8DA5F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3103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F2BF88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6D0B72D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PLC正版编程软件、HMI画面制作软件</w:t>
            </w:r>
          </w:p>
        </w:tc>
        <w:tc>
          <w:tcPr>
            <w:tcW w:w="415" w:type="pct"/>
            <w:shd w:val="clear" w:color="auto" w:fill="auto"/>
            <w:vAlign w:val="center"/>
          </w:tcPr>
          <w:p w14:paraId="4BB894C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4F03CAC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36C5BB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309B3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2024BD4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A2DFB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最终电气接线图（和现场保持一致）</w:t>
            </w:r>
          </w:p>
        </w:tc>
        <w:tc>
          <w:tcPr>
            <w:tcW w:w="415" w:type="pct"/>
            <w:shd w:val="clear" w:color="auto" w:fill="auto"/>
            <w:vAlign w:val="center"/>
          </w:tcPr>
          <w:p w14:paraId="734BD4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0A86A87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0806EBA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1263A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4036DCC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4341E8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所有系列型号变频器等功能仪表设定参数表</w:t>
            </w:r>
          </w:p>
        </w:tc>
        <w:tc>
          <w:tcPr>
            <w:tcW w:w="415" w:type="pct"/>
            <w:shd w:val="clear" w:color="auto" w:fill="auto"/>
            <w:vAlign w:val="center"/>
          </w:tcPr>
          <w:p w14:paraId="3F48239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298B77E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55002B3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609F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0A4FF20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1DEF71F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现场网络布置，I/O地址分配表</w:t>
            </w:r>
          </w:p>
        </w:tc>
        <w:tc>
          <w:tcPr>
            <w:tcW w:w="415" w:type="pct"/>
            <w:shd w:val="clear" w:color="auto" w:fill="auto"/>
            <w:vAlign w:val="center"/>
          </w:tcPr>
          <w:p w14:paraId="61D6480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36F9D9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74A156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4793F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69A09E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2A5A0A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所有设计图、机械及电气原理图</w:t>
            </w:r>
          </w:p>
        </w:tc>
        <w:tc>
          <w:tcPr>
            <w:tcW w:w="415" w:type="pct"/>
            <w:shd w:val="clear" w:color="auto" w:fill="auto"/>
            <w:vAlign w:val="center"/>
          </w:tcPr>
          <w:p w14:paraId="3F5E96F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0C451D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6FD99C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r w14:paraId="5E327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jc w:val="center"/>
        </w:trPr>
        <w:tc>
          <w:tcPr>
            <w:tcW w:w="492" w:type="pct"/>
            <w:vMerge w:val="continue"/>
            <w:shd w:val="clear" w:color="auto" w:fill="auto"/>
            <w:vAlign w:val="center"/>
          </w:tcPr>
          <w:p w14:paraId="3EDF7C8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c>
          <w:tcPr>
            <w:tcW w:w="2758" w:type="pct"/>
            <w:shd w:val="clear" w:color="auto" w:fill="auto"/>
            <w:vAlign w:val="center"/>
          </w:tcPr>
          <w:p w14:paraId="2FA5BAD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易损机械部件图</w:t>
            </w:r>
          </w:p>
        </w:tc>
        <w:tc>
          <w:tcPr>
            <w:tcW w:w="415" w:type="pct"/>
            <w:shd w:val="clear" w:color="auto" w:fill="auto"/>
            <w:vAlign w:val="center"/>
          </w:tcPr>
          <w:p w14:paraId="00C03B2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w:t>
            </w:r>
          </w:p>
        </w:tc>
        <w:tc>
          <w:tcPr>
            <w:tcW w:w="667" w:type="pct"/>
            <w:shd w:val="clear" w:color="auto" w:fill="auto"/>
            <w:vAlign w:val="center"/>
          </w:tcPr>
          <w:p w14:paraId="19FC90F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份</w:t>
            </w:r>
          </w:p>
        </w:tc>
        <w:tc>
          <w:tcPr>
            <w:tcW w:w="666" w:type="pct"/>
            <w:shd w:val="clear" w:color="auto" w:fill="auto"/>
            <w:vAlign w:val="center"/>
          </w:tcPr>
          <w:p w14:paraId="41CC00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szCs w:val="24"/>
              </w:rPr>
            </w:pPr>
          </w:p>
        </w:tc>
      </w:tr>
    </w:tbl>
    <w:p w14:paraId="3C8276E8">
      <w:pPr>
        <w:pStyle w:val="17"/>
        <w:keepNext w:val="0"/>
        <w:keepLines w:val="0"/>
        <w:pageBreakBefore w:val="0"/>
        <w:widowControl/>
        <w:numPr>
          <w:ilvl w:val="0"/>
          <w:numId w:val="25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所有设备的流程图、原理图、总图、断面图、零部件的安装制造图CAD可编辑版、各设备参数的设计、材料汇总表、外购件汇总表（外购件品牌根据</w:t>
      </w:r>
      <w:r>
        <w:rPr>
          <w:rFonts w:hint="eastAsia" w:ascii="宋体" w:hAnsi="宋体" w:cs="宋体"/>
          <w:sz w:val="24"/>
          <w:szCs w:val="24"/>
          <w:lang w:eastAsia="zh-CN"/>
        </w:rPr>
        <w:t>招标人</w:t>
      </w:r>
      <w:r>
        <w:rPr>
          <w:rFonts w:hint="eastAsia" w:ascii="宋体" w:hAnsi="宋体" w:eastAsia="宋体" w:cs="宋体"/>
          <w:sz w:val="24"/>
          <w:szCs w:val="24"/>
        </w:rPr>
        <w:t>要求执行）、标准件汇总表、各主要工序核算依据等施工图纸资料均应提供给</w:t>
      </w:r>
      <w:r>
        <w:rPr>
          <w:rFonts w:hint="eastAsia" w:ascii="宋体" w:hAnsi="宋体" w:cs="宋体"/>
          <w:sz w:val="24"/>
          <w:szCs w:val="24"/>
          <w:lang w:eastAsia="zh-CN"/>
        </w:rPr>
        <w:t>招标人</w:t>
      </w:r>
      <w:r>
        <w:rPr>
          <w:rFonts w:hint="eastAsia" w:ascii="宋体" w:hAnsi="宋体" w:eastAsia="宋体" w:cs="宋体"/>
          <w:sz w:val="24"/>
          <w:szCs w:val="24"/>
        </w:rPr>
        <w:t>（含CAD可编辑电子版和书面版）。</w:t>
      </w:r>
    </w:p>
    <w:p w14:paraId="66E5665F">
      <w:pPr>
        <w:pStyle w:val="17"/>
        <w:keepNext w:val="0"/>
        <w:keepLines w:val="0"/>
        <w:pageBreakBefore w:val="0"/>
        <w:widowControl/>
        <w:numPr>
          <w:ilvl w:val="0"/>
          <w:numId w:val="253"/>
        </w:numPr>
        <w:kinsoku/>
        <w:wordWrap/>
        <w:overflowPunct/>
        <w:topLinePunct w:val="0"/>
        <w:autoSpaceDE/>
        <w:autoSpaceDN/>
        <w:bidi w:val="0"/>
        <w:adjustRightInd w:val="0"/>
        <w:snapToGrid w:val="0"/>
        <w:spacing w:before="0" w:after="0"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cs="宋体"/>
          <w:sz w:val="24"/>
          <w:szCs w:val="24"/>
          <w:lang w:eastAsia="zh-CN"/>
        </w:rPr>
        <w:t>招标人</w:t>
      </w:r>
      <w:r>
        <w:rPr>
          <w:rFonts w:hint="eastAsia" w:ascii="宋体" w:hAnsi="宋体" w:eastAsia="宋体" w:cs="宋体"/>
          <w:sz w:val="24"/>
          <w:szCs w:val="24"/>
        </w:rPr>
        <w:t>需提供详细的设备备件清单及易损件清单，双方确定备件型号/种类/数量。</w:t>
      </w:r>
    </w:p>
    <w:p w14:paraId="52A3C7F8">
      <w:pPr>
        <w:keepNext w:val="0"/>
        <w:keepLines w:val="0"/>
        <w:pageBreakBefore w:val="0"/>
        <w:numPr>
          <w:ilvl w:val="0"/>
          <w:numId w:val="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hint="eastAsia" w:ascii="宋体" w:hAnsi="宋体" w:eastAsia="宋体" w:cs="宋体"/>
          <w:sz w:val="24"/>
          <w:szCs w:val="24"/>
        </w:rPr>
      </w:pPr>
      <w:r>
        <w:rPr>
          <w:rFonts w:hint="eastAsia" w:ascii="宋体" w:hAnsi="宋体" w:cs="宋体"/>
          <w:sz w:val="24"/>
          <w:szCs w:val="24"/>
          <w:lang w:eastAsia="zh-CN"/>
        </w:rPr>
        <w:t>投标人</w:t>
      </w:r>
      <w:r>
        <w:rPr>
          <w:rFonts w:hint="eastAsia" w:ascii="宋体" w:hAnsi="宋体" w:eastAsia="宋体" w:cs="宋体"/>
          <w:sz w:val="24"/>
          <w:szCs w:val="24"/>
        </w:rPr>
        <w:t>应按照</w:t>
      </w:r>
      <w:r>
        <w:rPr>
          <w:rFonts w:hint="eastAsia" w:ascii="宋体" w:hAnsi="宋体" w:cs="宋体"/>
          <w:sz w:val="24"/>
          <w:szCs w:val="24"/>
          <w:lang w:eastAsia="zh-CN"/>
        </w:rPr>
        <w:t>招标人</w:t>
      </w:r>
      <w:r>
        <w:rPr>
          <w:rFonts w:hint="eastAsia" w:ascii="宋体" w:hAnsi="宋体" w:eastAsia="宋体" w:cs="宋体"/>
          <w:sz w:val="24"/>
          <w:szCs w:val="24"/>
        </w:rPr>
        <w:t>指定标准或品牌采购相关零部件及材料。</w:t>
      </w:r>
    </w:p>
    <w:p w14:paraId="2F65CF90">
      <w:pPr>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b/>
          <w:sz w:val="30"/>
          <w:szCs w:val="30"/>
        </w:rPr>
      </w:pPr>
      <w:r>
        <w:rPr>
          <w:rFonts w:hint="eastAsia" w:ascii="宋体" w:hAnsi="宋体" w:eastAsia="宋体" w:cs="宋体"/>
          <w:b/>
          <w:sz w:val="30"/>
          <w:szCs w:val="30"/>
        </w:rPr>
        <w:t>附件五</w:t>
      </w:r>
      <w:r>
        <w:rPr>
          <w:rFonts w:hint="eastAsia" w:ascii="宋体" w:hAnsi="宋体" w:cs="宋体"/>
          <w:b/>
          <w:sz w:val="30"/>
          <w:szCs w:val="30"/>
          <w:lang w:eastAsia="zh-CN"/>
        </w:rPr>
        <w:t>、</w:t>
      </w:r>
      <w:r>
        <w:rPr>
          <w:rFonts w:hint="eastAsia" w:ascii="宋体" w:hAnsi="宋体" w:eastAsia="宋体" w:cs="宋体"/>
          <w:b/>
          <w:sz w:val="30"/>
          <w:szCs w:val="30"/>
        </w:rPr>
        <w:t>涂装车间机械化输送设备技术要求</w:t>
      </w:r>
    </w:p>
    <w:p w14:paraId="3E0CD876">
      <w:pPr>
        <w:pageBreakBefore w:val="0"/>
        <w:numPr>
          <w:ilvl w:val="0"/>
          <w:numId w:val="254"/>
        </w:numPr>
        <w:kinsoku/>
        <w:wordWrap/>
        <w:topLinePunct w:val="0"/>
        <w:bidi w:val="0"/>
        <w:adjustRightInd w:val="0"/>
        <w:snapToGrid w:val="0"/>
        <w:spacing w:afterAutospacing="0" w:line="360" w:lineRule="auto"/>
        <w:ind w:left="0" w:leftChars="0" w:firstLine="0" w:firstLineChars="0"/>
        <w:jc w:val="left"/>
        <w:outlineLvl w:val="0"/>
        <w:rPr>
          <w:rFonts w:hint="eastAsia" w:ascii="宋体" w:hAnsi="宋体" w:eastAsia="宋体" w:cs="宋体"/>
          <w:b/>
          <w:bCs/>
          <w:sz w:val="24"/>
        </w:rPr>
      </w:pPr>
      <w:r>
        <w:rPr>
          <w:rFonts w:hint="eastAsia" w:ascii="宋体" w:hAnsi="宋体" w:eastAsia="宋体" w:cs="宋体"/>
          <w:b/>
          <w:bCs/>
          <w:sz w:val="24"/>
        </w:rPr>
        <w:t>项目前提说明</w:t>
      </w:r>
    </w:p>
    <w:p w14:paraId="273BCEBE">
      <w:pPr>
        <w:pageBreakBefore w:val="0"/>
        <w:numPr>
          <w:ilvl w:val="0"/>
          <w:numId w:val="255"/>
        </w:numPr>
        <w:kinsoku/>
        <w:wordWrap/>
        <w:topLinePunct w:val="0"/>
        <w:bidi w:val="0"/>
        <w:adjustRightInd w:val="0"/>
        <w:snapToGrid w:val="0"/>
        <w:spacing w:afterAutospacing="0" w:line="360" w:lineRule="auto"/>
        <w:ind w:left="0" w:leftChars="0" w:firstLine="0" w:firstLineChars="0"/>
        <w:outlineLvl w:val="1"/>
        <w:rPr>
          <w:rFonts w:hint="eastAsia" w:ascii="宋体" w:hAnsi="宋体" w:eastAsia="宋体" w:cs="宋体"/>
          <w:b/>
          <w:sz w:val="24"/>
        </w:rPr>
      </w:pPr>
      <w:r>
        <w:rPr>
          <w:rFonts w:hint="eastAsia" w:ascii="宋体" w:hAnsi="宋体" w:eastAsia="宋体" w:cs="宋体"/>
          <w:b/>
          <w:sz w:val="24"/>
        </w:rPr>
        <w:t>项目概述</w:t>
      </w:r>
    </w:p>
    <w:p w14:paraId="622DB71D">
      <w:pPr>
        <w:pStyle w:val="263"/>
        <w:pageBreakBefore w:val="0"/>
        <w:numPr>
          <w:ilvl w:val="0"/>
          <w:numId w:val="25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焊装与涂装分工界面到涂装与总装分工界面之间的全部机械化输送设备。</w:t>
      </w:r>
    </w:p>
    <w:p w14:paraId="135BEE70">
      <w:pPr>
        <w:pStyle w:val="263"/>
        <w:pageBreakBefore w:val="0"/>
        <w:numPr>
          <w:ilvl w:val="0"/>
          <w:numId w:val="25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机械化包括（参见涂装车间工艺平面布置图）：前处理双轨小车输送系统、PVC双钩葫芦输送系统，工艺双链输送机、烘干双链输送机、喷漆双链输送机、普通滚床、旋转移行机、旋转滚床、移行机、堆（拆）垛机、定位器、停止器、手推滚床、过桥、盖板、安全防护栏等。</w:t>
      </w:r>
    </w:p>
    <w:p w14:paraId="16B1752B">
      <w:pPr>
        <w:pStyle w:val="263"/>
        <w:pageBreakBefore w:val="0"/>
        <w:numPr>
          <w:ilvl w:val="0"/>
          <w:numId w:val="256"/>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bCs/>
          <w:color w:val="000000" w:themeColor="text1"/>
          <w:kern w:val="0"/>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与焊装，总装设备的转接点的界面的划分：</w:t>
      </w:r>
    </w:p>
    <w:p w14:paraId="72D7340C">
      <w:pPr>
        <w:pStyle w:val="263"/>
        <w:pageBreakBefore w:val="0"/>
        <w:numPr>
          <w:ilvl w:val="0"/>
          <w:numId w:val="257"/>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焊装与涂装分界：AGV搭载车身运至转接工位后采用单梁起重机将车身转挂至电泳橇体，采用人工方式锁紧；AGV输送系统属于焊装车间范围，单梁起重机属于涂装车间范围</w:t>
      </w:r>
    </w:p>
    <w:p w14:paraId="34293524">
      <w:pPr>
        <w:pStyle w:val="263"/>
        <w:pageBreakBefore w:val="0"/>
        <w:numPr>
          <w:ilvl w:val="0"/>
          <w:numId w:val="257"/>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涂装到总装分界：转接工位滚床及橇体定位装置属于涂装车间范围，侧顶机属于总装车间范围</w:t>
      </w:r>
    </w:p>
    <w:p w14:paraId="13B6D763">
      <w:pPr>
        <w:pStyle w:val="263"/>
        <w:pageBreakBefore w:val="0"/>
        <w:numPr>
          <w:ilvl w:val="0"/>
          <w:numId w:val="257"/>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详细参见平面布置图。 </w:t>
      </w:r>
    </w:p>
    <w:p w14:paraId="62FD14A7">
      <w:pPr>
        <w:pageBreakBefore w:val="0"/>
        <w:numPr>
          <w:ilvl w:val="0"/>
          <w:numId w:val="255"/>
        </w:numPr>
        <w:kinsoku/>
        <w:wordWrap/>
        <w:topLinePunct w:val="0"/>
        <w:bidi w:val="0"/>
        <w:adjustRightInd w:val="0"/>
        <w:snapToGrid w:val="0"/>
        <w:spacing w:afterAutospacing="0" w:line="360" w:lineRule="auto"/>
        <w:ind w:left="0" w:leftChars="0" w:firstLine="0" w:firstLineChars="0"/>
        <w:outlineLvl w:val="1"/>
        <w:rPr>
          <w:rFonts w:hint="eastAsia" w:ascii="宋体" w:hAnsi="宋体" w:eastAsia="宋体" w:cs="宋体"/>
          <w:b/>
          <w:sz w:val="24"/>
        </w:rPr>
      </w:pPr>
      <w:r>
        <w:rPr>
          <w:rFonts w:hint="eastAsia" w:ascii="宋体" w:hAnsi="宋体" w:eastAsia="宋体" w:cs="宋体"/>
          <w:b/>
          <w:sz w:val="24"/>
        </w:rPr>
        <w:t>责任说明</w:t>
      </w:r>
    </w:p>
    <w:p w14:paraId="712B184F">
      <w:pPr>
        <w:pStyle w:val="18"/>
        <w:pageBreakBefore w:val="0"/>
        <w:numPr>
          <w:ilvl w:val="0"/>
          <w:numId w:val="2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招标人</w:t>
      </w:r>
      <w:r>
        <w:rPr>
          <w:rFonts w:hint="eastAsia" w:ascii="宋体" w:hAnsi="宋体" w:eastAsia="宋体" w:cs="宋体"/>
          <w:sz w:val="24"/>
          <w:szCs w:val="24"/>
        </w:rPr>
        <w:t>责任</w:t>
      </w:r>
    </w:p>
    <w:p w14:paraId="165257D0">
      <w:pPr>
        <w:pStyle w:val="18"/>
        <w:pageBreakBefore w:val="0"/>
        <w:numPr>
          <w:ilvl w:val="0"/>
          <w:numId w:val="2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提供设计所需的相关产品资料，</w:t>
      </w:r>
      <w:r>
        <w:rPr>
          <w:rFonts w:hint="eastAsia" w:ascii="宋体" w:hAnsi="宋体" w:eastAsia="宋体" w:cs="宋体"/>
          <w:sz w:val="24"/>
          <w:szCs w:val="24"/>
          <w:lang w:eastAsia="zh-CN"/>
        </w:rPr>
        <w:t>投标人</w:t>
      </w:r>
      <w:r>
        <w:rPr>
          <w:rFonts w:hint="eastAsia" w:ascii="宋体" w:hAnsi="宋体" w:eastAsia="宋体" w:cs="宋体"/>
          <w:sz w:val="24"/>
          <w:szCs w:val="24"/>
        </w:rPr>
        <w:t>提出需求样车的数量及用途，由</w:t>
      </w:r>
      <w:r>
        <w:rPr>
          <w:rFonts w:hint="eastAsia" w:ascii="宋体" w:hAnsi="宋体" w:eastAsia="宋体" w:cs="宋体"/>
          <w:sz w:val="24"/>
          <w:szCs w:val="24"/>
          <w:lang w:eastAsia="zh-CN"/>
        </w:rPr>
        <w:t>招标人</w:t>
      </w:r>
      <w:r>
        <w:rPr>
          <w:rFonts w:hint="eastAsia" w:ascii="宋体" w:hAnsi="宋体" w:eastAsia="宋体" w:cs="宋体"/>
          <w:sz w:val="24"/>
          <w:szCs w:val="24"/>
        </w:rPr>
        <w:t>提供样车，</w:t>
      </w:r>
      <w:r>
        <w:rPr>
          <w:rFonts w:hint="eastAsia" w:ascii="宋体" w:hAnsi="宋体" w:eastAsia="宋体" w:cs="宋体"/>
          <w:sz w:val="24"/>
          <w:szCs w:val="24"/>
          <w:lang w:eastAsia="zh-CN"/>
        </w:rPr>
        <w:t>投标人</w:t>
      </w:r>
      <w:r>
        <w:rPr>
          <w:rFonts w:hint="eastAsia" w:ascii="宋体" w:hAnsi="宋体" w:eastAsia="宋体" w:cs="宋体"/>
          <w:sz w:val="24"/>
          <w:szCs w:val="24"/>
        </w:rPr>
        <w:t>负责运送。</w:t>
      </w:r>
    </w:p>
    <w:p w14:paraId="045EC6F5">
      <w:pPr>
        <w:pStyle w:val="18"/>
        <w:pageBreakBefore w:val="0"/>
        <w:numPr>
          <w:ilvl w:val="0"/>
          <w:numId w:val="2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提供工厂批准的润滑油清单，</w:t>
      </w:r>
      <w:r>
        <w:rPr>
          <w:rFonts w:hint="eastAsia" w:ascii="宋体" w:hAnsi="宋体" w:eastAsia="宋体" w:cs="宋体"/>
          <w:sz w:val="24"/>
          <w:szCs w:val="24"/>
          <w:lang w:eastAsia="zh-CN"/>
        </w:rPr>
        <w:t>投标人</w:t>
      </w:r>
      <w:r>
        <w:rPr>
          <w:rFonts w:hint="eastAsia" w:ascii="宋体" w:hAnsi="宋体" w:eastAsia="宋体" w:cs="宋体"/>
          <w:sz w:val="24"/>
          <w:szCs w:val="24"/>
        </w:rPr>
        <w:t>需按照</w:t>
      </w:r>
      <w:r>
        <w:rPr>
          <w:rFonts w:hint="eastAsia" w:ascii="宋体" w:hAnsi="宋体" w:eastAsia="宋体" w:cs="宋体"/>
          <w:sz w:val="24"/>
          <w:szCs w:val="24"/>
          <w:lang w:eastAsia="zh-CN"/>
        </w:rPr>
        <w:t>招标人</w:t>
      </w:r>
      <w:r>
        <w:rPr>
          <w:rFonts w:hint="eastAsia" w:ascii="宋体" w:hAnsi="宋体" w:eastAsia="宋体" w:cs="宋体"/>
          <w:sz w:val="24"/>
          <w:szCs w:val="24"/>
        </w:rPr>
        <w:t>的要求提供润滑油样品供缩孔测试用。</w:t>
      </w:r>
    </w:p>
    <w:p w14:paraId="73BB20F8">
      <w:pPr>
        <w:pStyle w:val="18"/>
        <w:pageBreakBefore w:val="0"/>
        <w:numPr>
          <w:ilvl w:val="0"/>
          <w:numId w:val="2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和</w:t>
      </w:r>
      <w:r>
        <w:rPr>
          <w:rFonts w:hint="eastAsia" w:ascii="宋体" w:hAnsi="宋体" w:eastAsia="宋体" w:cs="宋体"/>
          <w:sz w:val="24"/>
          <w:szCs w:val="24"/>
          <w:lang w:eastAsia="zh-CN"/>
        </w:rPr>
        <w:t>投标人</w:t>
      </w:r>
      <w:r>
        <w:rPr>
          <w:rFonts w:hint="eastAsia" w:ascii="宋体" w:hAnsi="宋体" w:eastAsia="宋体" w:cs="宋体"/>
          <w:sz w:val="24"/>
          <w:szCs w:val="24"/>
        </w:rPr>
        <w:t>一起完成设备出厂验收清单、安装检验清单、设备连续试运行验证清单。</w:t>
      </w:r>
      <w:r>
        <w:rPr>
          <w:rFonts w:hint="eastAsia" w:ascii="宋体" w:hAnsi="宋体" w:eastAsia="宋体" w:cs="宋体"/>
          <w:sz w:val="24"/>
          <w:szCs w:val="24"/>
          <w:lang w:eastAsia="zh-CN"/>
        </w:rPr>
        <w:t>招标人</w:t>
      </w:r>
      <w:r>
        <w:rPr>
          <w:rFonts w:hint="eastAsia" w:ascii="宋体" w:hAnsi="宋体" w:eastAsia="宋体" w:cs="宋体"/>
          <w:sz w:val="24"/>
          <w:szCs w:val="24"/>
        </w:rPr>
        <w:t>负责组织相关人员进行检验并填写检验结果。</w:t>
      </w:r>
    </w:p>
    <w:p w14:paraId="0B8C3353">
      <w:pPr>
        <w:pageBreakBefore w:val="0"/>
        <w:numPr>
          <w:ilvl w:val="0"/>
          <w:numId w:val="258"/>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责任</w:t>
      </w:r>
    </w:p>
    <w:p w14:paraId="7C54CCFA">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一般要求</w:t>
      </w:r>
    </w:p>
    <w:p w14:paraId="2A10DB95">
      <w:pPr>
        <w:pageBreakBefore w:val="0"/>
        <w:numPr>
          <w:ilvl w:val="0"/>
          <w:numId w:val="261"/>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有责任满足技术任务书以及其参考文件中提到的所有要求，但这并不表示这部分要求就是全部要求。</w:t>
      </w:r>
    </w:p>
    <w:p w14:paraId="2596688E">
      <w:pPr>
        <w:pageBreakBefore w:val="0"/>
        <w:numPr>
          <w:ilvl w:val="0"/>
          <w:numId w:val="261"/>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对于焊涂和涂总转接方案，</w:t>
      </w:r>
      <w:r>
        <w:rPr>
          <w:rFonts w:hint="eastAsia" w:ascii="宋体" w:hAnsi="宋体" w:cs="宋体"/>
          <w:sz w:val="24"/>
          <w:lang w:eastAsia="zh-CN"/>
        </w:rPr>
        <w:t>投标人</w:t>
      </w:r>
      <w:r>
        <w:rPr>
          <w:rFonts w:hint="eastAsia" w:ascii="宋体" w:hAnsi="宋体" w:eastAsia="宋体" w:cs="宋体"/>
          <w:sz w:val="24"/>
        </w:rPr>
        <w:t>有责任和义务配合焊装和总装进行设计、联调。</w:t>
      </w:r>
    </w:p>
    <w:p w14:paraId="5DCAD562">
      <w:pPr>
        <w:pageBreakBefore w:val="0"/>
        <w:numPr>
          <w:ilvl w:val="0"/>
          <w:numId w:val="261"/>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必须保证所购钢材的质量符合国家标准；在钢材进料后及时向</w:t>
      </w:r>
      <w:r>
        <w:rPr>
          <w:rFonts w:hint="eastAsia" w:ascii="宋体" w:hAnsi="宋体" w:cs="宋体"/>
          <w:sz w:val="24"/>
          <w:lang w:eastAsia="zh-CN"/>
        </w:rPr>
        <w:t>招标人</w:t>
      </w:r>
      <w:r>
        <w:rPr>
          <w:rFonts w:hint="eastAsia" w:ascii="宋体" w:hAnsi="宋体" w:eastAsia="宋体" w:cs="宋体"/>
          <w:sz w:val="24"/>
        </w:rPr>
        <w:t>提供质量保证书，不允许有明显的缺陷；</w:t>
      </w:r>
      <w:r>
        <w:rPr>
          <w:rFonts w:hint="eastAsia" w:ascii="宋体" w:hAnsi="宋体" w:cs="宋体"/>
          <w:sz w:val="24"/>
          <w:lang w:eastAsia="zh-CN"/>
        </w:rPr>
        <w:t>招标人</w:t>
      </w:r>
      <w:r>
        <w:rPr>
          <w:rFonts w:hint="eastAsia" w:ascii="宋体" w:hAnsi="宋体" w:eastAsia="宋体" w:cs="宋体"/>
          <w:sz w:val="24"/>
        </w:rPr>
        <w:t>有权对</w:t>
      </w:r>
      <w:r>
        <w:rPr>
          <w:rFonts w:hint="eastAsia" w:ascii="宋体" w:hAnsi="宋体" w:cs="宋体"/>
          <w:sz w:val="24"/>
          <w:lang w:eastAsia="zh-CN"/>
        </w:rPr>
        <w:t>投标人</w:t>
      </w:r>
      <w:r>
        <w:rPr>
          <w:rFonts w:hint="eastAsia" w:ascii="宋体" w:hAnsi="宋体" w:eastAsia="宋体" w:cs="宋体"/>
          <w:sz w:val="24"/>
        </w:rPr>
        <w:t>的购货渠道进行监控，发现质量问题，</w:t>
      </w:r>
      <w:r>
        <w:rPr>
          <w:rFonts w:hint="eastAsia" w:ascii="宋体" w:hAnsi="宋体" w:cs="宋体"/>
          <w:sz w:val="24"/>
          <w:lang w:eastAsia="zh-CN"/>
        </w:rPr>
        <w:t>招标人</w:t>
      </w:r>
      <w:r>
        <w:rPr>
          <w:rFonts w:hint="eastAsia" w:ascii="宋体" w:hAnsi="宋体" w:eastAsia="宋体" w:cs="宋体"/>
          <w:sz w:val="24"/>
        </w:rPr>
        <w:t>有权拒绝使用和勒令</w:t>
      </w:r>
      <w:r>
        <w:rPr>
          <w:rFonts w:hint="eastAsia" w:ascii="宋体" w:hAnsi="宋体" w:cs="宋体"/>
          <w:sz w:val="24"/>
          <w:lang w:eastAsia="zh-CN"/>
        </w:rPr>
        <w:t>投标人</w:t>
      </w:r>
      <w:r>
        <w:rPr>
          <w:rFonts w:hint="eastAsia" w:ascii="宋体" w:hAnsi="宋体" w:eastAsia="宋体" w:cs="宋体"/>
          <w:sz w:val="24"/>
        </w:rPr>
        <w:t>停工，由此造成的损失由</w:t>
      </w:r>
      <w:r>
        <w:rPr>
          <w:rFonts w:hint="eastAsia" w:ascii="宋体" w:hAnsi="宋体" w:cs="宋体"/>
          <w:sz w:val="24"/>
          <w:lang w:eastAsia="zh-CN"/>
        </w:rPr>
        <w:t>投标人</w:t>
      </w:r>
      <w:r>
        <w:rPr>
          <w:rFonts w:hint="eastAsia" w:ascii="宋体" w:hAnsi="宋体" w:eastAsia="宋体" w:cs="宋体"/>
          <w:sz w:val="24"/>
        </w:rPr>
        <w:t>承担。</w:t>
      </w:r>
    </w:p>
    <w:p w14:paraId="14AD9A43">
      <w:pPr>
        <w:pageBreakBefore w:val="0"/>
        <w:numPr>
          <w:ilvl w:val="0"/>
          <w:numId w:val="261"/>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kern w:val="0"/>
          <w:sz w:val="24"/>
        </w:rPr>
        <w:t>要提供一个全新、安全的工作可靠的输送系统，且系统应符合合同目的及相应的标准</w:t>
      </w:r>
      <w:r>
        <w:rPr>
          <w:rFonts w:hint="eastAsia" w:ascii="宋体" w:hAnsi="宋体" w:eastAsia="宋体" w:cs="宋体"/>
          <w:sz w:val="24"/>
        </w:rPr>
        <w:t>。</w:t>
      </w:r>
    </w:p>
    <w:p w14:paraId="37635BAB">
      <w:pPr>
        <w:pageBreakBefore w:val="0"/>
        <w:numPr>
          <w:ilvl w:val="0"/>
          <w:numId w:val="261"/>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机械化输送系统生产组织模拟：根据不同的生产组织方式模拟生产时工件物流状态，优化生产线设计并为未来生产组织管理运行提供指导；</w:t>
      </w:r>
    </w:p>
    <w:p w14:paraId="2226CF54">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控制设备</w:t>
      </w:r>
    </w:p>
    <w:p w14:paraId="32953529">
      <w:pPr>
        <w:pageBreakBefore w:val="0"/>
        <w:numPr>
          <w:ilvl w:val="0"/>
          <w:numId w:val="262"/>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负责采购和安装所有控制设备和设施。</w:t>
      </w:r>
    </w:p>
    <w:p w14:paraId="5970CFEE">
      <w:pPr>
        <w:pageBreakBefore w:val="0"/>
        <w:numPr>
          <w:ilvl w:val="0"/>
          <w:numId w:val="262"/>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负责提供和安装所有的终端编程器，或其它用于设置/诊断输送系统和部件的必要设备。</w:t>
      </w:r>
    </w:p>
    <w:p w14:paraId="2E4EBACC">
      <w:pPr>
        <w:pageBreakBefore w:val="0"/>
        <w:numPr>
          <w:ilvl w:val="0"/>
          <w:numId w:val="262"/>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负责完全集成所有的控制设备和系统，包括集成所有的工艺设备。</w:t>
      </w:r>
      <w:r>
        <w:rPr>
          <w:rFonts w:hint="eastAsia" w:ascii="宋体" w:hAnsi="宋体" w:cs="宋体"/>
          <w:sz w:val="24"/>
          <w:lang w:eastAsia="zh-CN"/>
        </w:rPr>
        <w:t>投标人</w:t>
      </w:r>
      <w:r>
        <w:rPr>
          <w:rFonts w:hint="eastAsia" w:ascii="宋体" w:hAnsi="宋体" w:eastAsia="宋体" w:cs="宋体"/>
          <w:sz w:val="24"/>
        </w:rPr>
        <w:t>有责任为</w:t>
      </w:r>
      <w:r>
        <w:rPr>
          <w:rFonts w:hint="eastAsia" w:ascii="宋体" w:hAnsi="宋体" w:cs="宋体"/>
          <w:sz w:val="24"/>
          <w:lang w:eastAsia="zh-CN"/>
        </w:rPr>
        <w:t>招标人</w:t>
      </w:r>
      <w:r>
        <w:rPr>
          <w:rFonts w:hint="eastAsia" w:ascii="宋体" w:hAnsi="宋体" w:eastAsia="宋体" w:cs="宋体"/>
          <w:sz w:val="24"/>
        </w:rPr>
        <w:t>的分包商提供所有的硬件及软件接口。</w:t>
      </w:r>
    </w:p>
    <w:p w14:paraId="26625476">
      <w:pPr>
        <w:pageBreakBefore w:val="0"/>
        <w:numPr>
          <w:ilvl w:val="0"/>
          <w:numId w:val="262"/>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在项目相应阶段提供完整设备参数表，需包含但不限于设备编号、安装位置、主要尺寸、减速电机参数、变频器参数、速度、时序分析图等。</w:t>
      </w:r>
    </w:p>
    <w:p w14:paraId="65BAF33B">
      <w:pPr>
        <w:pageBreakBefore w:val="0"/>
        <w:numPr>
          <w:ilvl w:val="0"/>
          <w:numId w:val="262"/>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调试验收</w:t>
      </w:r>
      <w:r>
        <w:rPr>
          <w:rFonts w:hint="eastAsia" w:ascii="宋体" w:hAnsi="宋体" w:eastAsia="宋体" w:cs="宋体"/>
          <w:sz w:val="24"/>
        </w:rPr>
        <w:t>前润滑油脂的提供，并在</w:t>
      </w:r>
      <w:r>
        <w:rPr>
          <w:rFonts w:hint="eastAsia" w:ascii="宋体" w:hAnsi="宋体" w:cs="宋体"/>
          <w:sz w:val="24"/>
          <w:lang w:eastAsia="zh-CN"/>
        </w:rPr>
        <w:t>调试验收</w:t>
      </w:r>
      <w:r>
        <w:rPr>
          <w:rFonts w:hint="eastAsia" w:ascii="宋体" w:hAnsi="宋体" w:eastAsia="宋体" w:cs="宋体"/>
          <w:sz w:val="24"/>
        </w:rPr>
        <w:t>时完成最后一次润滑且润滑油箱内润滑油液位不低于4/5满液位。</w:t>
      </w:r>
    </w:p>
    <w:p w14:paraId="1D403A7E">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现场察看</w:t>
      </w:r>
    </w:p>
    <w:p w14:paraId="7F416DAD">
      <w:pPr>
        <w:pageBreakBefore w:val="0"/>
        <w:numPr>
          <w:ilvl w:val="0"/>
          <w:numId w:val="263"/>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须现场察看</w:t>
      </w:r>
      <w:r>
        <w:rPr>
          <w:rFonts w:hint="eastAsia" w:ascii="宋体" w:hAnsi="宋体" w:cs="宋体"/>
          <w:sz w:val="24"/>
          <w:lang w:eastAsia="zh-CN"/>
        </w:rPr>
        <w:t>招标人</w:t>
      </w:r>
      <w:r>
        <w:rPr>
          <w:rFonts w:hint="eastAsia" w:ascii="宋体" w:hAnsi="宋体" w:eastAsia="宋体" w:cs="宋体"/>
          <w:sz w:val="24"/>
        </w:rPr>
        <w:t>在机械化系统里要求的整个项目工作范围。</w:t>
      </w:r>
    </w:p>
    <w:p w14:paraId="74562F5E">
      <w:pPr>
        <w:pageBreakBefore w:val="0"/>
        <w:numPr>
          <w:ilvl w:val="0"/>
          <w:numId w:val="263"/>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须察看现场条件并确定必要的干涉位置以确认安装工作能够进行。</w:t>
      </w:r>
    </w:p>
    <w:p w14:paraId="06361660">
      <w:pPr>
        <w:pageBreakBefore w:val="0"/>
        <w:numPr>
          <w:ilvl w:val="0"/>
          <w:numId w:val="263"/>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建筑墙柱上/下的公用管道的具体位置由</w:t>
      </w:r>
      <w:r>
        <w:rPr>
          <w:rFonts w:hint="eastAsia" w:ascii="宋体" w:hAnsi="宋体" w:cs="宋体"/>
          <w:sz w:val="24"/>
          <w:lang w:eastAsia="zh-CN"/>
        </w:rPr>
        <w:t>投标人</w:t>
      </w:r>
      <w:r>
        <w:rPr>
          <w:rFonts w:hint="eastAsia" w:ascii="宋体" w:hAnsi="宋体" w:eastAsia="宋体" w:cs="宋体"/>
          <w:sz w:val="24"/>
        </w:rPr>
        <w:t>确认。输送设备安装后不能与公用管道干涉，如在工作范围中未作特别说明，公用管道的改动由</w:t>
      </w:r>
      <w:r>
        <w:rPr>
          <w:rFonts w:hint="eastAsia" w:ascii="宋体" w:hAnsi="宋体" w:cs="宋体"/>
          <w:sz w:val="24"/>
          <w:lang w:eastAsia="zh-CN"/>
        </w:rPr>
        <w:t>投标人</w:t>
      </w:r>
      <w:r>
        <w:rPr>
          <w:rFonts w:hint="eastAsia" w:ascii="宋体" w:hAnsi="宋体" w:eastAsia="宋体" w:cs="宋体"/>
          <w:sz w:val="24"/>
        </w:rPr>
        <w:t>负责。</w:t>
      </w:r>
    </w:p>
    <w:p w14:paraId="41B52D92">
      <w:pPr>
        <w:pageBreakBefore w:val="0"/>
        <w:numPr>
          <w:ilvl w:val="0"/>
          <w:numId w:val="263"/>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不得擅自对干涉部位施工，施工前需得到</w:t>
      </w:r>
      <w:r>
        <w:rPr>
          <w:rFonts w:hint="eastAsia" w:ascii="宋体" w:hAnsi="宋体" w:cs="宋体"/>
          <w:sz w:val="24"/>
          <w:lang w:eastAsia="zh-CN"/>
        </w:rPr>
        <w:t>招标人</w:t>
      </w:r>
      <w:r>
        <w:rPr>
          <w:rFonts w:hint="eastAsia" w:ascii="宋体" w:hAnsi="宋体" w:eastAsia="宋体" w:cs="宋体"/>
          <w:sz w:val="24"/>
        </w:rPr>
        <w:t>的批准。</w:t>
      </w:r>
    </w:p>
    <w:p w14:paraId="4AF681B3">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现场工作</w:t>
      </w:r>
    </w:p>
    <w:p w14:paraId="53BD9656">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须按照</w:t>
      </w:r>
      <w:r>
        <w:rPr>
          <w:rFonts w:hint="eastAsia" w:ascii="宋体" w:hAnsi="宋体" w:cs="宋体"/>
          <w:sz w:val="24"/>
          <w:lang w:eastAsia="zh-CN"/>
        </w:rPr>
        <w:t>招标人</w:t>
      </w:r>
      <w:r>
        <w:rPr>
          <w:rFonts w:hint="eastAsia" w:ascii="宋体" w:hAnsi="宋体" w:eastAsia="宋体" w:cs="宋体"/>
          <w:sz w:val="24"/>
        </w:rPr>
        <w:t>要求布置现场办公室。</w:t>
      </w:r>
    </w:p>
    <w:p w14:paraId="388BF55A">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须清洁项目工作现场。</w:t>
      </w:r>
    </w:p>
    <w:p w14:paraId="4E040FED">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任何造成的损坏，</w:t>
      </w:r>
      <w:r>
        <w:rPr>
          <w:rFonts w:hint="eastAsia" w:ascii="宋体" w:hAnsi="宋体" w:cs="宋体"/>
          <w:sz w:val="24"/>
          <w:lang w:eastAsia="zh-CN"/>
        </w:rPr>
        <w:t>投标人</w:t>
      </w:r>
      <w:r>
        <w:rPr>
          <w:rFonts w:hint="eastAsia" w:ascii="宋体" w:hAnsi="宋体" w:eastAsia="宋体" w:cs="宋体"/>
          <w:sz w:val="24"/>
        </w:rPr>
        <w:t>须按照</w:t>
      </w:r>
      <w:r>
        <w:rPr>
          <w:rFonts w:hint="eastAsia" w:ascii="宋体" w:hAnsi="宋体" w:cs="宋体"/>
          <w:sz w:val="24"/>
          <w:lang w:eastAsia="zh-CN"/>
        </w:rPr>
        <w:t>招标人</w:t>
      </w:r>
      <w:r>
        <w:rPr>
          <w:rFonts w:hint="eastAsia" w:ascii="宋体" w:hAnsi="宋体" w:eastAsia="宋体" w:cs="宋体"/>
          <w:sz w:val="24"/>
        </w:rPr>
        <w:t>的要求进行维修或更换。</w:t>
      </w:r>
    </w:p>
    <w:p w14:paraId="5F6176D4">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按照</w:t>
      </w:r>
      <w:r>
        <w:rPr>
          <w:rFonts w:hint="eastAsia" w:ascii="宋体" w:hAnsi="宋体" w:cs="宋体"/>
          <w:sz w:val="24"/>
          <w:lang w:eastAsia="zh-CN"/>
        </w:rPr>
        <w:t>招标人</w:t>
      </w:r>
      <w:r>
        <w:rPr>
          <w:rFonts w:hint="eastAsia" w:ascii="宋体" w:hAnsi="宋体" w:eastAsia="宋体" w:cs="宋体"/>
          <w:sz w:val="24"/>
        </w:rPr>
        <w:t>的要求，</w:t>
      </w:r>
      <w:r>
        <w:rPr>
          <w:rFonts w:hint="eastAsia" w:ascii="宋体" w:hAnsi="宋体" w:cs="宋体"/>
          <w:sz w:val="24"/>
          <w:lang w:eastAsia="zh-CN"/>
        </w:rPr>
        <w:t>投标人</w:t>
      </w:r>
      <w:r>
        <w:rPr>
          <w:rFonts w:hint="eastAsia" w:ascii="宋体" w:hAnsi="宋体" w:eastAsia="宋体" w:cs="宋体"/>
          <w:sz w:val="24"/>
        </w:rPr>
        <w:t>须准备并提交给</w:t>
      </w:r>
      <w:r>
        <w:rPr>
          <w:rFonts w:hint="eastAsia" w:ascii="宋体" w:hAnsi="宋体" w:cs="宋体"/>
          <w:sz w:val="24"/>
          <w:lang w:eastAsia="zh-CN"/>
        </w:rPr>
        <w:t>招标人</w:t>
      </w:r>
      <w:r>
        <w:rPr>
          <w:rFonts w:hint="eastAsia" w:ascii="宋体" w:hAnsi="宋体" w:eastAsia="宋体" w:cs="宋体"/>
          <w:sz w:val="24"/>
        </w:rPr>
        <w:t>工作日志，包括工作日志须同时包括现场的人力资源情况</w:t>
      </w:r>
    </w:p>
    <w:p w14:paraId="3FFC4E39">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须按照</w:t>
      </w:r>
      <w:r>
        <w:rPr>
          <w:rFonts w:hint="eastAsia" w:ascii="宋体" w:hAnsi="宋体" w:cs="宋体"/>
          <w:sz w:val="24"/>
          <w:lang w:eastAsia="zh-CN"/>
        </w:rPr>
        <w:t>招标人</w:t>
      </w:r>
      <w:r>
        <w:rPr>
          <w:rFonts w:hint="eastAsia" w:ascii="宋体" w:hAnsi="宋体" w:eastAsia="宋体" w:cs="宋体"/>
          <w:sz w:val="24"/>
        </w:rPr>
        <w:t>的要求提供所有工艺设备需要的隔离栏。</w:t>
      </w:r>
    </w:p>
    <w:p w14:paraId="55DB2DFF">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负责提供所有安装活动所需要的临时照明设备。</w:t>
      </w:r>
    </w:p>
    <w:p w14:paraId="7D317B39">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所使用的无线对讲机频率须不同于</w:t>
      </w:r>
      <w:r>
        <w:rPr>
          <w:rFonts w:hint="eastAsia" w:ascii="宋体" w:hAnsi="宋体" w:cs="宋体"/>
          <w:sz w:val="24"/>
          <w:lang w:eastAsia="zh-CN"/>
        </w:rPr>
        <w:t>招标人</w:t>
      </w:r>
      <w:r>
        <w:rPr>
          <w:rFonts w:hint="eastAsia" w:ascii="宋体" w:hAnsi="宋体" w:eastAsia="宋体" w:cs="宋体"/>
          <w:sz w:val="24"/>
        </w:rPr>
        <w:t>所使用的频率。</w:t>
      </w:r>
    </w:p>
    <w:p w14:paraId="7C1466AE">
      <w:pPr>
        <w:pageBreakBefore w:val="0"/>
        <w:numPr>
          <w:ilvl w:val="0"/>
          <w:numId w:val="264"/>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lang w:val="en-GB"/>
        </w:rPr>
      </w:pPr>
      <w:r>
        <w:rPr>
          <w:rFonts w:hint="eastAsia" w:ascii="宋体" w:hAnsi="宋体" w:cs="宋体"/>
          <w:sz w:val="24"/>
          <w:lang w:eastAsia="zh-CN"/>
        </w:rPr>
        <w:t>投标人</w:t>
      </w:r>
      <w:r>
        <w:rPr>
          <w:rFonts w:hint="eastAsia" w:ascii="宋体" w:hAnsi="宋体" w:eastAsia="宋体" w:cs="宋体"/>
          <w:sz w:val="24"/>
        </w:rPr>
        <w:t>负责提供安全工作所须的围栏及设备,在不能使用围栏的地方，要求提供警示标识，例如警示牌、标识危险边界的黄色或黄黑相间线条等。</w:t>
      </w:r>
    </w:p>
    <w:p w14:paraId="4E20697B">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运输</w:t>
      </w:r>
    </w:p>
    <w:p w14:paraId="388002AC">
      <w:pPr>
        <w:pageBreakBefore w:val="0"/>
        <w:numPr>
          <w:ilvl w:val="0"/>
          <w:numId w:val="265"/>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在运输设备前，须提供所运输设备的清单，设备包装完好,达到运输安全要求。所有设备、PLC和电气柜等都要经过双方共同验收和测试后方能发货。</w:t>
      </w:r>
    </w:p>
    <w:p w14:paraId="5A574CD3">
      <w:pPr>
        <w:pageBreakBefore w:val="0"/>
        <w:numPr>
          <w:ilvl w:val="0"/>
          <w:numId w:val="265"/>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设备和材料的运输，由</w:t>
      </w:r>
      <w:r>
        <w:rPr>
          <w:rFonts w:hint="eastAsia" w:ascii="宋体" w:hAnsi="宋体" w:cs="宋体"/>
          <w:sz w:val="24"/>
          <w:lang w:eastAsia="zh-CN"/>
        </w:rPr>
        <w:t>投标人</w:t>
      </w:r>
      <w:r>
        <w:rPr>
          <w:rFonts w:hint="eastAsia" w:ascii="宋体" w:hAnsi="宋体" w:eastAsia="宋体" w:cs="宋体"/>
          <w:sz w:val="24"/>
        </w:rPr>
        <w:t>负责。</w:t>
      </w:r>
    </w:p>
    <w:p w14:paraId="465EB66D">
      <w:pPr>
        <w:pageBreakBefore w:val="0"/>
        <w:numPr>
          <w:ilvl w:val="0"/>
          <w:numId w:val="265"/>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到现场后，</w:t>
      </w:r>
      <w:r>
        <w:rPr>
          <w:rFonts w:hint="eastAsia" w:ascii="宋体" w:hAnsi="宋体" w:cs="宋体"/>
          <w:sz w:val="24"/>
          <w:lang w:eastAsia="zh-CN"/>
        </w:rPr>
        <w:t>投标人</w:t>
      </w:r>
      <w:r>
        <w:rPr>
          <w:rFonts w:hint="eastAsia" w:ascii="宋体" w:hAnsi="宋体" w:eastAsia="宋体" w:cs="宋体"/>
          <w:sz w:val="24"/>
        </w:rPr>
        <w:t>要做好相应的设备保护措施，防止设备被损坏和污染。</w:t>
      </w:r>
    </w:p>
    <w:p w14:paraId="0281F73A">
      <w:pPr>
        <w:pageBreakBefore w:val="0"/>
        <w:numPr>
          <w:ilvl w:val="0"/>
          <w:numId w:val="265"/>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设备在工厂预组装前，需要对零部件彻底清洁，以免现场安装后影响喷涂质量。</w:t>
      </w:r>
    </w:p>
    <w:p w14:paraId="474AA122">
      <w:pPr>
        <w:pageBreakBefore w:val="0"/>
        <w:numPr>
          <w:ilvl w:val="0"/>
          <w:numId w:val="265"/>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输送设备链条发运到现场安装前，需要彻底清洗链条上的防锈油，并涂抹测试合格的防锈油或高温润滑油（脂）</w:t>
      </w:r>
    </w:p>
    <w:p w14:paraId="78DFE099">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输送设备验证</w:t>
      </w:r>
    </w:p>
    <w:p w14:paraId="135B000F">
      <w:pPr>
        <w:pageBreakBefore w:val="0"/>
        <w:numPr>
          <w:ilvl w:val="0"/>
          <w:numId w:val="266"/>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滑橇原型须在</w:t>
      </w:r>
      <w:r>
        <w:rPr>
          <w:rFonts w:hint="eastAsia" w:ascii="宋体" w:hAnsi="宋体" w:cs="宋体"/>
          <w:sz w:val="24"/>
          <w:lang w:eastAsia="zh-CN"/>
        </w:rPr>
        <w:t>投标人</w:t>
      </w:r>
      <w:r>
        <w:rPr>
          <w:rFonts w:hint="eastAsia" w:ascii="宋体" w:hAnsi="宋体" w:eastAsia="宋体" w:cs="宋体"/>
          <w:sz w:val="24"/>
        </w:rPr>
        <w:t>制造车间得到验证而不是在现场调试时完成，包括对所有各种车身的支撑系统。滑橇与车身的匹配及强度验证需求用车由</w:t>
      </w:r>
      <w:r>
        <w:rPr>
          <w:rFonts w:hint="eastAsia" w:ascii="宋体" w:hAnsi="宋体" w:cs="宋体"/>
          <w:sz w:val="24"/>
          <w:lang w:eastAsia="zh-CN"/>
        </w:rPr>
        <w:t>招标人</w:t>
      </w:r>
      <w:r>
        <w:rPr>
          <w:rFonts w:hint="eastAsia" w:ascii="宋体" w:hAnsi="宋体" w:eastAsia="宋体" w:cs="宋体"/>
          <w:sz w:val="24"/>
        </w:rPr>
        <w:t>协商提供，</w:t>
      </w:r>
      <w:r>
        <w:rPr>
          <w:rFonts w:hint="eastAsia" w:ascii="宋体" w:hAnsi="宋体" w:cs="宋体"/>
          <w:sz w:val="24"/>
          <w:lang w:eastAsia="zh-CN"/>
        </w:rPr>
        <w:t>投标人</w:t>
      </w:r>
      <w:r>
        <w:rPr>
          <w:rFonts w:hint="eastAsia" w:ascii="宋体" w:hAnsi="宋体" w:eastAsia="宋体" w:cs="宋体"/>
          <w:sz w:val="24"/>
        </w:rPr>
        <w:t>负责往返白车身运输费用，并需遵守</w:t>
      </w:r>
      <w:r>
        <w:rPr>
          <w:rFonts w:hint="eastAsia" w:ascii="宋体" w:hAnsi="宋体" w:cs="宋体"/>
          <w:sz w:val="24"/>
          <w:lang w:eastAsia="zh-CN"/>
        </w:rPr>
        <w:t>招标人</w:t>
      </w:r>
      <w:r>
        <w:rPr>
          <w:rFonts w:hint="eastAsia" w:ascii="宋体" w:hAnsi="宋体" w:eastAsia="宋体" w:cs="宋体"/>
          <w:sz w:val="24"/>
        </w:rPr>
        <w:t>相关保密规定。</w:t>
      </w:r>
    </w:p>
    <w:p w14:paraId="70513ABF">
      <w:pPr>
        <w:pageBreakBefore w:val="0"/>
        <w:numPr>
          <w:ilvl w:val="0"/>
          <w:numId w:val="266"/>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应提供任何验证所需的控制面板或设备。</w:t>
      </w:r>
    </w:p>
    <w:p w14:paraId="321B3A9D">
      <w:pPr>
        <w:pageBreakBefore w:val="0"/>
        <w:numPr>
          <w:ilvl w:val="0"/>
          <w:numId w:val="266"/>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拆装和运输由</w:t>
      </w:r>
      <w:r>
        <w:rPr>
          <w:rFonts w:hint="eastAsia" w:ascii="宋体" w:hAnsi="宋体" w:cs="宋体"/>
          <w:sz w:val="24"/>
          <w:lang w:eastAsia="zh-CN"/>
        </w:rPr>
        <w:t>投标人</w:t>
      </w:r>
      <w:r>
        <w:rPr>
          <w:rFonts w:hint="eastAsia" w:ascii="宋体" w:hAnsi="宋体" w:eastAsia="宋体" w:cs="宋体"/>
          <w:sz w:val="24"/>
        </w:rPr>
        <w:t>负责。</w:t>
      </w:r>
    </w:p>
    <w:p w14:paraId="022F605F">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备件清单</w:t>
      </w:r>
    </w:p>
    <w:p w14:paraId="74F2A7DD">
      <w:pPr>
        <w:pageBreakBefore w:val="0"/>
        <w:numPr>
          <w:ilvl w:val="0"/>
          <w:numId w:val="267"/>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须按照要求提供一份备件清单。</w:t>
      </w:r>
    </w:p>
    <w:p w14:paraId="11CFE91D">
      <w:pPr>
        <w:pageBreakBefore w:val="0"/>
        <w:numPr>
          <w:ilvl w:val="0"/>
          <w:numId w:val="267"/>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bookmarkStart w:id="238" w:name="OLE_LINK3"/>
      <w:r>
        <w:rPr>
          <w:rFonts w:hint="eastAsia" w:ascii="宋体" w:hAnsi="宋体" w:eastAsia="宋体" w:cs="宋体"/>
          <w:sz w:val="24"/>
        </w:rPr>
        <w:t>在设备验证调试期间</w:t>
      </w:r>
      <w:bookmarkEnd w:id="238"/>
      <w:r>
        <w:rPr>
          <w:rFonts w:hint="eastAsia" w:ascii="宋体" w:hAnsi="宋体" w:eastAsia="宋体" w:cs="宋体"/>
          <w:sz w:val="24"/>
        </w:rPr>
        <w:t>，</w:t>
      </w:r>
      <w:r>
        <w:rPr>
          <w:rFonts w:hint="eastAsia" w:ascii="宋体" w:hAnsi="宋体" w:cs="宋体"/>
          <w:sz w:val="24"/>
          <w:lang w:eastAsia="zh-CN"/>
        </w:rPr>
        <w:t>投标人</w:t>
      </w:r>
      <w:r>
        <w:rPr>
          <w:rFonts w:hint="eastAsia" w:ascii="宋体" w:hAnsi="宋体" w:eastAsia="宋体" w:cs="宋体"/>
          <w:sz w:val="24"/>
        </w:rPr>
        <w:t>须储备足够的备件。</w:t>
      </w:r>
    </w:p>
    <w:p w14:paraId="79D75DF8">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设备调试</w:t>
      </w:r>
    </w:p>
    <w:p w14:paraId="0175A009">
      <w:pPr>
        <w:pageBreakBefore w:val="0"/>
        <w:numPr>
          <w:ilvl w:val="0"/>
          <w:numId w:val="268"/>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设备安装、调试和试运行由</w:t>
      </w:r>
      <w:r>
        <w:rPr>
          <w:rFonts w:hint="eastAsia" w:ascii="宋体" w:hAnsi="宋体" w:cs="宋体"/>
          <w:sz w:val="24"/>
          <w:lang w:eastAsia="zh-CN"/>
        </w:rPr>
        <w:t>投标人</w:t>
      </w:r>
      <w:r>
        <w:rPr>
          <w:rFonts w:hint="eastAsia" w:ascii="宋体" w:hAnsi="宋体" w:eastAsia="宋体" w:cs="宋体"/>
          <w:sz w:val="24"/>
        </w:rPr>
        <w:t>按照</w:t>
      </w:r>
      <w:r>
        <w:rPr>
          <w:rFonts w:hint="eastAsia" w:ascii="宋体" w:hAnsi="宋体" w:cs="宋体"/>
          <w:sz w:val="24"/>
          <w:lang w:eastAsia="zh-CN"/>
        </w:rPr>
        <w:t>招标人</w:t>
      </w:r>
      <w:r>
        <w:rPr>
          <w:rFonts w:hint="eastAsia" w:ascii="宋体" w:hAnsi="宋体" w:eastAsia="宋体" w:cs="宋体"/>
          <w:sz w:val="24"/>
        </w:rPr>
        <w:t>的项目计划完成。</w:t>
      </w:r>
    </w:p>
    <w:p w14:paraId="0339C88C">
      <w:pPr>
        <w:pageBreakBefore w:val="0"/>
        <w:numPr>
          <w:ilvl w:val="0"/>
          <w:numId w:val="268"/>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提供书面安调记录文件给</w:t>
      </w:r>
      <w:r>
        <w:rPr>
          <w:rFonts w:hint="eastAsia" w:ascii="宋体" w:hAnsi="宋体" w:cs="宋体"/>
          <w:sz w:val="24"/>
          <w:lang w:eastAsia="zh-CN"/>
        </w:rPr>
        <w:t>招标人</w:t>
      </w:r>
      <w:r>
        <w:rPr>
          <w:rFonts w:hint="eastAsia" w:ascii="宋体" w:hAnsi="宋体" w:eastAsia="宋体" w:cs="宋体"/>
          <w:sz w:val="24"/>
        </w:rPr>
        <w:t>。</w:t>
      </w:r>
    </w:p>
    <w:p w14:paraId="3008BE29">
      <w:pPr>
        <w:pageBreakBefore w:val="0"/>
        <w:numPr>
          <w:ilvl w:val="0"/>
          <w:numId w:val="268"/>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须提供相应的专业人员来支持和服务于设备的调试。</w:t>
      </w:r>
    </w:p>
    <w:p w14:paraId="609779F5">
      <w:pPr>
        <w:pageBreakBefore w:val="0"/>
        <w:numPr>
          <w:ilvl w:val="0"/>
          <w:numId w:val="268"/>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在设备调试前需要保证所有需要润滑的部位已得到充分的润滑，并且润滑设备油箱中润滑油液位不少于总容量的4/5。</w:t>
      </w:r>
    </w:p>
    <w:p w14:paraId="108D366F">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培训</w:t>
      </w:r>
    </w:p>
    <w:p w14:paraId="1292230E">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 xml:space="preserve">须提供相应的培训. </w:t>
      </w:r>
    </w:p>
    <w:p w14:paraId="75085B6E">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lang w:val="en-GB"/>
        </w:rPr>
      </w:pPr>
      <w:r>
        <w:rPr>
          <w:rFonts w:hint="eastAsia" w:ascii="宋体" w:hAnsi="宋体" w:cs="宋体"/>
          <w:sz w:val="24"/>
          <w:lang w:eastAsia="zh-CN"/>
        </w:rPr>
        <w:t>投标人</w:t>
      </w:r>
      <w:r>
        <w:rPr>
          <w:rFonts w:hint="eastAsia" w:ascii="宋体" w:hAnsi="宋体" w:eastAsia="宋体" w:cs="宋体"/>
          <w:sz w:val="24"/>
        </w:rPr>
        <w:t>负责编写、移交培训材料，包括说明手册。单次学员人数最多不能超过30人。</w:t>
      </w:r>
      <w:r>
        <w:rPr>
          <w:rFonts w:hint="eastAsia" w:ascii="宋体" w:hAnsi="宋体" w:eastAsia="宋体" w:cs="宋体"/>
          <w:sz w:val="24"/>
          <w:lang w:val="en-GB"/>
        </w:rPr>
        <w:t xml:space="preserve"> </w:t>
      </w:r>
    </w:p>
    <w:p w14:paraId="59E9185C">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安装现场验证</w:t>
      </w:r>
    </w:p>
    <w:p w14:paraId="2CA9EB8A">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在项目结束日期之前，</w:t>
      </w:r>
      <w:r>
        <w:rPr>
          <w:rFonts w:hint="eastAsia" w:ascii="宋体" w:hAnsi="宋体" w:cs="宋体"/>
          <w:sz w:val="24"/>
          <w:lang w:eastAsia="zh-CN"/>
        </w:rPr>
        <w:t>投标人</w:t>
      </w:r>
      <w:r>
        <w:rPr>
          <w:rFonts w:hint="eastAsia" w:ascii="宋体" w:hAnsi="宋体" w:eastAsia="宋体" w:cs="宋体"/>
          <w:sz w:val="24"/>
        </w:rPr>
        <w:t>须完成所有尾项问题检查清单中的整改项。</w:t>
      </w:r>
    </w:p>
    <w:p w14:paraId="0C0AD605">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须完成由</w:t>
      </w:r>
      <w:r>
        <w:rPr>
          <w:rFonts w:hint="eastAsia" w:ascii="宋体" w:hAnsi="宋体" w:cs="宋体"/>
          <w:sz w:val="24"/>
          <w:lang w:eastAsia="zh-CN"/>
        </w:rPr>
        <w:t>招标人</w:t>
      </w:r>
      <w:r>
        <w:rPr>
          <w:rFonts w:hint="eastAsia" w:ascii="宋体" w:hAnsi="宋体" w:eastAsia="宋体" w:cs="宋体"/>
          <w:sz w:val="24"/>
        </w:rPr>
        <w:t>提供的安装验证清单和尾项问题整改清单。</w:t>
      </w:r>
    </w:p>
    <w:p w14:paraId="5AB2EF9A">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为每个区域的功能测试编制一份可行的检查表和检查基准。此表包括两个部分：</w:t>
      </w:r>
    </w:p>
    <w:p w14:paraId="09E821B2">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第一部分包括所有的接线和现场设备。每个检查项目都要包括重要的参数，比如：正确的编号，正确的设备标签，安装位置图，备用接线和标签，设备保护盖板等，最后签字确认。</w:t>
      </w:r>
    </w:p>
    <w:p w14:paraId="56BAD592">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第二部分是功能和操作顺序，包括各个输送区域的所有的关联功能。按照每个功能逐个确认，最后双方签字确认。</w:t>
      </w:r>
    </w:p>
    <w:p w14:paraId="071D2D41">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固废处理</w:t>
      </w:r>
    </w:p>
    <w:p w14:paraId="4633E528">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负责正确处理、收集和解决所有一般的垃圾和施工产生的建筑垃圾。包括提供合适的垃圾桶。</w:t>
      </w:r>
    </w:p>
    <w:p w14:paraId="290E396E">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应按照</w:t>
      </w:r>
      <w:r>
        <w:rPr>
          <w:rFonts w:hint="eastAsia" w:ascii="宋体" w:hAnsi="宋体" w:cs="宋体"/>
          <w:sz w:val="24"/>
          <w:lang w:eastAsia="zh-CN"/>
        </w:rPr>
        <w:t>招标人</w:t>
      </w:r>
      <w:r>
        <w:rPr>
          <w:rFonts w:hint="eastAsia" w:ascii="宋体" w:hAnsi="宋体" w:eastAsia="宋体" w:cs="宋体"/>
          <w:sz w:val="24"/>
        </w:rPr>
        <w:t>的管理规定，将施工产生的垃圾搜集整理并</w:t>
      </w:r>
      <w:r>
        <w:rPr>
          <w:rFonts w:hint="eastAsia" w:ascii="宋体" w:hAnsi="宋体" w:eastAsia="宋体" w:cs="宋体"/>
          <w:sz w:val="24"/>
          <w:lang w:val="en-US" w:eastAsia="zh-CN"/>
        </w:rPr>
        <w:t>负责处理</w:t>
      </w:r>
      <w:r>
        <w:rPr>
          <w:rFonts w:hint="eastAsia" w:ascii="宋体" w:hAnsi="宋体" w:eastAsia="宋体" w:cs="宋体"/>
          <w:sz w:val="24"/>
        </w:rPr>
        <w:t>。</w:t>
      </w:r>
    </w:p>
    <w:p w14:paraId="45BC4F33">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 xml:space="preserve"> 其他</w:t>
      </w:r>
    </w:p>
    <w:p w14:paraId="00AFCCEF">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在试生产之前，</w:t>
      </w:r>
      <w:r>
        <w:rPr>
          <w:rFonts w:hint="eastAsia" w:ascii="宋体" w:hAnsi="宋体" w:cs="宋体"/>
          <w:sz w:val="24"/>
          <w:lang w:eastAsia="zh-CN"/>
        </w:rPr>
        <w:t>投标人</w:t>
      </w:r>
      <w:r>
        <w:rPr>
          <w:rFonts w:hint="eastAsia" w:ascii="宋体" w:hAnsi="宋体" w:eastAsia="宋体" w:cs="宋体"/>
          <w:sz w:val="24"/>
        </w:rPr>
        <w:t>负责工作现场和设备的清扫、除锈、清洁，确保设备达到正常生产的条件。</w:t>
      </w:r>
    </w:p>
    <w:p w14:paraId="326B4BC1">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设置必要的安全警告标识，包括为活动设备在地面涂上安全警戒色,比如旋转辊床，平移机等。</w:t>
      </w:r>
    </w:p>
    <w:p w14:paraId="31C90460">
      <w:pPr>
        <w:pageBreakBefore w:val="0"/>
        <w:numPr>
          <w:ilvl w:val="0"/>
          <w:numId w:val="260"/>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解释说明</w:t>
      </w:r>
    </w:p>
    <w:p w14:paraId="481E795C">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满足</w:t>
      </w:r>
      <w:r>
        <w:rPr>
          <w:rFonts w:hint="eastAsia" w:ascii="宋体" w:hAnsi="宋体" w:cs="宋体"/>
          <w:sz w:val="24"/>
          <w:lang w:eastAsia="zh-CN"/>
        </w:rPr>
        <w:t>招标人</w:t>
      </w:r>
      <w:r>
        <w:rPr>
          <w:rFonts w:hint="eastAsia" w:ascii="宋体" w:hAnsi="宋体" w:eastAsia="宋体" w:cs="宋体"/>
          <w:sz w:val="24"/>
        </w:rPr>
        <w:t>功能：满足</w:t>
      </w:r>
      <w:r>
        <w:rPr>
          <w:rFonts w:hint="eastAsia" w:ascii="宋体" w:hAnsi="宋体" w:cs="宋体"/>
          <w:sz w:val="24"/>
          <w:lang w:eastAsia="zh-CN"/>
        </w:rPr>
        <w:t>招标人</w:t>
      </w:r>
      <w:r>
        <w:rPr>
          <w:rFonts w:hint="eastAsia" w:ascii="宋体" w:hAnsi="宋体" w:eastAsia="宋体" w:cs="宋体"/>
          <w:sz w:val="24"/>
        </w:rPr>
        <w:t>功能要求是设计、施工唯一依据，出现冲突、偏差和漏项时，最终的解释标准是满足</w:t>
      </w:r>
      <w:r>
        <w:rPr>
          <w:rFonts w:hint="eastAsia" w:ascii="宋体" w:hAnsi="宋体" w:cs="宋体"/>
          <w:sz w:val="24"/>
          <w:lang w:eastAsia="zh-CN"/>
        </w:rPr>
        <w:t>招标人</w:t>
      </w:r>
      <w:r>
        <w:rPr>
          <w:rFonts w:hint="eastAsia" w:ascii="宋体" w:hAnsi="宋体" w:eastAsia="宋体" w:cs="宋体"/>
          <w:sz w:val="24"/>
        </w:rPr>
        <w:t>的功能要求。</w:t>
      </w:r>
    </w:p>
    <w:p w14:paraId="6BCD62FF">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图纸、工程量清单：图纸、工程量清单等合同附件只能作为</w:t>
      </w:r>
      <w:r>
        <w:rPr>
          <w:rFonts w:hint="eastAsia" w:ascii="宋体" w:hAnsi="宋体" w:cs="宋体"/>
          <w:sz w:val="24"/>
          <w:lang w:eastAsia="zh-CN"/>
        </w:rPr>
        <w:t>投标人</w:t>
      </w:r>
      <w:r>
        <w:rPr>
          <w:rFonts w:hint="eastAsia" w:ascii="宋体" w:hAnsi="宋体" w:eastAsia="宋体" w:cs="宋体"/>
          <w:sz w:val="24"/>
        </w:rPr>
        <w:t>报价的参考，按图纸和工程量清单施工不能满足</w:t>
      </w:r>
      <w:r>
        <w:rPr>
          <w:rFonts w:hint="eastAsia" w:ascii="宋体" w:hAnsi="宋体" w:cs="宋体"/>
          <w:sz w:val="24"/>
          <w:lang w:eastAsia="zh-CN"/>
        </w:rPr>
        <w:t>招标人</w:t>
      </w:r>
      <w:r>
        <w:rPr>
          <w:rFonts w:hint="eastAsia" w:ascii="宋体" w:hAnsi="宋体" w:eastAsia="宋体" w:cs="宋体"/>
          <w:sz w:val="24"/>
        </w:rPr>
        <w:t>功能要求时按偏差控制原则处理。</w:t>
      </w:r>
    </w:p>
    <w:p w14:paraId="66A37DDE">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图纸会签：</w:t>
      </w:r>
      <w:r>
        <w:rPr>
          <w:rFonts w:hint="eastAsia" w:ascii="宋体" w:hAnsi="宋体" w:cs="宋体"/>
          <w:sz w:val="24"/>
          <w:lang w:eastAsia="zh-CN"/>
        </w:rPr>
        <w:t>招标人</w:t>
      </w:r>
      <w:r>
        <w:rPr>
          <w:rFonts w:hint="eastAsia" w:ascii="宋体" w:hAnsi="宋体" w:eastAsia="宋体" w:cs="宋体"/>
          <w:sz w:val="24"/>
        </w:rPr>
        <w:t>只对图纸是否满足功能要求进行会签，不对存在的冲突、漏项和偏差承担责任，在实际施工中出现冲突、漏项和偏差时，</w:t>
      </w:r>
      <w:r>
        <w:rPr>
          <w:rFonts w:hint="eastAsia" w:ascii="宋体" w:hAnsi="宋体" w:cs="宋体"/>
          <w:sz w:val="24"/>
          <w:lang w:eastAsia="zh-CN"/>
        </w:rPr>
        <w:t>招标人</w:t>
      </w:r>
      <w:r>
        <w:rPr>
          <w:rFonts w:hint="eastAsia" w:ascii="宋体" w:hAnsi="宋体" w:eastAsia="宋体" w:cs="宋体"/>
          <w:sz w:val="24"/>
        </w:rPr>
        <w:t>会签的图纸不能作为费用变更的依据。</w:t>
      </w:r>
    </w:p>
    <w:p w14:paraId="1E35C7B9">
      <w:pPr>
        <w:pageBreakBefore w:val="0"/>
        <w:numPr>
          <w:ilvl w:val="0"/>
          <w:numId w:val="269"/>
        </w:numPr>
        <w:kinsoku/>
        <w:wordWrap/>
        <w:topLinePunct w:val="0"/>
        <w:bidi w:val="0"/>
        <w:adjustRightInd w:val="0"/>
        <w:snapToGrid w:val="0"/>
        <w:spacing w:afterAutospacing="0" w:line="360" w:lineRule="auto"/>
        <w:ind w:left="0" w:leftChars="0" w:firstLine="0" w:firstLineChars="0"/>
        <w:contextualSpacing/>
        <w:rPr>
          <w:rFonts w:hint="eastAsia" w:ascii="宋体" w:hAnsi="宋体" w:eastAsia="宋体" w:cs="宋体"/>
          <w:sz w:val="24"/>
        </w:rPr>
      </w:pPr>
      <w:r>
        <w:rPr>
          <w:rFonts w:hint="eastAsia" w:ascii="宋体" w:hAnsi="宋体" w:eastAsia="宋体" w:cs="宋体"/>
          <w:sz w:val="24"/>
        </w:rPr>
        <w:t>本技术文件作为此涂装工程发标的第一技术文件，其他文件如配置表、设备明细等为附属文件；遗缺补漏的子项目，均首先符合第一文件中的基本要求和基本设施配置。所有附属文件与本技术文件相矛盾、相抵触时，以本技术文件为准和以本技术文件的补充部分为主。</w:t>
      </w:r>
    </w:p>
    <w:p w14:paraId="32D7320E">
      <w:pPr>
        <w:pageBreakBefore w:val="0"/>
        <w:kinsoku/>
        <w:wordWrap/>
        <w:topLinePunct w:val="0"/>
        <w:bidi w:val="0"/>
        <w:adjustRightInd w:val="0"/>
        <w:snapToGrid w:val="0"/>
        <w:spacing w:afterAutospacing="0" w:line="360" w:lineRule="auto"/>
        <w:ind w:left="0" w:leftChars="0" w:firstLine="0" w:firstLineChars="0"/>
        <w:outlineLvl w:val="0"/>
        <w:rPr>
          <w:rFonts w:hint="eastAsia" w:ascii="宋体" w:hAnsi="宋体" w:eastAsia="宋体" w:cs="宋体"/>
          <w:b/>
          <w:sz w:val="24"/>
        </w:rPr>
      </w:pPr>
      <w:r>
        <w:rPr>
          <w:rFonts w:hint="eastAsia" w:ascii="宋体" w:hAnsi="宋体" w:eastAsia="宋体" w:cs="宋体"/>
          <w:b/>
          <w:sz w:val="24"/>
        </w:rPr>
        <w:t>二、供货范围：</w:t>
      </w:r>
    </w:p>
    <w:p w14:paraId="0AE9D837">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本项目为设计、制造、安装、调试一揽子交钥匙工程；</w:t>
      </w:r>
      <w:r>
        <w:rPr>
          <w:rFonts w:hint="eastAsia" w:ascii="宋体" w:hAnsi="宋体" w:cs="宋体"/>
          <w:sz w:val="24"/>
          <w:lang w:eastAsia="zh-CN"/>
        </w:rPr>
        <w:t>投标人</w:t>
      </w:r>
      <w:r>
        <w:rPr>
          <w:rFonts w:hint="eastAsia" w:ascii="宋体" w:hAnsi="宋体" w:eastAsia="宋体" w:cs="宋体"/>
          <w:sz w:val="24"/>
        </w:rPr>
        <w:t>应保质、保量、按时完成整个工程，确保</w:t>
      </w:r>
      <w:r>
        <w:rPr>
          <w:rFonts w:hint="eastAsia" w:ascii="宋体" w:hAnsi="宋体" w:cs="宋体"/>
          <w:sz w:val="24"/>
          <w:lang w:eastAsia="zh-CN"/>
        </w:rPr>
        <w:t>招标人</w:t>
      </w:r>
      <w:r>
        <w:rPr>
          <w:rFonts w:hint="eastAsia" w:ascii="宋体" w:hAnsi="宋体" w:eastAsia="宋体" w:cs="宋体"/>
          <w:sz w:val="24"/>
        </w:rPr>
        <w:t>设备如期投入生产。</w:t>
      </w:r>
    </w:p>
    <w:p w14:paraId="780F6844">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sz w:val="24"/>
        </w:rPr>
      </w:pPr>
      <w:r>
        <w:rPr>
          <w:rFonts w:hint="eastAsia" w:ascii="宋体" w:hAnsi="宋体" w:eastAsia="宋体" w:cs="宋体"/>
          <w:b w:val="0"/>
          <w:bCs w:val="0"/>
          <w:sz w:val="24"/>
        </w:rPr>
        <w:t>项目建设主要内容如下：</w:t>
      </w:r>
      <w:r>
        <w:rPr>
          <w:rFonts w:hint="eastAsia" w:ascii="宋体" w:hAnsi="宋体" w:eastAsia="宋体" w:cs="宋体"/>
          <w:sz w:val="24"/>
        </w:rPr>
        <w:t xml:space="preserve"> </w:t>
      </w:r>
    </w:p>
    <w:tbl>
      <w:tblPr>
        <w:tblStyle w:val="44"/>
        <w:tblW w:w="5000" w:type="pct"/>
        <w:jc w:val="center"/>
        <w:tblLayout w:type="autofit"/>
        <w:tblCellMar>
          <w:top w:w="0" w:type="dxa"/>
          <w:left w:w="108" w:type="dxa"/>
          <w:bottom w:w="0" w:type="dxa"/>
          <w:right w:w="108" w:type="dxa"/>
        </w:tblCellMar>
      </w:tblPr>
      <w:tblGrid>
        <w:gridCol w:w="761"/>
        <w:gridCol w:w="1026"/>
        <w:gridCol w:w="1967"/>
        <w:gridCol w:w="1733"/>
        <w:gridCol w:w="954"/>
        <w:gridCol w:w="1331"/>
        <w:gridCol w:w="1882"/>
      </w:tblGrid>
      <w:tr w14:paraId="7FE90CA3">
        <w:tblPrEx>
          <w:tblCellMar>
            <w:top w:w="0" w:type="dxa"/>
            <w:left w:w="108" w:type="dxa"/>
            <w:bottom w:w="0" w:type="dxa"/>
            <w:right w:w="108" w:type="dxa"/>
          </w:tblCellMar>
        </w:tblPrEx>
        <w:trPr>
          <w:trHeight w:val="383"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7ABFEA7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序号</w:t>
            </w:r>
          </w:p>
        </w:tc>
        <w:tc>
          <w:tcPr>
            <w:tcW w:w="1549" w:type="pct"/>
            <w:gridSpan w:val="2"/>
            <w:tcBorders>
              <w:top w:val="single" w:color="auto" w:sz="4" w:space="0"/>
              <w:left w:val="nil"/>
              <w:bottom w:val="single" w:color="auto" w:sz="4" w:space="0"/>
              <w:right w:val="single" w:color="auto" w:sz="4" w:space="0"/>
            </w:tcBorders>
            <w:vAlign w:val="center"/>
          </w:tcPr>
          <w:p w14:paraId="78C60A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设备名称</w:t>
            </w:r>
          </w:p>
        </w:tc>
        <w:tc>
          <w:tcPr>
            <w:tcW w:w="897" w:type="pct"/>
            <w:tcBorders>
              <w:top w:val="single" w:color="auto" w:sz="4" w:space="0"/>
              <w:left w:val="nil"/>
              <w:bottom w:val="single" w:color="auto" w:sz="4" w:space="0"/>
              <w:right w:val="single" w:color="auto" w:sz="4" w:space="0"/>
            </w:tcBorders>
            <w:vAlign w:val="center"/>
          </w:tcPr>
          <w:p w14:paraId="79634C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设备形式</w:t>
            </w:r>
          </w:p>
        </w:tc>
        <w:tc>
          <w:tcPr>
            <w:tcW w:w="494" w:type="pct"/>
            <w:tcBorders>
              <w:top w:val="single" w:color="auto" w:sz="4" w:space="0"/>
              <w:left w:val="nil"/>
              <w:bottom w:val="single" w:color="auto" w:sz="4" w:space="0"/>
              <w:right w:val="single" w:color="auto" w:sz="4" w:space="0"/>
            </w:tcBorders>
            <w:vAlign w:val="center"/>
          </w:tcPr>
          <w:p w14:paraId="62C1F0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单位</w:t>
            </w:r>
          </w:p>
        </w:tc>
        <w:tc>
          <w:tcPr>
            <w:tcW w:w="689" w:type="pct"/>
            <w:tcBorders>
              <w:top w:val="single" w:color="auto" w:sz="4" w:space="0"/>
              <w:left w:val="nil"/>
              <w:bottom w:val="single" w:color="auto" w:sz="4" w:space="0"/>
              <w:right w:val="single" w:color="auto" w:sz="4" w:space="0"/>
            </w:tcBorders>
            <w:vAlign w:val="center"/>
          </w:tcPr>
          <w:p w14:paraId="05DF596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数量</w:t>
            </w:r>
          </w:p>
        </w:tc>
        <w:tc>
          <w:tcPr>
            <w:tcW w:w="974" w:type="pct"/>
            <w:tcBorders>
              <w:top w:val="single" w:color="auto" w:sz="4" w:space="0"/>
              <w:left w:val="nil"/>
              <w:bottom w:val="single" w:color="auto" w:sz="4" w:space="0"/>
              <w:right w:val="single" w:color="auto" w:sz="4" w:space="0"/>
            </w:tcBorders>
            <w:vAlign w:val="center"/>
          </w:tcPr>
          <w:p w14:paraId="0255D6D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备注</w:t>
            </w:r>
          </w:p>
        </w:tc>
      </w:tr>
      <w:tr w14:paraId="0DAC5DF6">
        <w:tblPrEx>
          <w:tblCellMar>
            <w:top w:w="0" w:type="dxa"/>
            <w:left w:w="108" w:type="dxa"/>
            <w:bottom w:w="0" w:type="dxa"/>
            <w:right w:w="108" w:type="dxa"/>
          </w:tblCellMar>
        </w:tblPrEx>
        <w:trPr>
          <w:trHeight w:val="657" w:hRule="atLeast"/>
          <w:jc w:val="center"/>
        </w:trPr>
        <w:tc>
          <w:tcPr>
            <w:tcW w:w="394" w:type="pct"/>
            <w:tcBorders>
              <w:top w:val="nil"/>
              <w:left w:val="single" w:color="auto" w:sz="4" w:space="0"/>
              <w:bottom w:val="single" w:color="auto" w:sz="4" w:space="0"/>
              <w:right w:val="single" w:color="auto" w:sz="4" w:space="0"/>
            </w:tcBorders>
            <w:vAlign w:val="center"/>
          </w:tcPr>
          <w:p w14:paraId="45D0DB1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1549" w:type="pct"/>
            <w:gridSpan w:val="2"/>
            <w:tcBorders>
              <w:top w:val="nil"/>
              <w:left w:val="nil"/>
              <w:bottom w:val="single" w:color="auto" w:sz="4" w:space="0"/>
              <w:right w:val="single" w:color="auto" w:sz="4" w:space="0"/>
            </w:tcBorders>
            <w:vAlign w:val="center"/>
          </w:tcPr>
          <w:p w14:paraId="12B3007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前处理-电泳输送线</w:t>
            </w:r>
          </w:p>
        </w:tc>
        <w:tc>
          <w:tcPr>
            <w:tcW w:w="897" w:type="pct"/>
            <w:tcBorders>
              <w:top w:val="nil"/>
              <w:left w:val="nil"/>
              <w:bottom w:val="single" w:color="auto" w:sz="4" w:space="0"/>
              <w:right w:val="single" w:color="auto" w:sz="4" w:space="0"/>
            </w:tcBorders>
            <w:vAlign w:val="center"/>
          </w:tcPr>
          <w:p w14:paraId="6F7ED769">
            <w:pPr>
              <w:pageBreakBefore w:val="0"/>
              <w:widowControl/>
              <w:kinsoku/>
              <w:wordWrap/>
              <w:topLinePunct w:val="0"/>
              <w:bidi w:val="0"/>
              <w:adjustRightInd w:val="0"/>
              <w:snapToGrid w:val="0"/>
              <w:spacing w:afterAutospacing="0" w:line="240" w:lineRule="auto"/>
              <w:ind w:left="0" w:leftChars="0" w:firstLine="0" w:firstLineChars="0"/>
              <w:rPr>
                <w:rFonts w:hint="eastAsia" w:ascii="宋体" w:hAnsi="宋体" w:eastAsia="宋体" w:cs="宋体"/>
                <w:sz w:val="24"/>
              </w:rPr>
            </w:pPr>
            <w:r>
              <w:rPr>
                <w:rFonts w:hint="eastAsia" w:ascii="宋体" w:hAnsi="宋体" w:eastAsia="宋体" w:cs="宋体"/>
                <w:sz w:val="24"/>
              </w:rPr>
              <w:t>双轨输送线</w:t>
            </w:r>
          </w:p>
        </w:tc>
        <w:tc>
          <w:tcPr>
            <w:tcW w:w="494" w:type="pct"/>
            <w:tcBorders>
              <w:top w:val="nil"/>
              <w:left w:val="nil"/>
              <w:bottom w:val="single" w:color="auto" w:sz="4" w:space="0"/>
              <w:right w:val="single" w:color="auto" w:sz="4" w:space="0"/>
            </w:tcBorders>
            <w:vAlign w:val="center"/>
          </w:tcPr>
          <w:p w14:paraId="3DDF04C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20F821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lang w:eastAsia="zh-CN"/>
              </w:rPr>
            </w:pPr>
            <w:r>
              <w:rPr>
                <w:rFonts w:hint="eastAsia" w:ascii="宋体" w:hAnsi="宋体" w:cs="宋体"/>
                <w:sz w:val="24"/>
                <w:lang w:val="en-US" w:eastAsia="zh-CN"/>
              </w:rPr>
              <w:t>4</w:t>
            </w:r>
          </w:p>
        </w:tc>
        <w:tc>
          <w:tcPr>
            <w:tcW w:w="974" w:type="pct"/>
            <w:tcBorders>
              <w:top w:val="nil"/>
              <w:left w:val="nil"/>
              <w:bottom w:val="single" w:color="auto" w:sz="4" w:space="0"/>
              <w:right w:val="single" w:color="auto" w:sz="4" w:space="0"/>
            </w:tcBorders>
            <w:vAlign w:val="center"/>
          </w:tcPr>
          <w:p w14:paraId="65864FEE">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同现有设备</w:t>
            </w:r>
          </w:p>
        </w:tc>
      </w:tr>
      <w:tr w14:paraId="16F0AD76">
        <w:tblPrEx>
          <w:tblCellMar>
            <w:top w:w="0" w:type="dxa"/>
            <w:left w:w="108" w:type="dxa"/>
            <w:bottom w:w="0" w:type="dxa"/>
            <w:right w:w="108" w:type="dxa"/>
          </w:tblCellMar>
        </w:tblPrEx>
        <w:trPr>
          <w:trHeight w:val="333" w:hRule="atLeast"/>
          <w:jc w:val="center"/>
        </w:trPr>
        <w:tc>
          <w:tcPr>
            <w:tcW w:w="394" w:type="pct"/>
            <w:vMerge w:val="restart"/>
            <w:tcBorders>
              <w:top w:val="single" w:color="auto" w:sz="4" w:space="0"/>
              <w:left w:val="single" w:color="auto" w:sz="4" w:space="0"/>
              <w:bottom w:val="single" w:color="auto" w:sz="4" w:space="0"/>
              <w:right w:val="single" w:color="auto" w:sz="4" w:space="0"/>
            </w:tcBorders>
            <w:vAlign w:val="center"/>
          </w:tcPr>
          <w:p w14:paraId="4DD5AE9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531" w:type="pct"/>
            <w:vMerge w:val="restart"/>
            <w:tcBorders>
              <w:top w:val="single" w:color="auto" w:sz="4" w:space="0"/>
              <w:left w:val="nil"/>
              <w:bottom w:val="single" w:color="auto" w:sz="4" w:space="0"/>
              <w:right w:val="single" w:color="auto" w:sz="4" w:space="0"/>
            </w:tcBorders>
            <w:vAlign w:val="center"/>
          </w:tcPr>
          <w:p w14:paraId="387E0A3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双排链输送系统</w:t>
            </w:r>
          </w:p>
        </w:tc>
        <w:tc>
          <w:tcPr>
            <w:tcW w:w="1018" w:type="pct"/>
            <w:tcBorders>
              <w:top w:val="single" w:color="auto" w:sz="4" w:space="0"/>
              <w:left w:val="nil"/>
              <w:bottom w:val="single" w:color="auto" w:sz="4" w:space="0"/>
              <w:right w:val="single" w:color="auto" w:sz="4" w:space="0"/>
            </w:tcBorders>
          </w:tcPr>
          <w:p w14:paraId="092532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电泳烘干链</w:t>
            </w:r>
          </w:p>
        </w:tc>
        <w:tc>
          <w:tcPr>
            <w:tcW w:w="897" w:type="pct"/>
            <w:tcBorders>
              <w:top w:val="single" w:color="auto" w:sz="4" w:space="0"/>
              <w:left w:val="single" w:color="auto" w:sz="4" w:space="0"/>
              <w:bottom w:val="single" w:color="auto" w:sz="4" w:space="0"/>
              <w:right w:val="single" w:color="auto" w:sz="4" w:space="0"/>
            </w:tcBorders>
            <w:vAlign w:val="center"/>
          </w:tcPr>
          <w:p w14:paraId="7DCCA00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双排链</w:t>
            </w:r>
          </w:p>
        </w:tc>
        <w:tc>
          <w:tcPr>
            <w:tcW w:w="494" w:type="pct"/>
            <w:tcBorders>
              <w:top w:val="single" w:color="auto" w:sz="4" w:space="0"/>
              <w:left w:val="nil"/>
              <w:bottom w:val="single" w:color="auto" w:sz="4" w:space="0"/>
              <w:right w:val="single" w:color="auto" w:sz="4" w:space="0"/>
            </w:tcBorders>
            <w:vAlign w:val="center"/>
          </w:tcPr>
          <w:p w14:paraId="0ABC5DD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2B11C55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vMerge w:val="restart"/>
            <w:tcBorders>
              <w:top w:val="single" w:color="auto" w:sz="4" w:space="0"/>
              <w:left w:val="nil"/>
              <w:right w:val="single" w:color="auto" w:sz="4" w:space="0"/>
            </w:tcBorders>
            <w:vAlign w:val="center"/>
          </w:tcPr>
          <w:p w14:paraId="1C8A1C8F">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525FF386">
        <w:tblPrEx>
          <w:tblCellMar>
            <w:top w:w="0" w:type="dxa"/>
            <w:left w:w="108" w:type="dxa"/>
            <w:bottom w:w="0" w:type="dxa"/>
            <w:right w:w="108" w:type="dxa"/>
          </w:tblCellMar>
        </w:tblPrEx>
        <w:trPr>
          <w:trHeight w:val="333" w:hRule="atLeast"/>
          <w:jc w:val="center"/>
        </w:trPr>
        <w:tc>
          <w:tcPr>
            <w:tcW w:w="394" w:type="pct"/>
            <w:vMerge w:val="continue"/>
            <w:tcBorders>
              <w:top w:val="single" w:color="auto" w:sz="4" w:space="0"/>
              <w:left w:val="single" w:color="auto" w:sz="4" w:space="0"/>
              <w:bottom w:val="single" w:color="auto" w:sz="4" w:space="0"/>
              <w:right w:val="single" w:color="auto" w:sz="4" w:space="0"/>
            </w:tcBorders>
            <w:vAlign w:val="center"/>
          </w:tcPr>
          <w:p w14:paraId="2D79E8A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531" w:type="pct"/>
            <w:vMerge w:val="continue"/>
            <w:tcBorders>
              <w:top w:val="single" w:color="auto" w:sz="4" w:space="0"/>
              <w:left w:val="nil"/>
              <w:bottom w:val="single" w:color="auto" w:sz="4" w:space="0"/>
              <w:right w:val="single" w:color="auto" w:sz="4" w:space="0"/>
            </w:tcBorders>
            <w:vAlign w:val="center"/>
          </w:tcPr>
          <w:p w14:paraId="576209EE">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c>
          <w:tcPr>
            <w:tcW w:w="1018" w:type="pct"/>
            <w:tcBorders>
              <w:top w:val="single" w:color="auto" w:sz="4" w:space="0"/>
              <w:left w:val="nil"/>
              <w:bottom w:val="single" w:color="auto" w:sz="4" w:space="0"/>
              <w:right w:val="single" w:color="auto" w:sz="4" w:space="0"/>
            </w:tcBorders>
            <w:vAlign w:val="center"/>
          </w:tcPr>
          <w:p w14:paraId="3E9C5F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PVC烘干链</w:t>
            </w:r>
          </w:p>
        </w:tc>
        <w:tc>
          <w:tcPr>
            <w:tcW w:w="897" w:type="pct"/>
            <w:tcBorders>
              <w:top w:val="single" w:color="auto" w:sz="4" w:space="0"/>
              <w:left w:val="single" w:color="auto" w:sz="4" w:space="0"/>
              <w:bottom w:val="single" w:color="auto" w:sz="4" w:space="0"/>
              <w:right w:val="single" w:color="auto" w:sz="4" w:space="0"/>
            </w:tcBorders>
            <w:vAlign w:val="center"/>
          </w:tcPr>
          <w:p w14:paraId="32F7438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双排链</w:t>
            </w:r>
          </w:p>
        </w:tc>
        <w:tc>
          <w:tcPr>
            <w:tcW w:w="494" w:type="pct"/>
            <w:tcBorders>
              <w:top w:val="single" w:color="auto" w:sz="4" w:space="0"/>
              <w:left w:val="nil"/>
              <w:bottom w:val="single" w:color="auto" w:sz="4" w:space="0"/>
              <w:right w:val="single" w:color="auto" w:sz="4" w:space="0"/>
            </w:tcBorders>
            <w:vAlign w:val="center"/>
          </w:tcPr>
          <w:p w14:paraId="04FBADC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71EF75C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vMerge w:val="continue"/>
            <w:tcBorders>
              <w:left w:val="nil"/>
              <w:right w:val="single" w:color="auto" w:sz="4" w:space="0"/>
            </w:tcBorders>
            <w:vAlign w:val="center"/>
          </w:tcPr>
          <w:p w14:paraId="4442A298">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247BE2F2">
        <w:tblPrEx>
          <w:tblCellMar>
            <w:top w:w="0" w:type="dxa"/>
            <w:left w:w="108" w:type="dxa"/>
            <w:bottom w:w="0" w:type="dxa"/>
            <w:right w:w="108" w:type="dxa"/>
          </w:tblCellMar>
        </w:tblPrEx>
        <w:trPr>
          <w:trHeight w:val="333" w:hRule="atLeast"/>
          <w:jc w:val="center"/>
        </w:trPr>
        <w:tc>
          <w:tcPr>
            <w:tcW w:w="394" w:type="pct"/>
            <w:vMerge w:val="continue"/>
            <w:tcBorders>
              <w:top w:val="single" w:color="auto" w:sz="4" w:space="0"/>
              <w:left w:val="single" w:color="auto" w:sz="4" w:space="0"/>
              <w:bottom w:val="single" w:color="auto" w:sz="4" w:space="0"/>
              <w:right w:val="single" w:color="auto" w:sz="4" w:space="0"/>
            </w:tcBorders>
            <w:vAlign w:val="center"/>
          </w:tcPr>
          <w:p w14:paraId="4FE9158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531" w:type="pct"/>
            <w:vMerge w:val="continue"/>
            <w:tcBorders>
              <w:top w:val="single" w:color="auto" w:sz="4" w:space="0"/>
              <w:left w:val="nil"/>
              <w:bottom w:val="single" w:color="auto" w:sz="4" w:space="0"/>
              <w:right w:val="single" w:color="auto" w:sz="4" w:space="0"/>
            </w:tcBorders>
            <w:vAlign w:val="center"/>
          </w:tcPr>
          <w:p w14:paraId="286F533D">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c>
          <w:tcPr>
            <w:tcW w:w="1018" w:type="pct"/>
            <w:tcBorders>
              <w:top w:val="single" w:color="auto" w:sz="4" w:space="0"/>
              <w:left w:val="nil"/>
              <w:bottom w:val="single" w:color="auto" w:sz="4" w:space="0"/>
              <w:right w:val="single" w:color="auto" w:sz="4" w:space="0"/>
            </w:tcBorders>
          </w:tcPr>
          <w:p w14:paraId="43FEAA7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闪干烘干链</w:t>
            </w:r>
          </w:p>
        </w:tc>
        <w:tc>
          <w:tcPr>
            <w:tcW w:w="897" w:type="pct"/>
            <w:tcBorders>
              <w:top w:val="single" w:color="auto" w:sz="4" w:space="0"/>
              <w:left w:val="single" w:color="auto" w:sz="4" w:space="0"/>
              <w:bottom w:val="single" w:color="auto" w:sz="4" w:space="0"/>
              <w:right w:val="single" w:color="auto" w:sz="4" w:space="0"/>
            </w:tcBorders>
            <w:vAlign w:val="center"/>
          </w:tcPr>
          <w:p w14:paraId="4EA27D0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高温辊床</w:t>
            </w:r>
          </w:p>
        </w:tc>
        <w:tc>
          <w:tcPr>
            <w:tcW w:w="494" w:type="pct"/>
            <w:tcBorders>
              <w:top w:val="single" w:color="auto" w:sz="4" w:space="0"/>
              <w:left w:val="nil"/>
              <w:bottom w:val="single" w:color="auto" w:sz="4" w:space="0"/>
              <w:right w:val="single" w:color="auto" w:sz="4" w:space="0"/>
            </w:tcBorders>
            <w:vAlign w:val="center"/>
          </w:tcPr>
          <w:p w14:paraId="39500F2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6F89414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vMerge w:val="continue"/>
            <w:tcBorders>
              <w:left w:val="nil"/>
              <w:right w:val="single" w:color="auto" w:sz="4" w:space="0"/>
            </w:tcBorders>
            <w:vAlign w:val="center"/>
          </w:tcPr>
          <w:p w14:paraId="5BB98DD8">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1D16CC4D">
        <w:tblPrEx>
          <w:tblCellMar>
            <w:top w:w="0" w:type="dxa"/>
            <w:left w:w="108" w:type="dxa"/>
            <w:bottom w:w="0" w:type="dxa"/>
            <w:right w:w="108" w:type="dxa"/>
          </w:tblCellMar>
        </w:tblPrEx>
        <w:trPr>
          <w:trHeight w:val="333" w:hRule="atLeast"/>
          <w:jc w:val="center"/>
        </w:trPr>
        <w:tc>
          <w:tcPr>
            <w:tcW w:w="394" w:type="pct"/>
            <w:vMerge w:val="continue"/>
            <w:tcBorders>
              <w:top w:val="single" w:color="auto" w:sz="4" w:space="0"/>
              <w:left w:val="single" w:color="auto" w:sz="4" w:space="0"/>
              <w:bottom w:val="single" w:color="auto" w:sz="4" w:space="0"/>
              <w:right w:val="single" w:color="auto" w:sz="4" w:space="0"/>
            </w:tcBorders>
            <w:vAlign w:val="center"/>
          </w:tcPr>
          <w:p w14:paraId="4414736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531" w:type="pct"/>
            <w:vMerge w:val="continue"/>
            <w:tcBorders>
              <w:top w:val="single" w:color="auto" w:sz="4" w:space="0"/>
              <w:left w:val="nil"/>
              <w:bottom w:val="single" w:color="auto" w:sz="4" w:space="0"/>
              <w:right w:val="single" w:color="auto" w:sz="4" w:space="0"/>
            </w:tcBorders>
            <w:vAlign w:val="center"/>
          </w:tcPr>
          <w:p w14:paraId="63A6B207">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c>
          <w:tcPr>
            <w:tcW w:w="1018" w:type="pct"/>
            <w:tcBorders>
              <w:top w:val="single" w:color="auto" w:sz="4" w:space="0"/>
              <w:left w:val="nil"/>
              <w:bottom w:val="single" w:color="auto" w:sz="4" w:space="0"/>
              <w:right w:val="single" w:color="auto" w:sz="4" w:space="0"/>
            </w:tcBorders>
          </w:tcPr>
          <w:p w14:paraId="70A1F4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面漆烘干链</w:t>
            </w:r>
          </w:p>
        </w:tc>
        <w:tc>
          <w:tcPr>
            <w:tcW w:w="897" w:type="pct"/>
            <w:tcBorders>
              <w:top w:val="single" w:color="auto" w:sz="4" w:space="0"/>
              <w:left w:val="single" w:color="auto" w:sz="4" w:space="0"/>
              <w:bottom w:val="single" w:color="auto" w:sz="4" w:space="0"/>
              <w:right w:val="single" w:color="auto" w:sz="4" w:space="0"/>
            </w:tcBorders>
            <w:vAlign w:val="center"/>
          </w:tcPr>
          <w:p w14:paraId="5C5E0E6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双排链</w:t>
            </w:r>
          </w:p>
        </w:tc>
        <w:tc>
          <w:tcPr>
            <w:tcW w:w="494" w:type="pct"/>
            <w:tcBorders>
              <w:top w:val="single" w:color="auto" w:sz="4" w:space="0"/>
              <w:left w:val="nil"/>
              <w:bottom w:val="single" w:color="auto" w:sz="4" w:space="0"/>
              <w:right w:val="single" w:color="auto" w:sz="4" w:space="0"/>
            </w:tcBorders>
            <w:vAlign w:val="center"/>
          </w:tcPr>
          <w:p w14:paraId="531B158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37E453F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vMerge w:val="continue"/>
            <w:tcBorders>
              <w:left w:val="nil"/>
              <w:right w:val="single" w:color="auto" w:sz="4" w:space="0"/>
            </w:tcBorders>
            <w:vAlign w:val="center"/>
          </w:tcPr>
          <w:p w14:paraId="44B3CE65">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0FF225FC">
        <w:tblPrEx>
          <w:tblCellMar>
            <w:top w:w="0" w:type="dxa"/>
            <w:left w:w="108" w:type="dxa"/>
            <w:bottom w:w="0" w:type="dxa"/>
            <w:right w:w="108" w:type="dxa"/>
          </w:tblCellMar>
        </w:tblPrEx>
        <w:trPr>
          <w:trHeight w:val="333" w:hRule="atLeast"/>
          <w:jc w:val="center"/>
        </w:trPr>
        <w:tc>
          <w:tcPr>
            <w:tcW w:w="394" w:type="pct"/>
            <w:vMerge w:val="continue"/>
            <w:tcBorders>
              <w:top w:val="single" w:color="auto" w:sz="4" w:space="0"/>
              <w:left w:val="single" w:color="auto" w:sz="4" w:space="0"/>
              <w:right w:val="single" w:color="auto" w:sz="4" w:space="0"/>
            </w:tcBorders>
            <w:vAlign w:val="center"/>
          </w:tcPr>
          <w:p w14:paraId="712CB54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531" w:type="pct"/>
            <w:vMerge w:val="continue"/>
            <w:tcBorders>
              <w:top w:val="single" w:color="auto" w:sz="4" w:space="0"/>
              <w:left w:val="nil"/>
              <w:right w:val="single" w:color="auto" w:sz="4" w:space="0"/>
            </w:tcBorders>
            <w:vAlign w:val="center"/>
          </w:tcPr>
          <w:p w14:paraId="36031E50">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c>
          <w:tcPr>
            <w:tcW w:w="1018" w:type="pct"/>
            <w:tcBorders>
              <w:top w:val="single" w:color="auto" w:sz="4" w:space="0"/>
              <w:left w:val="nil"/>
              <w:bottom w:val="single" w:color="auto" w:sz="4" w:space="0"/>
              <w:right w:val="single" w:color="auto" w:sz="4" w:space="0"/>
            </w:tcBorders>
            <w:vAlign w:val="center"/>
          </w:tcPr>
          <w:p w14:paraId="643F1A2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B1B2喷漆线</w:t>
            </w:r>
          </w:p>
        </w:tc>
        <w:tc>
          <w:tcPr>
            <w:tcW w:w="897" w:type="pct"/>
            <w:tcBorders>
              <w:top w:val="single" w:color="auto" w:sz="4" w:space="0"/>
              <w:left w:val="single" w:color="auto" w:sz="4" w:space="0"/>
              <w:bottom w:val="single" w:color="auto" w:sz="4" w:space="0"/>
              <w:right w:val="single" w:color="auto" w:sz="4" w:space="0"/>
            </w:tcBorders>
            <w:vAlign w:val="center"/>
          </w:tcPr>
          <w:p w14:paraId="668661A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双排链</w:t>
            </w:r>
          </w:p>
        </w:tc>
        <w:tc>
          <w:tcPr>
            <w:tcW w:w="494" w:type="pct"/>
            <w:tcBorders>
              <w:top w:val="single" w:color="auto" w:sz="4" w:space="0"/>
              <w:left w:val="nil"/>
              <w:bottom w:val="single" w:color="auto" w:sz="4" w:space="0"/>
              <w:right w:val="single" w:color="auto" w:sz="4" w:space="0"/>
            </w:tcBorders>
            <w:vAlign w:val="center"/>
          </w:tcPr>
          <w:p w14:paraId="2C89278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2470DD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vMerge w:val="continue"/>
            <w:tcBorders>
              <w:left w:val="nil"/>
              <w:right w:val="single" w:color="auto" w:sz="4" w:space="0"/>
            </w:tcBorders>
            <w:vAlign w:val="center"/>
          </w:tcPr>
          <w:p w14:paraId="3EF498D5">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5988D93E">
        <w:tblPrEx>
          <w:tblCellMar>
            <w:top w:w="0" w:type="dxa"/>
            <w:left w:w="108" w:type="dxa"/>
            <w:bottom w:w="0" w:type="dxa"/>
            <w:right w:w="108" w:type="dxa"/>
          </w:tblCellMar>
        </w:tblPrEx>
        <w:trPr>
          <w:trHeight w:val="333" w:hRule="atLeast"/>
          <w:jc w:val="center"/>
        </w:trPr>
        <w:tc>
          <w:tcPr>
            <w:tcW w:w="394" w:type="pct"/>
            <w:vMerge w:val="continue"/>
            <w:tcBorders>
              <w:left w:val="single" w:color="auto" w:sz="4" w:space="0"/>
              <w:bottom w:val="single" w:color="auto" w:sz="4" w:space="0"/>
              <w:right w:val="single" w:color="auto" w:sz="4" w:space="0"/>
            </w:tcBorders>
            <w:vAlign w:val="center"/>
          </w:tcPr>
          <w:p w14:paraId="79B740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531" w:type="pct"/>
            <w:vMerge w:val="continue"/>
            <w:tcBorders>
              <w:left w:val="nil"/>
              <w:bottom w:val="single" w:color="auto" w:sz="4" w:space="0"/>
              <w:right w:val="single" w:color="auto" w:sz="4" w:space="0"/>
            </w:tcBorders>
            <w:vAlign w:val="center"/>
          </w:tcPr>
          <w:p w14:paraId="2A7D6EFE">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c>
          <w:tcPr>
            <w:tcW w:w="1018" w:type="pct"/>
            <w:tcBorders>
              <w:top w:val="single" w:color="auto" w:sz="4" w:space="0"/>
              <w:left w:val="nil"/>
              <w:bottom w:val="single" w:color="auto" w:sz="4" w:space="0"/>
              <w:right w:val="single" w:color="auto" w:sz="4" w:space="0"/>
            </w:tcBorders>
            <w:vAlign w:val="center"/>
          </w:tcPr>
          <w:p w14:paraId="5C6247E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CC喷漆链</w:t>
            </w:r>
          </w:p>
        </w:tc>
        <w:tc>
          <w:tcPr>
            <w:tcW w:w="897" w:type="pct"/>
            <w:tcBorders>
              <w:top w:val="nil"/>
              <w:left w:val="single" w:color="auto" w:sz="4" w:space="0"/>
              <w:bottom w:val="single" w:color="auto" w:sz="4" w:space="0"/>
              <w:right w:val="single" w:color="auto" w:sz="4" w:space="0"/>
            </w:tcBorders>
            <w:vAlign w:val="center"/>
          </w:tcPr>
          <w:p w14:paraId="36F94DD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双排链</w:t>
            </w:r>
          </w:p>
        </w:tc>
        <w:tc>
          <w:tcPr>
            <w:tcW w:w="494" w:type="pct"/>
            <w:tcBorders>
              <w:top w:val="nil"/>
              <w:left w:val="nil"/>
              <w:bottom w:val="single" w:color="auto" w:sz="4" w:space="0"/>
              <w:right w:val="single" w:color="auto" w:sz="4" w:space="0"/>
            </w:tcBorders>
            <w:vAlign w:val="center"/>
          </w:tcPr>
          <w:p w14:paraId="21F24FC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4E18668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vMerge w:val="continue"/>
            <w:tcBorders>
              <w:left w:val="nil"/>
              <w:bottom w:val="single" w:color="auto" w:sz="4" w:space="0"/>
              <w:right w:val="single" w:color="auto" w:sz="4" w:space="0"/>
            </w:tcBorders>
            <w:vAlign w:val="center"/>
          </w:tcPr>
          <w:p w14:paraId="0DF940F2">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3D8234AB">
        <w:tblPrEx>
          <w:tblCellMar>
            <w:top w:w="0" w:type="dxa"/>
            <w:left w:w="108" w:type="dxa"/>
            <w:bottom w:w="0" w:type="dxa"/>
            <w:right w:w="108" w:type="dxa"/>
          </w:tblCellMar>
        </w:tblPrEx>
        <w:trPr>
          <w:trHeight w:val="657" w:hRule="atLeast"/>
          <w:jc w:val="center"/>
        </w:trPr>
        <w:tc>
          <w:tcPr>
            <w:tcW w:w="394" w:type="pct"/>
            <w:tcBorders>
              <w:top w:val="nil"/>
              <w:left w:val="single" w:color="auto" w:sz="4" w:space="0"/>
              <w:bottom w:val="single" w:color="auto" w:sz="4" w:space="0"/>
              <w:right w:val="single" w:color="auto" w:sz="4" w:space="0"/>
            </w:tcBorders>
            <w:vAlign w:val="center"/>
          </w:tcPr>
          <w:p w14:paraId="263FA98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1549" w:type="pct"/>
            <w:gridSpan w:val="2"/>
            <w:tcBorders>
              <w:top w:val="nil"/>
              <w:left w:val="nil"/>
              <w:bottom w:val="single" w:color="auto" w:sz="4" w:space="0"/>
              <w:right w:val="single" w:color="auto" w:sz="4" w:space="0"/>
            </w:tcBorders>
            <w:vAlign w:val="center"/>
          </w:tcPr>
          <w:p w14:paraId="081241B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PVC输送线</w:t>
            </w:r>
          </w:p>
        </w:tc>
        <w:tc>
          <w:tcPr>
            <w:tcW w:w="897" w:type="pct"/>
            <w:tcBorders>
              <w:top w:val="nil"/>
              <w:left w:val="nil"/>
              <w:bottom w:val="single" w:color="auto" w:sz="4" w:space="0"/>
              <w:right w:val="single" w:color="auto" w:sz="4" w:space="0"/>
            </w:tcBorders>
            <w:vAlign w:val="center"/>
          </w:tcPr>
          <w:p w14:paraId="5C091914">
            <w:pPr>
              <w:pageBreakBefore w:val="0"/>
              <w:widowControl/>
              <w:kinsoku/>
              <w:wordWrap/>
              <w:topLinePunct w:val="0"/>
              <w:bidi w:val="0"/>
              <w:adjustRightInd w:val="0"/>
              <w:snapToGrid w:val="0"/>
              <w:spacing w:afterAutospacing="0" w:line="240" w:lineRule="auto"/>
              <w:ind w:left="0" w:leftChars="0" w:firstLine="0" w:firstLineChars="0"/>
              <w:jc w:val="center"/>
              <w:rPr>
                <w:rFonts w:hint="default" w:ascii="宋体" w:hAnsi="宋体" w:eastAsia="宋体" w:cs="宋体"/>
                <w:sz w:val="24"/>
                <w:lang w:val="en-US" w:eastAsia="zh-CN"/>
              </w:rPr>
            </w:pPr>
            <w:r>
              <w:rPr>
                <w:rFonts w:hint="eastAsia" w:ascii="宋体" w:hAnsi="宋体" w:cs="宋体"/>
                <w:sz w:val="24"/>
                <w:lang w:val="en-US" w:eastAsia="zh-CN"/>
              </w:rPr>
              <w:t>葫芦线</w:t>
            </w:r>
          </w:p>
        </w:tc>
        <w:tc>
          <w:tcPr>
            <w:tcW w:w="494" w:type="pct"/>
            <w:tcBorders>
              <w:top w:val="nil"/>
              <w:left w:val="nil"/>
              <w:bottom w:val="single" w:color="auto" w:sz="4" w:space="0"/>
              <w:right w:val="single" w:color="auto" w:sz="4" w:space="0"/>
            </w:tcBorders>
            <w:vAlign w:val="center"/>
          </w:tcPr>
          <w:p w14:paraId="09D17F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275BD7A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tcBorders>
              <w:top w:val="nil"/>
              <w:left w:val="nil"/>
              <w:bottom w:val="single" w:color="auto" w:sz="4" w:space="0"/>
              <w:right w:val="single" w:color="auto" w:sz="4" w:space="0"/>
            </w:tcBorders>
            <w:vAlign w:val="center"/>
          </w:tcPr>
          <w:p w14:paraId="0997F9D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804AD13">
        <w:tblPrEx>
          <w:tblCellMar>
            <w:top w:w="0" w:type="dxa"/>
            <w:left w:w="108" w:type="dxa"/>
            <w:bottom w:w="0" w:type="dxa"/>
            <w:right w:w="108" w:type="dxa"/>
          </w:tblCellMar>
        </w:tblPrEx>
        <w:trPr>
          <w:trHeight w:val="816" w:hRule="atLeast"/>
          <w:jc w:val="center"/>
        </w:trPr>
        <w:tc>
          <w:tcPr>
            <w:tcW w:w="394" w:type="pct"/>
            <w:tcBorders>
              <w:top w:val="nil"/>
              <w:left w:val="single" w:color="auto" w:sz="4" w:space="0"/>
              <w:bottom w:val="single" w:color="auto" w:sz="4" w:space="0"/>
              <w:right w:val="single" w:color="auto" w:sz="4" w:space="0"/>
            </w:tcBorders>
            <w:vAlign w:val="center"/>
          </w:tcPr>
          <w:p w14:paraId="0C19DE2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1549" w:type="pct"/>
            <w:gridSpan w:val="2"/>
            <w:tcBorders>
              <w:top w:val="nil"/>
              <w:left w:val="nil"/>
              <w:bottom w:val="single" w:color="auto" w:sz="4" w:space="0"/>
              <w:right w:val="single" w:color="auto" w:sz="4" w:space="0"/>
            </w:tcBorders>
            <w:vAlign w:val="center"/>
          </w:tcPr>
          <w:p w14:paraId="37F8AC0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辊床滑橇输送系统</w:t>
            </w:r>
          </w:p>
        </w:tc>
        <w:tc>
          <w:tcPr>
            <w:tcW w:w="897" w:type="pct"/>
            <w:tcBorders>
              <w:top w:val="nil"/>
              <w:left w:val="nil"/>
              <w:bottom w:val="single" w:color="auto" w:sz="4" w:space="0"/>
              <w:right w:val="single" w:color="auto" w:sz="4" w:space="0"/>
            </w:tcBorders>
            <w:vAlign w:val="center"/>
          </w:tcPr>
          <w:p w14:paraId="36A9056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辊床/摩擦辊床</w:t>
            </w:r>
          </w:p>
        </w:tc>
        <w:tc>
          <w:tcPr>
            <w:tcW w:w="494" w:type="pct"/>
            <w:tcBorders>
              <w:top w:val="nil"/>
              <w:left w:val="nil"/>
              <w:bottom w:val="single" w:color="auto" w:sz="4" w:space="0"/>
              <w:right w:val="single" w:color="auto" w:sz="4" w:space="0"/>
            </w:tcBorders>
            <w:vAlign w:val="center"/>
          </w:tcPr>
          <w:p w14:paraId="031DF94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38EC851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tcBorders>
              <w:top w:val="nil"/>
              <w:left w:val="nil"/>
              <w:bottom w:val="single" w:color="auto" w:sz="4" w:space="0"/>
              <w:right w:val="single" w:color="auto" w:sz="4" w:space="0"/>
            </w:tcBorders>
            <w:vAlign w:val="center"/>
          </w:tcPr>
          <w:p w14:paraId="49442067">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5A70F639">
        <w:tblPrEx>
          <w:tblCellMar>
            <w:top w:w="0" w:type="dxa"/>
            <w:left w:w="108" w:type="dxa"/>
            <w:bottom w:w="0" w:type="dxa"/>
            <w:right w:w="108" w:type="dxa"/>
          </w:tblCellMar>
        </w:tblPrEx>
        <w:trPr>
          <w:trHeight w:val="333" w:hRule="atLeast"/>
          <w:jc w:val="center"/>
        </w:trPr>
        <w:tc>
          <w:tcPr>
            <w:tcW w:w="394" w:type="pct"/>
            <w:tcBorders>
              <w:top w:val="nil"/>
              <w:left w:val="single" w:color="auto" w:sz="4" w:space="0"/>
              <w:bottom w:val="single" w:color="auto" w:sz="4" w:space="0"/>
              <w:right w:val="single" w:color="auto" w:sz="4" w:space="0"/>
            </w:tcBorders>
            <w:vAlign w:val="center"/>
          </w:tcPr>
          <w:p w14:paraId="020444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1549" w:type="pct"/>
            <w:gridSpan w:val="2"/>
            <w:tcBorders>
              <w:top w:val="nil"/>
              <w:left w:val="nil"/>
              <w:bottom w:val="single" w:color="auto" w:sz="4" w:space="0"/>
              <w:right w:val="single" w:color="auto" w:sz="4" w:space="0"/>
            </w:tcBorders>
            <w:vAlign w:val="center"/>
          </w:tcPr>
          <w:p w14:paraId="2D788D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拆、堆垛设备</w:t>
            </w:r>
          </w:p>
        </w:tc>
        <w:tc>
          <w:tcPr>
            <w:tcW w:w="897" w:type="pct"/>
            <w:tcBorders>
              <w:top w:val="nil"/>
              <w:left w:val="nil"/>
              <w:bottom w:val="single" w:color="auto" w:sz="4" w:space="0"/>
              <w:right w:val="single" w:color="auto" w:sz="4" w:space="0"/>
            </w:tcBorders>
            <w:vAlign w:val="center"/>
          </w:tcPr>
          <w:p w14:paraId="40893F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w:t>
            </w:r>
          </w:p>
        </w:tc>
        <w:tc>
          <w:tcPr>
            <w:tcW w:w="494" w:type="pct"/>
            <w:tcBorders>
              <w:top w:val="nil"/>
              <w:left w:val="nil"/>
              <w:bottom w:val="single" w:color="auto" w:sz="4" w:space="0"/>
              <w:right w:val="single" w:color="auto" w:sz="4" w:space="0"/>
            </w:tcBorders>
            <w:vAlign w:val="center"/>
          </w:tcPr>
          <w:p w14:paraId="7B0104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3116049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974" w:type="pct"/>
            <w:tcBorders>
              <w:top w:val="nil"/>
              <w:left w:val="nil"/>
              <w:bottom w:val="single" w:color="auto" w:sz="4" w:space="0"/>
              <w:right w:val="single" w:color="auto" w:sz="4" w:space="0"/>
            </w:tcBorders>
            <w:vAlign w:val="center"/>
          </w:tcPr>
          <w:p w14:paraId="7AB4C04E">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4CBC5D9E">
        <w:tblPrEx>
          <w:tblCellMar>
            <w:top w:w="0" w:type="dxa"/>
            <w:left w:w="108" w:type="dxa"/>
            <w:bottom w:w="0" w:type="dxa"/>
            <w:right w:w="108" w:type="dxa"/>
          </w:tblCellMar>
        </w:tblPrEx>
        <w:trPr>
          <w:trHeight w:val="333" w:hRule="atLeast"/>
          <w:jc w:val="center"/>
        </w:trPr>
        <w:tc>
          <w:tcPr>
            <w:tcW w:w="394" w:type="pct"/>
            <w:tcBorders>
              <w:top w:val="nil"/>
              <w:left w:val="single" w:color="auto" w:sz="4" w:space="0"/>
              <w:bottom w:val="single" w:color="auto" w:sz="4" w:space="0"/>
              <w:right w:val="single" w:color="auto" w:sz="4" w:space="0"/>
            </w:tcBorders>
            <w:vAlign w:val="center"/>
          </w:tcPr>
          <w:p w14:paraId="104A245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1549" w:type="pct"/>
            <w:gridSpan w:val="2"/>
            <w:tcBorders>
              <w:top w:val="nil"/>
              <w:left w:val="nil"/>
              <w:bottom w:val="single" w:color="auto" w:sz="4" w:space="0"/>
              <w:right w:val="single" w:color="auto" w:sz="4" w:space="0"/>
            </w:tcBorders>
            <w:vAlign w:val="center"/>
          </w:tcPr>
          <w:p w14:paraId="6E31152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滑橇定位检测装置</w:t>
            </w:r>
          </w:p>
        </w:tc>
        <w:tc>
          <w:tcPr>
            <w:tcW w:w="897" w:type="pct"/>
            <w:tcBorders>
              <w:top w:val="nil"/>
              <w:left w:val="nil"/>
              <w:bottom w:val="single" w:color="auto" w:sz="4" w:space="0"/>
              <w:right w:val="single" w:color="auto" w:sz="4" w:space="0"/>
            </w:tcBorders>
            <w:vAlign w:val="center"/>
          </w:tcPr>
          <w:p w14:paraId="6EADC3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w:t>
            </w:r>
          </w:p>
        </w:tc>
        <w:tc>
          <w:tcPr>
            <w:tcW w:w="494" w:type="pct"/>
            <w:tcBorders>
              <w:top w:val="nil"/>
              <w:left w:val="nil"/>
              <w:bottom w:val="single" w:color="auto" w:sz="4" w:space="0"/>
              <w:right w:val="single" w:color="auto" w:sz="4" w:space="0"/>
            </w:tcBorders>
            <w:vAlign w:val="center"/>
          </w:tcPr>
          <w:p w14:paraId="33FE854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16F5147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974" w:type="pct"/>
            <w:tcBorders>
              <w:top w:val="nil"/>
              <w:left w:val="nil"/>
              <w:bottom w:val="single" w:color="auto" w:sz="4" w:space="0"/>
              <w:right w:val="single" w:color="auto" w:sz="4" w:space="0"/>
            </w:tcBorders>
            <w:vAlign w:val="center"/>
          </w:tcPr>
          <w:p w14:paraId="6F9CCEDD">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电泳车间和面漆车间各一套</w:t>
            </w:r>
          </w:p>
        </w:tc>
      </w:tr>
      <w:tr w14:paraId="6F47ED8A">
        <w:tblPrEx>
          <w:tblCellMar>
            <w:top w:w="0" w:type="dxa"/>
            <w:left w:w="108" w:type="dxa"/>
            <w:bottom w:w="0" w:type="dxa"/>
            <w:right w:w="108" w:type="dxa"/>
          </w:tblCellMar>
        </w:tblPrEx>
        <w:trPr>
          <w:trHeight w:val="383" w:hRule="atLeast"/>
          <w:jc w:val="center"/>
        </w:trPr>
        <w:tc>
          <w:tcPr>
            <w:tcW w:w="394" w:type="pct"/>
            <w:tcBorders>
              <w:top w:val="nil"/>
              <w:left w:val="single" w:color="auto" w:sz="4" w:space="0"/>
              <w:bottom w:val="single" w:color="auto" w:sz="4" w:space="0"/>
              <w:right w:val="single" w:color="auto" w:sz="4" w:space="0"/>
            </w:tcBorders>
            <w:vAlign w:val="center"/>
          </w:tcPr>
          <w:p w14:paraId="1A394FF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1549" w:type="pct"/>
            <w:gridSpan w:val="2"/>
            <w:tcBorders>
              <w:top w:val="nil"/>
              <w:left w:val="nil"/>
              <w:bottom w:val="single" w:color="auto" w:sz="4" w:space="0"/>
              <w:right w:val="single" w:color="auto" w:sz="4" w:space="0"/>
            </w:tcBorders>
            <w:vAlign w:val="center"/>
          </w:tcPr>
          <w:p w14:paraId="714CC5C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叉式移载设备</w:t>
            </w:r>
          </w:p>
        </w:tc>
        <w:tc>
          <w:tcPr>
            <w:tcW w:w="897" w:type="pct"/>
            <w:tcBorders>
              <w:top w:val="nil"/>
              <w:left w:val="nil"/>
              <w:bottom w:val="single" w:color="auto" w:sz="4" w:space="0"/>
              <w:right w:val="single" w:color="auto" w:sz="4" w:space="0"/>
            </w:tcBorders>
            <w:vAlign w:val="center"/>
          </w:tcPr>
          <w:p w14:paraId="12DC32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叉式移载机</w:t>
            </w:r>
          </w:p>
        </w:tc>
        <w:tc>
          <w:tcPr>
            <w:tcW w:w="494" w:type="pct"/>
            <w:tcBorders>
              <w:top w:val="nil"/>
              <w:left w:val="nil"/>
              <w:bottom w:val="single" w:color="auto" w:sz="4" w:space="0"/>
              <w:right w:val="single" w:color="auto" w:sz="4" w:space="0"/>
            </w:tcBorders>
            <w:vAlign w:val="center"/>
          </w:tcPr>
          <w:p w14:paraId="06D9063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24B9615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w:t>
            </w:r>
          </w:p>
        </w:tc>
        <w:tc>
          <w:tcPr>
            <w:tcW w:w="974" w:type="pct"/>
            <w:tcBorders>
              <w:top w:val="nil"/>
              <w:left w:val="nil"/>
              <w:bottom w:val="single" w:color="auto" w:sz="4" w:space="0"/>
              <w:right w:val="single" w:color="auto" w:sz="4" w:space="0"/>
            </w:tcBorders>
            <w:vAlign w:val="center"/>
          </w:tcPr>
          <w:p w14:paraId="0B5FD115">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预留位置</w:t>
            </w:r>
          </w:p>
        </w:tc>
      </w:tr>
      <w:tr w14:paraId="1036C238">
        <w:tblPrEx>
          <w:tblCellMar>
            <w:top w:w="0" w:type="dxa"/>
            <w:left w:w="108" w:type="dxa"/>
            <w:bottom w:w="0" w:type="dxa"/>
            <w:right w:w="108" w:type="dxa"/>
          </w:tblCellMar>
        </w:tblPrEx>
        <w:trPr>
          <w:trHeight w:val="333" w:hRule="atLeast"/>
          <w:jc w:val="center"/>
        </w:trPr>
        <w:tc>
          <w:tcPr>
            <w:tcW w:w="394" w:type="pct"/>
            <w:tcBorders>
              <w:top w:val="nil"/>
              <w:left w:val="single" w:color="auto" w:sz="4" w:space="0"/>
              <w:bottom w:val="single" w:color="auto" w:sz="4" w:space="0"/>
              <w:right w:val="single" w:color="auto" w:sz="4" w:space="0"/>
            </w:tcBorders>
            <w:vAlign w:val="center"/>
          </w:tcPr>
          <w:p w14:paraId="4B2881A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w:t>
            </w:r>
          </w:p>
        </w:tc>
        <w:tc>
          <w:tcPr>
            <w:tcW w:w="1549" w:type="pct"/>
            <w:gridSpan w:val="2"/>
            <w:tcBorders>
              <w:top w:val="nil"/>
              <w:left w:val="nil"/>
              <w:bottom w:val="single" w:color="auto" w:sz="4" w:space="0"/>
              <w:right w:val="single" w:color="auto" w:sz="4" w:space="0"/>
            </w:tcBorders>
            <w:vAlign w:val="center"/>
          </w:tcPr>
          <w:p w14:paraId="2565AC3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PVC升降机</w:t>
            </w:r>
          </w:p>
        </w:tc>
        <w:tc>
          <w:tcPr>
            <w:tcW w:w="897" w:type="pct"/>
            <w:tcBorders>
              <w:left w:val="nil"/>
              <w:bottom w:val="single" w:color="auto" w:sz="4" w:space="0"/>
              <w:right w:val="single" w:color="auto" w:sz="4" w:space="0"/>
            </w:tcBorders>
            <w:vAlign w:val="center"/>
          </w:tcPr>
          <w:p w14:paraId="6459B6B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lang w:eastAsia="zh-CN"/>
              </w:rPr>
            </w:pPr>
            <w:r>
              <w:rPr>
                <w:rFonts w:hint="eastAsia" w:ascii="宋体" w:hAnsi="宋体" w:eastAsia="宋体" w:cs="宋体"/>
                <w:sz w:val="24"/>
                <w:lang w:eastAsia="zh-CN"/>
              </w:rPr>
              <w:t>带式升降机</w:t>
            </w:r>
          </w:p>
        </w:tc>
        <w:tc>
          <w:tcPr>
            <w:tcW w:w="494" w:type="pct"/>
            <w:tcBorders>
              <w:left w:val="nil"/>
              <w:bottom w:val="single" w:color="auto" w:sz="4" w:space="0"/>
              <w:right w:val="single" w:color="auto" w:sz="4" w:space="0"/>
            </w:tcBorders>
          </w:tcPr>
          <w:p w14:paraId="06A29DA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lang w:eastAsia="zh-CN"/>
              </w:rPr>
            </w:pPr>
            <w:r>
              <w:rPr>
                <w:rFonts w:hint="eastAsia" w:ascii="宋体" w:hAnsi="宋体" w:eastAsia="宋体" w:cs="宋体"/>
                <w:sz w:val="24"/>
                <w:lang w:eastAsia="zh-CN"/>
              </w:rPr>
              <w:t>套</w:t>
            </w:r>
          </w:p>
        </w:tc>
        <w:tc>
          <w:tcPr>
            <w:tcW w:w="689" w:type="pct"/>
            <w:tcBorders>
              <w:top w:val="nil"/>
              <w:left w:val="nil"/>
              <w:bottom w:val="single" w:color="auto" w:sz="4" w:space="0"/>
              <w:right w:val="single" w:color="auto" w:sz="4" w:space="0"/>
            </w:tcBorders>
            <w:vAlign w:val="center"/>
          </w:tcPr>
          <w:p w14:paraId="4EA59A6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cs="宋体"/>
                <w:sz w:val="24"/>
                <w:lang w:val="en-US" w:eastAsia="zh-CN"/>
              </w:rPr>
              <w:t>/</w:t>
            </w:r>
          </w:p>
        </w:tc>
        <w:tc>
          <w:tcPr>
            <w:tcW w:w="974" w:type="pct"/>
            <w:tcBorders>
              <w:left w:val="nil"/>
              <w:bottom w:val="single" w:color="auto" w:sz="4" w:space="0"/>
              <w:right w:val="single" w:color="auto" w:sz="4" w:space="0"/>
            </w:tcBorders>
            <w:vAlign w:val="center"/>
          </w:tcPr>
          <w:p w14:paraId="51461D0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含成品件</w:t>
            </w:r>
          </w:p>
          <w:p w14:paraId="6CB7AED9">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落地式安全围栏</w:t>
            </w:r>
          </w:p>
        </w:tc>
      </w:tr>
      <w:tr w14:paraId="27065945">
        <w:tblPrEx>
          <w:tblCellMar>
            <w:top w:w="0" w:type="dxa"/>
            <w:left w:w="108" w:type="dxa"/>
            <w:bottom w:w="0" w:type="dxa"/>
            <w:right w:w="108" w:type="dxa"/>
          </w:tblCellMar>
        </w:tblPrEx>
        <w:trPr>
          <w:trHeight w:val="333" w:hRule="atLeast"/>
          <w:jc w:val="center"/>
        </w:trPr>
        <w:tc>
          <w:tcPr>
            <w:tcW w:w="394" w:type="pct"/>
            <w:tcBorders>
              <w:top w:val="nil"/>
              <w:left w:val="single" w:color="auto" w:sz="4" w:space="0"/>
              <w:bottom w:val="single" w:color="auto" w:sz="4" w:space="0"/>
              <w:right w:val="single" w:color="auto" w:sz="4" w:space="0"/>
            </w:tcBorders>
            <w:vAlign w:val="center"/>
          </w:tcPr>
          <w:p w14:paraId="483C5F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11</w:t>
            </w:r>
          </w:p>
        </w:tc>
        <w:tc>
          <w:tcPr>
            <w:tcW w:w="1549" w:type="pct"/>
            <w:gridSpan w:val="2"/>
            <w:tcBorders>
              <w:top w:val="nil"/>
              <w:left w:val="nil"/>
              <w:bottom w:val="single" w:color="auto" w:sz="4" w:space="0"/>
              <w:right w:val="single" w:color="auto" w:sz="4" w:space="0"/>
            </w:tcBorders>
            <w:vAlign w:val="center"/>
          </w:tcPr>
          <w:p w14:paraId="5F56B1C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钢结构</w:t>
            </w:r>
          </w:p>
        </w:tc>
        <w:tc>
          <w:tcPr>
            <w:tcW w:w="897" w:type="pct"/>
            <w:tcBorders>
              <w:top w:val="nil"/>
              <w:left w:val="nil"/>
              <w:bottom w:val="single" w:color="auto" w:sz="4" w:space="0"/>
              <w:right w:val="single" w:color="auto" w:sz="4" w:space="0"/>
            </w:tcBorders>
            <w:vAlign w:val="center"/>
          </w:tcPr>
          <w:p w14:paraId="76FAB31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w:t>
            </w:r>
          </w:p>
        </w:tc>
        <w:tc>
          <w:tcPr>
            <w:tcW w:w="494" w:type="pct"/>
            <w:tcBorders>
              <w:top w:val="nil"/>
              <w:left w:val="nil"/>
              <w:bottom w:val="single" w:color="auto" w:sz="4" w:space="0"/>
              <w:right w:val="single" w:color="auto" w:sz="4" w:space="0"/>
            </w:tcBorders>
          </w:tcPr>
          <w:p w14:paraId="43424E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吨</w:t>
            </w:r>
          </w:p>
        </w:tc>
        <w:tc>
          <w:tcPr>
            <w:tcW w:w="689" w:type="pct"/>
            <w:tcBorders>
              <w:top w:val="nil"/>
              <w:left w:val="nil"/>
              <w:bottom w:val="single" w:color="auto" w:sz="4" w:space="0"/>
              <w:right w:val="single" w:color="auto" w:sz="4" w:space="0"/>
            </w:tcBorders>
            <w:vAlign w:val="center"/>
          </w:tcPr>
          <w:p w14:paraId="5ACECA7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974" w:type="pct"/>
            <w:tcBorders>
              <w:top w:val="single" w:color="auto" w:sz="4" w:space="0"/>
              <w:left w:val="nil"/>
              <w:bottom w:val="single" w:color="auto" w:sz="4" w:space="0"/>
              <w:right w:val="single" w:color="auto" w:sz="4" w:space="0"/>
            </w:tcBorders>
            <w:vAlign w:val="center"/>
          </w:tcPr>
          <w:p w14:paraId="0889FFA9">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设计</w:t>
            </w:r>
            <w:r>
              <w:rPr>
                <w:rFonts w:hint="eastAsia" w:ascii="宋体" w:hAnsi="宋体" w:cs="宋体"/>
                <w:sz w:val="24"/>
                <w:lang w:eastAsia="zh-CN"/>
              </w:rPr>
              <w:t>招标人</w:t>
            </w:r>
            <w:r>
              <w:rPr>
                <w:rFonts w:hint="eastAsia" w:ascii="宋体" w:hAnsi="宋体" w:eastAsia="宋体" w:cs="宋体"/>
                <w:sz w:val="24"/>
              </w:rPr>
              <w:t>确认</w:t>
            </w:r>
          </w:p>
        </w:tc>
      </w:tr>
      <w:tr w14:paraId="433E26A3">
        <w:tblPrEx>
          <w:tblCellMar>
            <w:top w:w="0" w:type="dxa"/>
            <w:left w:w="108" w:type="dxa"/>
            <w:bottom w:w="0" w:type="dxa"/>
            <w:right w:w="108" w:type="dxa"/>
          </w:tblCellMar>
        </w:tblPrEx>
        <w:trPr>
          <w:trHeight w:val="333" w:hRule="atLeast"/>
          <w:jc w:val="center"/>
        </w:trPr>
        <w:tc>
          <w:tcPr>
            <w:tcW w:w="394" w:type="pct"/>
            <w:tcBorders>
              <w:top w:val="nil"/>
              <w:left w:val="single" w:color="auto" w:sz="4" w:space="0"/>
              <w:bottom w:val="single" w:color="auto" w:sz="4" w:space="0"/>
              <w:right w:val="single" w:color="auto" w:sz="4" w:space="0"/>
            </w:tcBorders>
            <w:vAlign w:val="center"/>
          </w:tcPr>
          <w:p w14:paraId="0F0E200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w:t>
            </w:r>
          </w:p>
        </w:tc>
        <w:tc>
          <w:tcPr>
            <w:tcW w:w="1549" w:type="pct"/>
            <w:gridSpan w:val="2"/>
            <w:tcBorders>
              <w:top w:val="nil"/>
              <w:left w:val="nil"/>
              <w:bottom w:val="single" w:color="auto" w:sz="4" w:space="0"/>
              <w:right w:val="single" w:color="auto" w:sz="4" w:space="0"/>
            </w:tcBorders>
            <w:vAlign w:val="center"/>
          </w:tcPr>
          <w:p w14:paraId="3E3177D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车型识别系统</w:t>
            </w:r>
          </w:p>
        </w:tc>
        <w:tc>
          <w:tcPr>
            <w:tcW w:w="897" w:type="pct"/>
            <w:tcBorders>
              <w:top w:val="nil"/>
              <w:left w:val="nil"/>
              <w:bottom w:val="single" w:color="auto" w:sz="4" w:space="0"/>
              <w:right w:val="single" w:color="auto" w:sz="4" w:space="0"/>
            </w:tcBorders>
            <w:vAlign w:val="center"/>
          </w:tcPr>
          <w:p w14:paraId="7007E52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AVI系统</w:t>
            </w:r>
          </w:p>
        </w:tc>
        <w:tc>
          <w:tcPr>
            <w:tcW w:w="494" w:type="pct"/>
            <w:tcBorders>
              <w:top w:val="nil"/>
              <w:left w:val="nil"/>
              <w:bottom w:val="single" w:color="auto" w:sz="4" w:space="0"/>
              <w:right w:val="single" w:color="auto" w:sz="4" w:space="0"/>
            </w:tcBorders>
            <w:vAlign w:val="center"/>
          </w:tcPr>
          <w:p w14:paraId="5ACA4A7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07C325F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tcBorders>
              <w:top w:val="single" w:color="auto" w:sz="4" w:space="0"/>
              <w:left w:val="nil"/>
              <w:bottom w:val="single" w:color="auto" w:sz="4" w:space="0"/>
              <w:right w:val="single" w:color="auto" w:sz="4" w:space="0"/>
            </w:tcBorders>
            <w:vAlign w:val="center"/>
          </w:tcPr>
          <w:p w14:paraId="694459D9">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07E51AA1">
        <w:tblPrEx>
          <w:tblCellMar>
            <w:top w:w="0" w:type="dxa"/>
            <w:left w:w="108" w:type="dxa"/>
            <w:bottom w:w="0" w:type="dxa"/>
            <w:right w:w="108" w:type="dxa"/>
          </w:tblCellMar>
        </w:tblPrEx>
        <w:trPr>
          <w:trHeight w:val="333" w:hRule="atLeast"/>
          <w:jc w:val="center"/>
        </w:trPr>
        <w:tc>
          <w:tcPr>
            <w:tcW w:w="394" w:type="pct"/>
            <w:tcBorders>
              <w:top w:val="nil"/>
              <w:left w:val="single" w:color="auto" w:sz="4" w:space="0"/>
              <w:bottom w:val="single" w:color="auto" w:sz="4" w:space="0"/>
              <w:right w:val="single" w:color="auto" w:sz="4" w:space="0"/>
            </w:tcBorders>
            <w:vAlign w:val="center"/>
          </w:tcPr>
          <w:p w14:paraId="342AE2C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13</w:t>
            </w:r>
          </w:p>
        </w:tc>
        <w:tc>
          <w:tcPr>
            <w:tcW w:w="1549" w:type="pct"/>
            <w:gridSpan w:val="2"/>
            <w:tcBorders>
              <w:top w:val="nil"/>
              <w:left w:val="nil"/>
              <w:bottom w:val="single" w:color="auto" w:sz="4" w:space="0"/>
              <w:right w:val="single" w:color="auto" w:sz="4" w:space="0"/>
            </w:tcBorders>
            <w:vAlign w:val="center"/>
          </w:tcPr>
          <w:p w14:paraId="33AD9EB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电控系统</w:t>
            </w:r>
          </w:p>
        </w:tc>
        <w:tc>
          <w:tcPr>
            <w:tcW w:w="897" w:type="pct"/>
            <w:tcBorders>
              <w:top w:val="nil"/>
              <w:left w:val="nil"/>
              <w:bottom w:val="single" w:color="auto" w:sz="4" w:space="0"/>
              <w:right w:val="single" w:color="auto" w:sz="4" w:space="0"/>
            </w:tcBorders>
            <w:vAlign w:val="center"/>
          </w:tcPr>
          <w:p w14:paraId="3F02E5E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w:t>
            </w:r>
          </w:p>
        </w:tc>
        <w:tc>
          <w:tcPr>
            <w:tcW w:w="494" w:type="pct"/>
            <w:tcBorders>
              <w:top w:val="nil"/>
              <w:left w:val="nil"/>
              <w:bottom w:val="single" w:color="auto" w:sz="4" w:space="0"/>
              <w:right w:val="single" w:color="auto" w:sz="4" w:space="0"/>
            </w:tcBorders>
            <w:vAlign w:val="center"/>
          </w:tcPr>
          <w:p w14:paraId="0AE9609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nil"/>
              <w:left w:val="nil"/>
              <w:bottom w:val="single" w:color="auto" w:sz="4" w:space="0"/>
              <w:right w:val="single" w:color="auto" w:sz="4" w:space="0"/>
            </w:tcBorders>
            <w:vAlign w:val="center"/>
          </w:tcPr>
          <w:p w14:paraId="6795CA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tcBorders>
              <w:top w:val="single" w:color="auto" w:sz="4" w:space="0"/>
              <w:left w:val="nil"/>
              <w:bottom w:val="single" w:color="auto" w:sz="4" w:space="0"/>
              <w:right w:val="single" w:color="auto" w:sz="4" w:space="0"/>
            </w:tcBorders>
            <w:vAlign w:val="center"/>
          </w:tcPr>
          <w:p w14:paraId="7D1B18E2">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6B7D1485">
        <w:tblPrEx>
          <w:tblCellMar>
            <w:top w:w="0" w:type="dxa"/>
            <w:left w:w="108" w:type="dxa"/>
            <w:bottom w:w="0" w:type="dxa"/>
            <w:right w:w="108" w:type="dxa"/>
          </w:tblCellMar>
        </w:tblPrEx>
        <w:trPr>
          <w:trHeight w:val="333"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1523606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14</w:t>
            </w:r>
          </w:p>
        </w:tc>
        <w:tc>
          <w:tcPr>
            <w:tcW w:w="1549" w:type="pct"/>
            <w:gridSpan w:val="2"/>
            <w:tcBorders>
              <w:top w:val="single" w:color="auto" w:sz="4" w:space="0"/>
              <w:left w:val="nil"/>
              <w:bottom w:val="single" w:color="auto" w:sz="4" w:space="0"/>
              <w:right w:val="single" w:color="auto" w:sz="4" w:space="0"/>
            </w:tcBorders>
            <w:vAlign w:val="center"/>
          </w:tcPr>
          <w:p w14:paraId="459897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备件框起吊设备</w:t>
            </w:r>
          </w:p>
        </w:tc>
        <w:tc>
          <w:tcPr>
            <w:tcW w:w="897" w:type="pct"/>
            <w:tcBorders>
              <w:top w:val="single" w:color="auto" w:sz="4" w:space="0"/>
              <w:left w:val="nil"/>
              <w:bottom w:val="single" w:color="auto" w:sz="4" w:space="0"/>
              <w:right w:val="single" w:color="auto" w:sz="4" w:space="0"/>
            </w:tcBorders>
            <w:vAlign w:val="center"/>
          </w:tcPr>
          <w:p w14:paraId="777A0CC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电动葫芦</w:t>
            </w:r>
          </w:p>
        </w:tc>
        <w:tc>
          <w:tcPr>
            <w:tcW w:w="494" w:type="pct"/>
            <w:tcBorders>
              <w:top w:val="single" w:color="auto" w:sz="4" w:space="0"/>
              <w:left w:val="nil"/>
              <w:bottom w:val="single" w:color="auto" w:sz="4" w:space="0"/>
              <w:right w:val="single" w:color="auto" w:sz="4" w:space="0"/>
            </w:tcBorders>
            <w:vAlign w:val="center"/>
          </w:tcPr>
          <w:p w14:paraId="5A46927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45A276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974" w:type="pct"/>
            <w:tcBorders>
              <w:top w:val="single" w:color="auto" w:sz="4" w:space="0"/>
              <w:left w:val="nil"/>
              <w:bottom w:val="single" w:color="auto" w:sz="4" w:space="0"/>
              <w:right w:val="single" w:color="auto" w:sz="4" w:space="0"/>
            </w:tcBorders>
            <w:vAlign w:val="center"/>
          </w:tcPr>
          <w:p w14:paraId="508A417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3吨承载</w:t>
            </w:r>
          </w:p>
        </w:tc>
      </w:tr>
      <w:tr w14:paraId="4326126B">
        <w:tblPrEx>
          <w:tblCellMar>
            <w:top w:w="0" w:type="dxa"/>
            <w:left w:w="108" w:type="dxa"/>
            <w:bottom w:w="0" w:type="dxa"/>
            <w:right w:w="108" w:type="dxa"/>
          </w:tblCellMar>
        </w:tblPrEx>
        <w:trPr>
          <w:trHeight w:val="333"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4B4AF11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15</w:t>
            </w:r>
          </w:p>
        </w:tc>
        <w:tc>
          <w:tcPr>
            <w:tcW w:w="1549" w:type="pct"/>
            <w:gridSpan w:val="2"/>
            <w:tcBorders>
              <w:top w:val="single" w:color="auto" w:sz="4" w:space="0"/>
              <w:left w:val="nil"/>
              <w:bottom w:val="single" w:color="auto" w:sz="4" w:space="0"/>
              <w:right w:val="single" w:color="auto" w:sz="4" w:space="0"/>
            </w:tcBorders>
            <w:vAlign w:val="center"/>
          </w:tcPr>
          <w:p w14:paraId="7637643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滑橇高压清洗间辊床</w:t>
            </w:r>
          </w:p>
        </w:tc>
        <w:tc>
          <w:tcPr>
            <w:tcW w:w="897" w:type="pct"/>
            <w:tcBorders>
              <w:top w:val="single" w:color="auto" w:sz="4" w:space="0"/>
              <w:left w:val="nil"/>
              <w:bottom w:val="single" w:color="auto" w:sz="4" w:space="0"/>
              <w:right w:val="single" w:color="auto" w:sz="4" w:space="0"/>
            </w:tcBorders>
            <w:vAlign w:val="center"/>
          </w:tcPr>
          <w:p w14:paraId="4EEA2CF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不锈钢辊床</w:t>
            </w:r>
          </w:p>
        </w:tc>
        <w:tc>
          <w:tcPr>
            <w:tcW w:w="494" w:type="pct"/>
            <w:tcBorders>
              <w:top w:val="single" w:color="auto" w:sz="4" w:space="0"/>
              <w:left w:val="nil"/>
              <w:bottom w:val="single" w:color="auto" w:sz="4" w:space="0"/>
              <w:right w:val="single" w:color="auto" w:sz="4" w:space="0"/>
            </w:tcBorders>
            <w:vAlign w:val="center"/>
          </w:tcPr>
          <w:p w14:paraId="205C3A4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套</w:t>
            </w:r>
          </w:p>
        </w:tc>
        <w:tc>
          <w:tcPr>
            <w:tcW w:w="689" w:type="pct"/>
            <w:tcBorders>
              <w:top w:val="single" w:color="auto" w:sz="4" w:space="0"/>
              <w:left w:val="nil"/>
              <w:bottom w:val="single" w:color="auto" w:sz="4" w:space="0"/>
              <w:right w:val="single" w:color="auto" w:sz="4" w:space="0"/>
            </w:tcBorders>
            <w:vAlign w:val="center"/>
          </w:tcPr>
          <w:p w14:paraId="3DDA3D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974" w:type="pct"/>
            <w:tcBorders>
              <w:top w:val="single" w:color="auto" w:sz="4" w:space="0"/>
              <w:left w:val="nil"/>
              <w:bottom w:val="single" w:color="auto" w:sz="4" w:space="0"/>
              <w:right w:val="single" w:color="auto" w:sz="4" w:space="0"/>
            </w:tcBorders>
            <w:vAlign w:val="center"/>
          </w:tcPr>
          <w:p w14:paraId="465365B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无动力（利旧）</w:t>
            </w:r>
          </w:p>
        </w:tc>
      </w:tr>
      <w:tr w14:paraId="5E599B30">
        <w:tblPrEx>
          <w:tblCellMar>
            <w:top w:w="0" w:type="dxa"/>
            <w:left w:w="108" w:type="dxa"/>
            <w:bottom w:w="0" w:type="dxa"/>
            <w:right w:w="108" w:type="dxa"/>
          </w:tblCellMar>
        </w:tblPrEx>
        <w:trPr>
          <w:trHeight w:val="344"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6E1555D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w:t>
            </w:r>
          </w:p>
        </w:tc>
        <w:tc>
          <w:tcPr>
            <w:tcW w:w="1549" w:type="pct"/>
            <w:gridSpan w:val="2"/>
            <w:tcBorders>
              <w:top w:val="single" w:color="auto" w:sz="4" w:space="0"/>
              <w:left w:val="nil"/>
              <w:bottom w:val="single" w:color="auto" w:sz="4" w:space="0"/>
              <w:right w:val="single" w:color="auto" w:sz="4" w:space="0"/>
            </w:tcBorders>
            <w:vAlign w:val="center"/>
          </w:tcPr>
          <w:p w14:paraId="39BAB84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区间隔离围栏</w:t>
            </w:r>
          </w:p>
        </w:tc>
        <w:tc>
          <w:tcPr>
            <w:tcW w:w="897" w:type="pct"/>
            <w:tcBorders>
              <w:top w:val="single" w:color="auto" w:sz="4" w:space="0"/>
              <w:left w:val="nil"/>
              <w:bottom w:val="single" w:color="auto" w:sz="4" w:space="0"/>
              <w:right w:val="single" w:color="auto" w:sz="4" w:space="0"/>
            </w:tcBorders>
            <w:vAlign w:val="center"/>
          </w:tcPr>
          <w:p w14:paraId="762D7B3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成品件</w:t>
            </w:r>
          </w:p>
        </w:tc>
        <w:tc>
          <w:tcPr>
            <w:tcW w:w="494" w:type="pct"/>
            <w:tcBorders>
              <w:top w:val="single" w:color="auto" w:sz="4" w:space="0"/>
              <w:left w:val="nil"/>
              <w:bottom w:val="single" w:color="auto" w:sz="4" w:space="0"/>
              <w:right w:val="single" w:color="auto" w:sz="4" w:space="0"/>
            </w:tcBorders>
            <w:vAlign w:val="center"/>
          </w:tcPr>
          <w:p w14:paraId="3D4D9D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m</w:t>
            </w:r>
          </w:p>
        </w:tc>
        <w:tc>
          <w:tcPr>
            <w:tcW w:w="689" w:type="pct"/>
            <w:tcBorders>
              <w:top w:val="single" w:color="auto" w:sz="4" w:space="0"/>
              <w:left w:val="nil"/>
              <w:bottom w:val="single" w:color="auto" w:sz="4" w:space="0"/>
              <w:right w:val="single" w:color="auto" w:sz="4" w:space="0"/>
            </w:tcBorders>
            <w:vAlign w:val="center"/>
          </w:tcPr>
          <w:p w14:paraId="6B3F63B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约2000</w:t>
            </w:r>
          </w:p>
          <w:p w14:paraId="35CD3154">
            <w:pPr>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rPr>
            </w:pPr>
          </w:p>
        </w:tc>
        <w:tc>
          <w:tcPr>
            <w:tcW w:w="974" w:type="pct"/>
            <w:tcBorders>
              <w:top w:val="single" w:color="auto" w:sz="4" w:space="0"/>
              <w:left w:val="nil"/>
              <w:bottom w:val="single" w:color="auto" w:sz="4" w:space="0"/>
              <w:right w:val="single" w:color="auto" w:sz="4" w:space="0"/>
            </w:tcBorders>
            <w:vAlign w:val="center"/>
          </w:tcPr>
          <w:p w14:paraId="1E2CA738">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以实际情况为准</w:t>
            </w:r>
          </w:p>
        </w:tc>
      </w:tr>
      <w:tr w14:paraId="1B3CCF00">
        <w:tblPrEx>
          <w:tblCellMar>
            <w:top w:w="0" w:type="dxa"/>
            <w:left w:w="108" w:type="dxa"/>
            <w:bottom w:w="0" w:type="dxa"/>
            <w:right w:w="108" w:type="dxa"/>
          </w:tblCellMar>
        </w:tblPrEx>
        <w:trPr>
          <w:trHeight w:val="344"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6BFF62F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17</w:t>
            </w:r>
          </w:p>
        </w:tc>
        <w:tc>
          <w:tcPr>
            <w:tcW w:w="1549" w:type="pct"/>
            <w:gridSpan w:val="2"/>
            <w:tcBorders>
              <w:top w:val="single" w:color="auto" w:sz="4" w:space="0"/>
              <w:left w:val="nil"/>
              <w:bottom w:val="single" w:color="auto" w:sz="4" w:space="0"/>
              <w:right w:val="single" w:color="auto" w:sz="4" w:space="0"/>
            </w:tcBorders>
            <w:vAlign w:val="center"/>
          </w:tcPr>
          <w:p w14:paraId="259A59A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电泳滑撬</w:t>
            </w:r>
          </w:p>
        </w:tc>
        <w:tc>
          <w:tcPr>
            <w:tcW w:w="897" w:type="pct"/>
            <w:tcBorders>
              <w:top w:val="single" w:color="auto" w:sz="4" w:space="0"/>
              <w:left w:val="nil"/>
              <w:bottom w:val="single" w:color="auto" w:sz="4" w:space="0"/>
              <w:right w:val="single" w:color="auto" w:sz="4" w:space="0"/>
            </w:tcBorders>
            <w:vAlign w:val="center"/>
          </w:tcPr>
          <w:p w14:paraId="54BD68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其中40在现有修改</w:t>
            </w:r>
          </w:p>
        </w:tc>
        <w:tc>
          <w:tcPr>
            <w:tcW w:w="494" w:type="pct"/>
            <w:tcBorders>
              <w:top w:val="single" w:color="auto" w:sz="4" w:space="0"/>
              <w:left w:val="nil"/>
              <w:bottom w:val="single" w:color="auto" w:sz="4" w:space="0"/>
              <w:right w:val="single" w:color="auto" w:sz="4" w:space="0"/>
            </w:tcBorders>
            <w:vAlign w:val="center"/>
          </w:tcPr>
          <w:p w14:paraId="5CD811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个</w:t>
            </w:r>
          </w:p>
        </w:tc>
        <w:tc>
          <w:tcPr>
            <w:tcW w:w="689" w:type="pct"/>
            <w:tcBorders>
              <w:top w:val="single" w:color="auto" w:sz="4" w:space="0"/>
              <w:left w:val="nil"/>
              <w:bottom w:val="single" w:color="auto" w:sz="4" w:space="0"/>
              <w:right w:val="single" w:color="auto" w:sz="4" w:space="0"/>
            </w:tcBorders>
            <w:vAlign w:val="center"/>
          </w:tcPr>
          <w:p w14:paraId="769D20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以实际图纸为准</w:t>
            </w:r>
          </w:p>
        </w:tc>
        <w:tc>
          <w:tcPr>
            <w:tcW w:w="974" w:type="pct"/>
            <w:tcBorders>
              <w:top w:val="single" w:color="auto" w:sz="4" w:space="0"/>
              <w:left w:val="nil"/>
              <w:bottom w:val="single" w:color="auto" w:sz="4" w:space="0"/>
              <w:right w:val="single" w:color="auto" w:sz="4" w:space="0"/>
            </w:tcBorders>
            <w:vAlign w:val="center"/>
          </w:tcPr>
          <w:p w14:paraId="7A0B54FC">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VAN类车一橇2车</w:t>
            </w:r>
          </w:p>
          <w:p w14:paraId="5F3D831F">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客车一橇一车</w:t>
            </w:r>
          </w:p>
        </w:tc>
      </w:tr>
      <w:tr w14:paraId="4B3A89E1">
        <w:tblPrEx>
          <w:tblCellMar>
            <w:top w:w="0" w:type="dxa"/>
            <w:left w:w="108" w:type="dxa"/>
            <w:bottom w:w="0" w:type="dxa"/>
            <w:right w:w="108" w:type="dxa"/>
          </w:tblCellMar>
        </w:tblPrEx>
        <w:trPr>
          <w:trHeight w:val="344"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5C12DEC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18</w:t>
            </w:r>
          </w:p>
        </w:tc>
        <w:tc>
          <w:tcPr>
            <w:tcW w:w="1549" w:type="pct"/>
            <w:gridSpan w:val="2"/>
            <w:tcBorders>
              <w:top w:val="single" w:color="auto" w:sz="4" w:space="0"/>
              <w:left w:val="nil"/>
              <w:bottom w:val="single" w:color="auto" w:sz="4" w:space="0"/>
              <w:right w:val="single" w:color="auto" w:sz="4" w:space="0"/>
            </w:tcBorders>
            <w:vAlign w:val="center"/>
          </w:tcPr>
          <w:p w14:paraId="459A7F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面漆滑撬</w:t>
            </w:r>
          </w:p>
        </w:tc>
        <w:tc>
          <w:tcPr>
            <w:tcW w:w="897" w:type="pct"/>
            <w:tcBorders>
              <w:top w:val="single" w:color="auto" w:sz="4" w:space="0"/>
              <w:left w:val="nil"/>
              <w:bottom w:val="single" w:color="auto" w:sz="4" w:space="0"/>
              <w:right w:val="single" w:color="auto" w:sz="4" w:space="0"/>
            </w:tcBorders>
            <w:vAlign w:val="center"/>
          </w:tcPr>
          <w:p w14:paraId="076DFF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494" w:type="pct"/>
            <w:tcBorders>
              <w:top w:val="single" w:color="auto" w:sz="4" w:space="0"/>
              <w:left w:val="nil"/>
              <w:bottom w:val="single" w:color="auto" w:sz="4" w:space="0"/>
              <w:right w:val="single" w:color="auto" w:sz="4" w:space="0"/>
            </w:tcBorders>
            <w:vAlign w:val="center"/>
          </w:tcPr>
          <w:p w14:paraId="6583CA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个</w:t>
            </w:r>
          </w:p>
        </w:tc>
        <w:tc>
          <w:tcPr>
            <w:tcW w:w="689" w:type="pct"/>
            <w:tcBorders>
              <w:top w:val="single" w:color="auto" w:sz="4" w:space="0"/>
              <w:left w:val="nil"/>
              <w:bottom w:val="single" w:color="auto" w:sz="4" w:space="0"/>
              <w:right w:val="single" w:color="auto" w:sz="4" w:space="0"/>
            </w:tcBorders>
            <w:vAlign w:val="center"/>
          </w:tcPr>
          <w:p w14:paraId="3B746B2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rPr>
            </w:pPr>
            <w:r>
              <w:rPr>
                <w:rFonts w:hint="eastAsia" w:ascii="宋体" w:hAnsi="宋体" w:eastAsia="宋体" w:cs="宋体"/>
                <w:sz w:val="24"/>
              </w:rPr>
              <w:t>以实际图纸为准</w:t>
            </w:r>
          </w:p>
        </w:tc>
        <w:tc>
          <w:tcPr>
            <w:tcW w:w="974" w:type="pct"/>
            <w:tcBorders>
              <w:top w:val="single" w:color="auto" w:sz="4" w:space="0"/>
              <w:left w:val="nil"/>
              <w:bottom w:val="single" w:color="auto" w:sz="4" w:space="0"/>
              <w:right w:val="single" w:color="auto" w:sz="4" w:space="0"/>
            </w:tcBorders>
            <w:vAlign w:val="center"/>
          </w:tcPr>
          <w:p w14:paraId="4488436F">
            <w:pPr>
              <w:pageBreakBefore w:val="0"/>
              <w:widowControl/>
              <w:kinsoku/>
              <w:wordWrap/>
              <w:topLinePunct w:val="0"/>
              <w:bidi w:val="0"/>
              <w:adjustRightInd w:val="0"/>
              <w:snapToGrid w:val="0"/>
              <w:spacing w:afterAutospacing="0" w:line="240" w:lineRule="auto"/>
              <w:ind w:left="0" w:leftChars="0" w:firstLine="0" w:firstLineChars="0"/>
              <w:jc w:val="left"/>
              <w:rPr>
                <w:rFonts w:hint="eastAsia" w:ascii="宋体" w:hAnsi="宋体" w:eastAsia="宋体" w:cs="宋体"/>
                <w:sz w:val="24"/>
              </w:rPr>
            </w:pPr>
          </w:p>
        </w:tc>
      </w:tr>
      <w:tr w14:paraId="000FC3AA">
        <w:tblPrEx>
          <w:tblCellMar>
            <w:top w:w="0" w:type="dxa"/>
            <w:left w:w="108" w:type="dxa"/>
            <w:bottom w:w="0" w:type="dxa"/>
            <w:right w:w="108" w:type="dxa"/>
          </w:tblCellMar>
        </w:tblPrEx>
        <w:trPr>
          <w:trHeight w:val="344" w:hRule="atLeast"/>
          <w:jc w:val="center"/>
        </w:trPr>
        <w:tc>
          <w:tcPr>
            <w:tcW w:w="394" w:type="pct"/>
            <w:tcBorders>
              <w:top w:val="single" w:color="auto" w:sz="4" w:space="0"/>
              <w:left w:val="single" w:color="auto" w:sz="4" w:space="0"/>
              <w:bottom w:val="single" w:color="auto" w:sz="4" w:space="0"/>
              <w:right w:val="single" w:color="auto" w:sz="4" w:space="0"/>
            </w:tcBorders>
            <w:vAlign w:val="center"/>
          </w:tcPr>
          <w:p w14:paraId="76D3BC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19</w:t>
            </w:r>
          </w:p>
        </w:tc>
        <w:tc>
          <w:tcPr>
            <w:tcW w:w="1549" w:type="pct"/>
            <w:gridSpan w:val="2"/>
            <w:tcBorders>
              <w:top w:val="single" w:color="auto" w:sz="4" w:space="0"/>
              <w:left w:val="nil"/>
              <w:bottom w:val="single" w:color="auto" w:sz="4" w:space="0"/>
              <w:right w:val="single" w:color="auto" w:sz="4" w:space="0"/>
            </w:tcBorders>
            <w:vAlign w:val="center"/>
          </w:tcPr>
          <w:p w14:paraId="76D46A2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离线小车</w:t>
            </w:r>
          </w:p>
        </w:tc>
        <w:tc>
          <w:tcPr>
            <w:tcW w:w="897" w:type="pct"/>
            <w:tcBorders>
              <w:top w:val="single" w:color="auto" w:sz="4" w:space="0"/>
              <w:left w:val="nil"/>
              <w:bottom w:val="single" w:color="auto" w:sz="4" w:space="0"/>
              <w:right w:val="single" w:color="auto" w:sz="4" w:space="0"/>
            </w:tcBorders>
            <w:vAlign w:val="center"/>
          </w:tcPr>
          <w:p w14:paraId="0792B60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494" w:type="pct"/>
            <w:tcBorders>
              <w:top w:val="single" w:color="auto" w:sz="4" w:space="0"/>
              <w:left w:val="nil"/>
              <w:bottom w:val="single" w:color="auto" w:sz="4" w:space="0"/>
              <w:right w:val="single" w:color="auto" w:sz="4" w:space="0"/>
            </w:tcBorders>
            <w:vAlign w:val="center"/>
          </w:tcPr>
          <w:p w14:paraId="1E7AB6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个</w:t>
            </w:r>
          </w:p>
        </w:tc>
        <w:tc>
          <w:tcPr>
            <w:tcW w:w="689" w:type="pct"/>
            <w:tcBorders>
              <w:top w:val="single" w:color="auto" w:sz="4" w:space="0"/>
              <w:left w:val="nil"/>
              <w:bottom w:val="single" w:color="auto" w:sz="4" w:space="0"/>
              <w:right w:val="single" w:color="auto" w:sz="4" w:space="0"/>
            </w:tcBorders>
            <w:vAlign w:val="center"/>
          </w:tcPr>
          <w:p w14:paraId="11FBDA6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974" w:type="pct"/>
            <w:tcBorders>
              <w:top w:val="single" w:color="auto" w:sz="4" w:space="0"/>
              <w:left w:val="nil"/>
              <w:bottom w:val="single" w:color="auto" w:sz="4" w:space="0"/>
              <w:right w:val="single" w:color="auto" w:sz="4" w:space="0"/>
            </w:tcBorders>
            <w:vAlign w:val="center"/>
          </w:tcPr>
          <w:p w14:paraId="3981850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个</w:t>
            </w:r>
          </w:p>
        </w:tc>
      </w:tr>
    </w:tbl>
    <w:p w14:paraId="4D9F2C7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以上所涉及标的建设内容，必须满足</w:t>
      </w:r>
      <w:r>
        <w:rPr>
          <w:rFonts w:hint="eastAsia" w:ascii="宋体" w:hAnsi="宋体" w:cs="宋体"/>
          <w:sz w:val="24"/>
          <w:lang w:eastAsia="zh-CN"/>
        </w:rPr>
        <w:t>招标人</w:t>
      </w:r>
      <w:r>
        <w:rPr>
          <w:rFonts w:hint="eastAsia" w:ascii="宋体" w:hAnsi="宋体" w:eastAsia="宋体" w:cs="宋体"/>
          <w:sz w:val="24"/>
        </w:rPr>
        <w:t>的使用要求；详细设备清单设计时确认。</w:t>
      </w:r>
    </w:p>
    <w:p w14:paraId="2344C368">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负责对涂装车间的机械化输送系统设备的施工图设计、制作、运输、装卸、安装、调试，并对所提供设备的独立性和完整性负责（机械，控制，结构，公用等），来确保工程的完成。</w:t>
      </w:r>
    </w:p>
    <w:p w14:paraId="3B4E2D59">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sz w:val="24"/>
        </w:rPr>
      </w:pPr>
      <w:r>
        <w:rPr>
          <w:rFonts w:hint="eastAsia" w:ascii="宋体" w:hAnsi="宋体" w:eastAsia="宋体" w:cs="宋体"/>
          <w:sz w:val="24"/>
        </w:rPr>
        <w:t>供货周期：</w:t>
      </w:r>
      <w:r>
        <w:rPr>
          <w:rFonts w:hint="eastAsia" w:ascii="宋体" w:hAnsi="宋体" w:cs="宋体"/>
          <w:sz w:val="24"/>
          <w:lang w:eastAsia="zh-CN"/>
        </w:rPr>
        <w:t>投标人</w:t>
      </w:r>
      <w:r>
        <w:rPr>
          <w:rFonts w:hint="eastAsia" w:ascii="宋体" w:hAnsi="宋体" w:eastAsia="宋体" w:cs="宋体"/>
          <w:sz w:val="24"/>
        </w:rPr>
        <w:t>应在约定时间内完成全套系统的设计、制造、运输、安装、调试工作。</w:t>
      </w:r>
    </w:p>
    <w:p w14:paraId="02CF3385">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bCs/>
          <w:sz w:val="24"/>
        </w:rPr>
      </w:pPr>
      <w:r>
        <w:rPr>
          <w:rFonts w:hint="eastAsia" w:ascii="宋体" w:hAnsi="宋体" w:eastAsia="宋体" w:cs="宋体"/>
          <w:sz w:val="24"/>
        </w:rPr>
        <w:t>此项目为交钥匙工程，满足本技术文件要求的前提下，</w:t>
      </w:r>
      <w:r>
        <w:rPr>
          <w:rFonts w:hint="eastAsia" w:ascii="宋体" w:hAnsi="宋体" w:cs="宋体"/>
          <w:sz w:val="24"/>
          <w:lang w:eastAsia="zh-CN"/>
        </w:rPr>
        <w:t>投标人</w:t>
      </w:r>
      <w:r>
        <w:rPr>
          <w:rFonts w:hint="eastAsia" w:ascii="宋体" w:hAnsi="宋体" w:eastAsia="宋体" w:cs="宋体"/>
          <w:sz w:val="24"/>
        </w:rPr>
        <w:t>不得再向</w:t>
      </w:r>
      <w:r>
        <w:rPr>
          <w:rFonts w:hint="eastAsia" w:ascii="宋体" w:hAnsi="宋体" w:cs="宋体"/>
          <w:sz w:val="24"/>
          <w:lang w:eastAsia="zh-CN"/>
        </w:rPr>
        <w:t>招标人</w:t>
      </w:r>
      <w:r>
        <w:rPr>
          <w:rFonts w:hint="eastAsia" w:ascii="宋体" w:hAnsi="宋体" w:eastAsia="宋体" w:cs="宋体"/>
          <w:sz w:val="24"/>
        </w:rPr>
        <w:t>提出增加任何费用；</w:t>
      </w:r>
      <w:r>
        <w:rPr>
          <w:rFonts w:hint="eastAsia" w:ascii="宋体" w:hAnsi="宋体" w:cs="宋体"/>
          <w:bCs/>
          <w:sz w:val="24"/>
          <w:lang w:eastAsia="zh-CN"/>
        </w:rPr>
        <w:t>投标人</w:t>
      </w:r>
      <w:r>
        <w:rPr>
          <w:rFonts w:hint="eastAsia" w:ascii="宋体" w:hAnsi="宋体" w:eastAsia="宋体" w:cs="宋体"/>
          <w:bCs/>
          <w:sz w:val="24"/>
        </w:rPr>
        <w:t>在取得项目合同后不能以任何理由（如漏报、理解不准确、价格变化等）提出追加费用要求。</w:t>
      </w:r>
    </w:p>
    <w:p w14:paraId="75A8D8C2">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bCs/>
          <w:sz w:val="24"/>
        </w:rPr>
      </w:pPr>
      <w:r>
        <w:rPr>
          <w:rFonts w:hint="eastAsia" w:ascii="宋体" w:hAnsi="宋体" w:cs="宋体"/>
          <w:bCs/>
          <w:sz w:val="24"/>
          <w:lang w:eastAsia="zh-CN"/>
        </w:rPr>
        <w:t>招标人</w:t>
      </w:r>
      <w:r>
        <w:rPr>
          <w:rFonts w:hint="eastAsia" w:ascii="宋体" w:hAnsi="宋体" w:eastAsia="宋体" w:cs="宋体"/>
          <w:bCs/>
          <w:sz w:val="24"/>
        </w:rPr>
        <w:t>在项目运行过程中所进行的审查、会签、验收在任何情况下均不能成为</w:t>
      </w:r>
      <w:r>
        <w:rPr>
          <w:rFonts w:hint="eastAsia" w:ascii="宋体" w:hAnsi="宋体" w:cs="宋体"/>
          <w:bCs/>
          <w:sz w:val="24"/>
          <w:lang w:eastAsia="zh-CN"/>
        </w:rPr>
        <w:t>投标人</w:t>
      </w:r>
      <w:r>
        <w:rPr>
          <w:rFonts w:hint="eastAsia" w:ascii="宋体" w:hAnsi="宋体" w:eastAsia="宋体" w:cs="宋体"/>
          <w:bCs/>
          <w:sz w:val="24"/>
        </w:rPr>
        <w:t>推卸对本项目负全责的理由。</w:t>
      </w:r>
    </w:p>
    <w:p w14:paraId="41F46C36">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bCs/>
          <w:sz w:val="24"/>
        </w:rPr>
      </w:pPr>
      <w:r>
        <w:rPr>
          <w:rFonts w:hint="eastAsia" w:ascii="宋体" w:hAnsi="宋体" w:cs="宋体"/>
          <w:bCs/>
          <w:sz w:val="24"/>
          <w:lang w:eastAsia="zh-CN"/>
        </w:rPr>
        <w:t>投标人</w:t>
      </w:r>
      <w:r>
        <w:rPr>
          <w:rFonts w:hint="eastAsia" w:ascii="宋体" w:hAnsi="宋体" w:eastAsia="宋体" w:cs="宋体"/>
          <w:bCs/>
          <w:sz w:val="24"/>
        </w:rPr>
        <w:t>有责任满足技术文件以及上面提到的参考文件中提到的所有要求。这并不表示说以上的要求就是全部要求。对于系统不够完善的由</w:t>
      </w:r>
      <w:r>
        <w:rPr>
          <w:rFonts w:hint="eastAsia" w:ascii="宋体" w:hAnsi="宋体" w:cs="宋体"/>
          <w:bCs/>
          <w:sz w:val="24"/>
          <w:lang w:eastAsia="zh-CN"/>
        </w:rPr>
        <w:t>投标人</w:t>
      </w:r>
      <w:r>
        <w:rPr>
          <w:rFonts w:hint="eastAsia" w:ascii="宋体" w:hAnsi="宋体" w:eastAsia="宋体" w:cs="宋体"/>
          <w:bCs/>
          <w:sz w:val="24"/>
        </w:rPr>
        <w:t>自行承担。</w:t>
      </w:r>
    </w:p>
    <w:p w14:paraId="53687367">
      <w:pPr>
        <w:pageBreakBefore w:val="0"/>
        <w:numPr>
          <w:ilvl w:val="0"/>
          <w:numId w:val="270"/>
        </w:numPr>
        <w:kinsoku/>
        <w:wordWrap/>
        <w:topLinePunct w:val="0"/>
        <w:bidi w:val="0"/>
        <w:adjustRightInd w:val="0"/>
        <w:snapToGrid w:val="0"/>
        <w:spacing w:afterAutospacing="0" w:line="360" w:lineRule="auto"/>
        <w:ind w:left="420" w:leftChars="0" w:hanging="420" w:firstLineChars="0"/>
        <w:rPr>
          <w:rFonts w:hint="eastAsia" w:ascii="宋体" w:hAnsi="宋体" w:eastAsia="宋体" w:cs="宋体"/>
          <w:bCs/>
          <w:sz w:val="24"/>
        </w:rPr>
      </w:pPr>
      <w:r>
        <w:rPr>
          <w:rFonts w:hint="eastAsia" w:ascii="宋体" w:hAnsi="宋体" w:cs="宋体"/>
          <w:bCs/>
          <w:sz w:val="24"/>
          <w:lang w:eastAsia="zh-CN"/>
        </w:rPr>
        <w:t>投标人</w:t>
      </w:r>
      <w:r>
        <w:rPr>
          <w:rFonts w:hint="eastAsia" w:ascii="宋体" w:hAnsi="宋体" w:eastAsia="宋体" w:cs="宋体"/>
          <w:bCs/>
          <w:sz w:val="24"/>
        </w:rPr>
        <w:t>要提供一个全新、安全的工作可靠的输送系统。</w:t>
      </w:r>
    </w:p>
    <w:p w14:paraId="66BE5EDA">
      <w:pPr>
        <w:pStyle w:val="263"/>
        <w:pageBreakBefore w:val="0"/>
        <w:numPr>
          <w:ilvl w:val="0"/>
          <w:numId w:val="27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39" w:name="_Toc12663_WPSOffice_Level3"/>
      <w:r>
        <w:rPr>
          <w:rFonts w:hint="eastAsia" w:ascii="宋体" w:hAnsi="宋体" w:eastAsia="宋体" w:cs="宋体"/>
          <w:sz w:val="24"/>
        </w:rPr>
        <w:t>机械化输送系统生产组织模拟：根据不同的生产组织方式模拟生产时工件物流状态，以优化生产线设计并为未来生产组织管理运行提供指导；</w:t>
      </w:r>
    </w:p>
    <w:p w14:paraId="4CDC8117">
      <w:pPr>
        <w:pageBreakBefore w:val="0"/>
        <w:widowControl/>
        <w:kinsoku/>
        <w:wordWrap/>
        <w:topLinePunct w:val="0"/>
        <w:bidi w:val="0"/>
        <w:adjustRightInd w:val="0"/>
        <w:snapToGrid w:val="0"/>
        <w:spacing w:afterAutospacing="0" w:line="360" w:lineRule="auto"/>
        <w:ind w:left="0" w:leftChars="0" w:firstLine="0" w:firstLineChars="0"/>
        <w:jc w:val="left"/>
        <w:outlineLvl w:val="0"/>
        <w:rPr>
          <w:rFonts w:hint="eastAsia" w:ascii="宋体" w:hAnsi="宋体" w:eastAsia="宋体" w:cs="宋体"/>
          <w:b/>
          <w:sz w:val="24"/>
        </w:rPr>
      </w:pPr>
      <w:r>
        <w:rPr>
          <w:rFonts w:hint="eastAsia" w:ascii="宋体" w:hAnsi="宋体" w:eastAsia="宋体" w:cs="宋体"/>
          <w:b/>
          <w:sz w:val="24"/>
        </w:rPr>
        <w:t>三、技术要求和技术参数：</w:t>
      </w:r>
    </w:p>
    <w:p w14:paraId="4881F264">
      <w:pPr>
        <w:pStyle w:val="2"/>
        <w:pageBreakBefore w:val="0"/>
        <w:numPr>
          <w:ilvl w:val="0"/>
          <w:numId w:val="27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val="0"/>
          <w:color w:val="auto"/>
          <w:kern w:val="2"/>
          <w:sz w:val="24"/>
          <w:szCs w:val="24"/>
        </w:rPr>
      </w:pPr>
      <w:bookmarkStart w:id="240" w:name="_Toc23714_WPSOffice_Level2"/>
      <w:r>
        <w:rPr>
          <w:rFonts w:hint="eastAsia" w:ascii="宋体" w:hAnsi="宋体" w:eastAsia="宋体" w:cs="宋体"/>
          <w:b/>
          <w:bCs w:val="0"/>
          <w:color w:val="auto"/>
          <w:kern w:val="2"/>
          <w:sz w:val="24"/>
          <w:szCs w:val="24"/>
        </w:rPr>
        <w:t>机械化设备通用技术要求</w:t>
      </w:r>
      <w:bookmarkEnd w:id="240"/>
    </w:p>
    <w:p w14:paraId="213AE09C">
      <w:pPr>
        <w:pageBreakBefore w:val="0"/>
        <w:numPr>
          <w:ilvl w:val="0"/>
          <w:numId w:val="2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安全性：</w:t>
      </w:r>
    </w:p>
    <w:p w14:paraId="3820253A">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涂装机械化输送系统的所有转接区域及其他关键区域必须安装相应的机械或电气保护装置，如保护开关、护栏、警戒牌等安全措施，实现对人员及设备的安全保护。</w:t>
      </w:r>
    </w:p>
    <w:p w14:paraId="78A9F666">
      <w:pPr>
        <w:pageBreakBefore w:val="0"/>
        <w:numPr>
          <w:ilvl w:val="0"/>
          <w:numId w:val="2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生产和工艺要求：</w:t>
      </w:r>
    </w:p>
    <w:p w14:paraId="02A9C81F">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机械化输送设备建成后必须满足</w:t>
      </w:r>
      <w:r>
        <w:rPr>
          <w:rFonts w:hint="eastAsia" w:ascii="宋体" w:hAnsi="宋体" w:cs="宋体"/>
          <w:bCs/>
          <w:sz w:val="24"/>
          <w:lang w:eastAsia="zh-CN"/>
        </w:rPr>
        <w:t>招标人</w:t>
      </w:r>
      <w:r>
        <w:rPr>
          <w:rFonts w:hint="eastAsia" w:ascii="宋体" w:hAnsi="宋体" w:eastAsia="宋体" w:cs="宋体"/>
          <w:bCs/>
          <w:sz w:val="24"/>
        </w:rPr>
        <w:t>规划车型的生产和工艺要求。</w:t>
      </w:r>
    </w:p>
    <w:p w14:paraId="06D5DD7A">
      <w:pPr>
        <w:pageBreakBefore w:val="0"/>
        <w:numPr>
          <w:ilvl w:val="0"/>
          <w:numId w:val="2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稳定性和噪音：</w:t>
      </w:r>
    </w:p>
    <w:p w14:paraId="439CE516">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机械化输送设备须有足够的刚性和稳定性，运行平稳，且运行中不允许有异响，运行时距发声源1米处噪音不得大于85分贝。</w:t>
      </w:r>
    </w:p>
    <w:p w14:paraId="5C8471F9">
      <w:pPr>
        <w:pageBreakBefore w:val="0"/>
        <w:numPr>
          <w:ilvl w:val="0"/>
          <w:numId w:val="2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防松要求：</w:t>
      </w:r>
    </w:p>
    <w:p w14:paraId="0F48985C">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本次所涉及的机械化设备或部件，所有震动螺接部位必须采取防松措施,可选择采用标准双螺母拧紧或采用弹簧垫圈加防松螺母。</w:t>
      </w:r>
    </w:p>
    <w:p w14:paraId="1DEC9D56">
      <w:pPr>
        <w:pageBreakBefore w:val="0"/>
        <w:numPr>
          <w:ilvl w:val="0"/>
          <w:numId w:val="2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总体技术要求</w:t>
      </w:r>
    </w:p>
    <w:p w14:paraId="327E7CA9">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所有轨道应具有较高的承载能力和刚度，轨道应保证踏面及导向面平直光滑。</w:t>
      </w:r>
    </w:p>
    <w:p w14:paraId="5F71B8B1">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输送速度应保证工艺时间和生产节拍要求。</w:t>
      </w:r>
    </w:p>
    <w:p w14:paraId="08D400D8">
      <w:pPr>
        <w:pStyle w:val="17"/>
        <w:pageBreakBefore w:val="0"/>
        <w:widowControl/>
        <w:numPr>
          <w:ilvl w:val="0"/>
          <w:numId w:val="274"/>
        </w:numPr>
        <w:kinsoku/>
        <w:wordWrap/>
        <w:topLinePunct w:val="0"/>
        <w:bidi w:val="0"/>
        <w:adjustRightInd w:val="0"/>
        <w:snapToGrid w:val="0"/>
        <w:spacing w:before="0" w:after="0" w:afterAutospacing="0" w:line="360" w:lineRule="auto"/>
        <w:ind w:left="0" w:leftChars="0" w:firstLine="0" w:firstLineChars="0"/>
        <w:contextualSpacing/>
        <w:jc w:val="left"/>
        <w:rPr>
          <w:rFonts w:hint="eastAsia" w:ascii="宋体" w:hAnsi="宋体" w:eastAsia="宋体" w:cs="宋体"/>
        </w:rPr>
      </w:pPr>
      <w:r>
        <w:rPr>
          <w:rFonts w:hint="eastAsia" w:ascii="宋体" w:hAnsi="宋体" w:eastAsia="宋体" w:cs="宋体"/>
        </w:rPr>
        <w:t>机械化输送系统各变频器45HZ以内满足10JPH生产需求。</w:t>
      </w:r>
    </w:p>
    <w:p w14:paraId="5EFBA6FC">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每次转接所需完整的循环时间小于或等于相应工艺区段的工艺节拍的90%。</w:t>
      </w:r>
    </w:p>
    <w:p w14:paraId="4A2FD73B">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机械化应运行平稳，运行应无视觉可见的明显爬行现象，无晃动和卡阻。</w:t>
      </w:r>
    </w:p>
    <w:p w14:paraId="4D0214CB">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机械化各设备安装、维修、调整应方便。</w:t>
      </w:r>
    </w:p>
    <w:p w14:paraId="448E00B2">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对平面布置图的优化需考虑滑橇系统路线的传递时间最少，同时要达到要求的缓冲量。</w:t>
      </w:r>
    </w:p>
    <w:p w14:paraId="72914896">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工作区内机械化输送方向应以车头向前为标准，反向输送需要得到</w:t>
      </w:r>
      <w:r>
        <w:rPr>
          <w:rFonts w:hint="eastAsia" w:ascii="宋体" w:hAnsi="宋体" w:cs="宋体"/>
          <w:sz w:val="24"/>
          <w:lang w:eastAsia="zh-CN"/>
        </w:rPr>
        <w:t>招标人</w:t>
      </w:r>
      <w:r>
        <w:rPr>
          <w:rFonts w:hint="eastAsia" w:ascii="宋体" w:hAnsi="宋体" w:eastAsia="宋体" w:cs="宋体"/>
          <w:sz w:val="24"/>
        </w:rPr>
        <w:t>的批准。</w:t>
      </w:r>
    </w:p>
    <w:p w14:paraId="58C51C6B">
      <w:pPr>
        <w:pStyle w:val="17"/>
        <w:pageBreakBefore w:val="0"/>
        <w:widowControl/>
        <w:numPr>
          <w:ilvl w:val="0"/>
          <w:numId w:val="274"/>
        </w:numPr>
        <w:kinsoku/>
        <w:wordWrap/>
        <w:topLinePunct w:val="0"/>
        <w:bidi w:val="0"/>
        <w:adjustRightInd w:val="0"/>
        <w:snapToGrid w:val="0"/>
        <w:spacing w:before="0" w:after="0" w:afterAutospacing="0" w:line="360" w:lineRule="auto"/>
        <w:ind w:left="0" w:leftChars="0" w:firstLine="0" w:firstLineChars="0"/>
        <w:contextualSpacing/>
        <w:jc w:val="left"/>
        <w:rPr>
          <w:rFonts w:hint="eastAsia" w:ascii="宋体" w:hAnsi="宋体" w:eastAsia="宋体" w:cs="宋体"/>
        </w:rPr>
      </w:pPr>
      <w:r>
        <w:rPr>
          <w:rFonts w:hint="eastAsia" w:ascii="宋体" w:hAnsi="宋体" w:eastAsia="宋体" w:cs="宋体"/>
        </w:rPr>
        <w:t>要安排足够数量的过渡桥, 以满足消防疏散要求。</w:t>
      </w:r>
    </w:p>
    <w:p w14:paraId="1D23D2BD">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滑橇设备的两末端之间，不管是辊床与辊床之间，旋转辊床之间或其它设备之间，存在的缝隙不能过大。在很有可能有人穿过的缝隙处，比如生产区域的缝隙处，设围栏或扶手保护，并有必要的安全提醒（会签图纸时确认）。</w:t>
      </w:r>
    </w:p>
    <w:p w14:paraId="6DB85A31">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设置车身滑橇人工锁紧及锁紧检查工位，人工解锁。</w:t>
      </w:r>
    </w:p>
    <w:p w14:paraId="3DF440CC">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设置在线滑橇检测校正工位。</w:t>
      </w:r>
    </w:p>
    <w:p w14:paraId="6354E8E6">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链条自动润滑包括：烘干链，喷漆双链均采用自动润滑。</w:t>
      </w:r>
    </w:p>
    <w:p w14:paraId="02992A01">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涂装车间所用润滑油为不含硅及硅酮成分润滑油，并须与油漆做配比试验以防对油漆质量产生影响。油箱内油品第一次由</w:t>
      </w:r>
      <w:r>
        <w:rPr>
          <w:rFonts w:hint="eastAsia" w:ascii="宋体" w:hAnsi="宋体" w:cs="宋体"/>
          <w:sz w:val="24"/>
          <w:lang w:eastAsia="zh-CN"/>
        </w:rPr>
        <w:t>投标人</w:t>
      </w:r>
      <w:r>
        <w:rPr>
          <w:rFonts w:hint="eastAsia" w:ascii="宋体" w:hAnsi="宋体" w:eastAsia="宋体" w:cs="宋体"/>
          <w:sz w:val="24"/>
        </w:rPr>
        <w:t>加满。</w:t>
      </w:r>
    </w:p>
    <w:p w14:paraId="2479CF4A">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textAlignment w:val="baseline"/>
        <w:rPr>
          <w:rFonts w:hint="eastAsia" w:ascii="宋体" w:hAnsi="宋体" w:eastAsia="宋体" w:cs="宋体"/>
          <w:sz w:val="24"/>
        </w:rPr>
      </w:pPr>
      <w:r>
        <w:rPr>
          <w:rFonts w:hint="eastAsia" w:ascii="宋体" w:hAnsi="宋体" w:eastAsia="宋体" w:cs="宋体"/>
          <w:sz w:val="24"/>
        </w:rPr>
        <w:t>特殊的位置，如通道等，辊床输送机应设置全盖板。盖板应保证正常使用条件下的不变形，同时应采用容易拆卸的安装方式。</w:t>
      </w:r>
    </w:p>
    <w:p w14:paraId="0890045A">
      <w:pPr>
        <w:pStyle w:val="263"/>
        <w:pageBreakBefore w:val="0"/>
        <w:numPr>
          <w:ilvl w:val="0"/>
          <w:numId w:val="274"/>
        </w:numPr>
        <w:kinsoku/>
        <w:wordWrap/>
        <w:topLinePunct w:val="0"/>
        <w:bidi w:val="0"/>
        <w:adjustRightInd w:val="0"/>
        <w:snapToGrid w:val="0"/>
        <w:spacing w:afterAutospacing="0" w:line="360" w:lineRule="auto"/>
        <w:ind w:left="0" w:leftChars="0" w:firstLine="0" w:firstLineChars="0"/>
        <w:textAlignment w:val="baseline"/>
        <w:rPr>
          <w:rFonts w:hint="eastAsia" w:ascii="宋体" w:hAnsi="宋体" w:eastAsia="宋体" w:cs="宋体"/>
          <w:sz w:val="24"/>
        </w:rPr>
      </w:pPr>
      <w:r>
        <w:rPr>
          <w:rFonts w:hint="eastAsia" w:ascii="宋体" w:hAnsi="宋体" w:eastAsia="宋体" w:cs="宋体"/>
          <w:sz w:val="24"/>
        </w:rPr>
        <w:t>当平台上的通道上有平移机等移动设备时，要有安全栏杆将移动设备围起来。</w:t>
      </w:r>
    </w:p>
    <w:p w14:paraId="70591D3C">
      <w:pPr>
        <w:pStyle w:val="263"/>
        <w:pageBreakBefore w:val="0"/>
        <w:widowControl/>
        <w:numPr>
          <w:ilvl w:val="0"/>
          <w:numId w:val="274"/>
        </w:numPr>
        <w:kinsoku/>
        <w:wordWrap/>
        <w:topLinePunct w:val="0"/>
        <w:bidi w:val="0"/>
        <w:adjustRightInd w:val="0"/>
        <w:snapToGrid w:val="0"/>
        <w:spacing w:afterAutospacing="0" w:line="360" w:lineRule="auto"/>
        <w:ind w:left="0" w:leftChars="0" w:firstLine="0" w:firstLineChars="0"/>
        <w:textAlignment w:val="baseline"/>
        <w:rPr>
          <w:rFonts w:hint="eastAsia" w:ascii="宋体" w:hAnsi="宋体" w:eastAsia="宋体" w:cs="宋体"/>
          <w:sz w:val="24"/>
        </w:rPr>
      </w:pPr>
      <w:r>
        <w:rPr>
          <w:rFonts w:hint="eastAsia" w:ascii="宋体" w:hAnsi="宋体" w:eastAsia="宋体" w:cs="宋体"/>
          <w:sz w:val="24"/>
        </w:rPr>
        <w:t>存储区域或大面积的辊床区域需要设置人工维修通行的踏台，配备盖板，四周围栏上设置人员进出的门，带锁紧机构。</w:t>
      </w:r>
    </w:p>
    <w:p w14:paraId="192DC21E">
      <w:pPr>
        <w:pStyle w:val="263"/>
        <w:pageBreakBefore w:val="0"/>
        <w:numPr>
          <w:ilvl w:val="0"/>
          <w:numId w:val="272"/>
        </w:numPr>
        <w:kinsoku/>
        <w:wordWrap/>
        <w:topLinePunct w:val="0"/>
        <w:bidi w:val="0"/>
        <w:adjustRightInd w:val="0"/>
        <w:snapToGrid w:val="0"/>
        <w:spacing w:afterAutospacing="0" w:line="360" w:lineRule="auto"/>
        <w:ind w:left="0" w:leftChars="0" w:firstLine="0" w:firstLineChars="0"/>
        <w:textAlignment w:val="baseline"/>
        <w:rPr>
          <w:rFonts w:hint="eastAsia" w:ascii="宋体" w:hAnsi="宋体" w:eastAsia="宋体" w:cs="宋体"/>
          <w:sz w:val="24"/>
        </w:rPr>
      </w:pPr>
      <w:bookmarkStart w:id="241" w:name="_Toc25219_WPSOffice_Level2"/>
      <w:r>
        <w:rPr>
          <w:rFonts w:hint="eastAsia" w:ascii="宋体" w:hAnsi="宋体" w:eastAsia="宋体" w:cs="宋体"/>
          <w:b/>
          <w:bCs/>
          <w:sz w:val="24"/>
        </w:rPr>
        <w:t>工艺输入参数</w:t>
      </w:r>
      <w:r>
        <w:rPr>
          <w:rFonts w:hint="eastAsia" w:ascii="宋体" w:hAnsi="宋体" w:eastAsia="宋体" w:cs="宋体"/>
          <w:sz w:val="24"/>
        </w:rPr>
        <w:t>：</w:t>
      </w:r>
      <w:bookmarkEnd w:id="241"/>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6"/>
        <w:gridCol w:w="756"/>
        <w:gridCol w:w="1215"/>
        <w:gridCol w:w="756"/>
        <w:gridCol w:w="1217"/>
        <w:gridCol w:w="1532"/>
        <w:gridCol w:w="2282"/>
      </w:tblGrid>
      <w:tr w14:paraId="58F7E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81" w:type="pct"/>
            <w:vAlign w:val="center"/>
          </w:tcPr>
          <w:p w14:paraId="5BB2D9E0">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工序</w:t>
            </w:r>
          </w:p>
        </w:tc>
        <w:tc>
          <w:tcPr>
            <w:tcW w:w="391" w:type="pct"/>
            <w:vAlign w:val="center"/>
          </w:tcPr>
          <w:p w14:paraId="3B90475A">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线数</w:t>
            </w:r>
          </w:p>
        </w:tc>
        <w:tc>
          <w:tcPr>
            <w:tcW w:w="629" w:type="pct"/>
            <w:vAlign w:val="center"/>
          </w:tcPr>
          <w:p w14:paraId="27360B51">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线体节拍（JPH）</w:t>
            </w:r>
          </w:p>
        </w:tc>
        <w:tc>
          <w:tcPr>
            <w:tcW w:w="391" w:type="pct"/>
            <w:vAlign w:val="center"/>
          </w:tcPr>
          <w:p w14:paraId="6250289D">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备件占比</w:t>
            </w:r>
          </w:p>
        </w:tc>
        <w:tc>
          <w:tcPr>
            <w:tcW w:w="630" w:type="pct"/>
            <w:vAlign w:val="center"/>
          </w:tcPr>
          <w:p w14:paraId="21A12E52">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大返修和套色占比</w:t>
            </w:r>
          </w:p>
        </w:tc>
        <w:tc>
          <w:tcPr>
            <w:tcW w:w="793" w:type="pct"/>
            <w:vAlign w:val="center"/>
          </w:tcPr>
          <w:p w14:paraId="780206C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节距（</w:t>
            </w:r>
            <w:r>
              <w:rPr>
                <w:rFonts w:hint="eastAsia" w:ascii="宋体" w:hAnsi="宋体" w:cs="宋体"/>
                <w:bCs/>
                <w:szCs w:val="24"/>
                <w:lang w:eastAsia="zh-CN"/>
              </w:rPr>
              <w:t>投标人</w:t>
            </w:r>
            <w:r>
              <w:rPr>
                <w:rFonts w:hint="eastAsia" w:ascii="宋体" w:hAnsi="宋体" w:eastAsia="宋体" w:cs="宋体"/>
                <w:bCs/>
                <w:szCs w:val="24"/>
              </w:rPr>
              <w:t>设计</w:t>
            </w:r>
            <w:r>
              <w:rPr>
                <w:rFonts w:hint="eastAsia" w:ascii="宋体" w:hAnsi="宋体" w:cs="宋体"/>
                <w:bCs/>
                <w:szCs w:val="24"/>
                <w:lang w:eastAsia="zh-CN"/>
              </w:rPr>
              <w:t>招标人</w:t>
            </w:r>
            <w:r>
              <w:rPr>
                <w:rFonts w:hint="eastAsia" w:ascii="宋体" w:hAnsi="宋体" w:eastAsia="宋体" w:cs="宋体"/>
                <w:bCs/>
                <w:szCs w:val="24"/>
              </w:rPr>
              <w:t>确认）（m）</w:t>
            </w:r>
          </w:p>
        </w:tc>
        <w:tc>
          <w:tcPr>
            <w:tcW w:w="1181" w:type="pct"/>
            <w:noWrap/>
            <w:vAlign w:val="center"/>
          </w:tcPr>
          <w:p w14:paraId="35F6E11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备注</w:t>
            </w:r>
          </w:p>
        </w:tc>
      </w:tr>
      <w:tr w14:paraId="4864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1E2DBB91">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前处理电泳线</w:t>
            </w:r>
          </w:p>
        </w:tc>
        <w:tc>
          <w:tcPr>
            <w:tcW w:w="391" w:type="pct"/>
            <w:noWrap/>
            <w:vAlign w:val="center"/>
          </w:tcPr>
          <w:p w14:paraId="6FCCF081">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761D8D2F">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4882692B">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5%</w:t>
            </w:r>
          </w:p>
        </w:tc>
        <w:tc>
          <w:tcPr>
            <w:tcW w:w="630" w:type="pct"/>
            <w:shd w:val="clear" w:color="auto" w:fill="auto"/>
            <w:noWrap/>
            <w:vAlign w:val="center"/>
          </w:tcPr>
          <w:p w14:paraId="5D5A4467">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770B6245">
            <w:pPr>
              <w:pStyle w:val="292"/>
              <w:pageBreakBefore w:val="0"/>
              <w:kinsoku/>
              <w:wordWrap/>
              <w:topLinePunct w:val="0"/>
              <w:bidi w:val="0"/>
              <w:adjustRightInd w:val="0"/>
              <w:snapToGrid w:val="0"/>
              <w:spacing w:afterAutospacing="0" w:line="240" w:lineRule="auto"/>
              <w:ind w:left="0" w:leftChars="0" w:firstLine="0" w:firstLineChars="0"/>
              <w:jc w:val="center"/>
              <w:rPr>
                <w:rFonts w:hint="default" w:ascii="宋体" w:hAnsi="宋体" w:eastAsia="宋体" w:cs="宋体"/>
                <w:bCs/>
                <w:szCs w:val="24"/>
                <w:lang w:val="en-US" w:eastAsia="zh-CN"/>
              </w:rPr>
            </w:pPr>
            <w:r>
              <w:rPr>
                <w:rFonts w:hint="eastAsia" w:ascii="宋体" w:hAnsi="宋体" w:cs="宋体"/>
                <w:bCs/>
                <w:szCs w:val="24"/>
                <w:lang w:val="en-US" w:eastAsia="zh-CN"/>
              </w:rPr>
              <w:t>以设计为准</w:t>
            </w:r>
          </w:p>
        </w:tc>
        <w:tc>
          <w:tcPr>
            <w:tcW w:w="1181" w:type="pct"/>
            <w:noWrap/>
            <w:vAlign w:val="center"/>
          </w:tcPr>
          <w:p w14:paraId="2F0166D1">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46CE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2B2004C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电泳烘干、强冷</w:t>
            </w:r>
          </w:p>
        </w:tc>
        <w:tc>
          <w:tcPr>
            <w:tcW w:w="391" w:type="pct"/>
            <w:noWrap/>
            <w:vAlign w:val="center"/>
          </w:tcPr>
          <w:p w14:paraId="3F719C38">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2</w:t>
            </w:r>
          </w:p>
        </w:tc>
        <w:tc>
          <w:tcPr>
            <w:tcW w:w="629" w:type="pct"/>
            <w:noWrap/>
            <w:vAlign w:val="center"/>
          </w:tcPr>
          <w:p w14:paraId="30E5808A">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17696B5A">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5%</w:t>
            </w:r>
          </w:p>
        </w:tc>
        <w:tc>
          <w:tcPr>
            <w:tcW w:w="630" w:type="pct"/>
            <w:shd w:val="clear" w:color="auto" w:fill="auto"/>
            <w:noWrap/>
            <w:vAlign w:val="center"/>
          </w:tcPr>
          <w:p w14:paraId="1B1A0A86">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7CBC991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2B9FDD85">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13D7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27B3513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焊缝密封</w:t>
            </w:r>
          </w:p>
        </w:tc>
        <w:tc>
          <w:tcPr>
            <w:tcW w:w="391" w:type="pct"/>
            <w:noWrap/>
            <w:vAlign w:val="center"/>
          </w:tcPr>
          <w:p w14:paraId="4FC9665A">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3C5FB3E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77644616">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3%</w:t>
            </w:r>
          </w:p>
        </w:tc>
        <w:tc>
          <w:tcPr>
            <w:tcW w:w="630" w:type="pct"/>
            <w:shd w:val="clear" w:color="auto" w:fill="auto"/>
            <w:noWrap/>
            <w:vAlign w:val="center"/>
          </w:tcPr>
          <w:p w14:paraId="1DE04436">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3883ABE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以设计为准</w:t>
            </w:r>
          </w:p>
        </w:tc>
        <w:tc>
          <w:tcPr>
            <w:tcW w:w="1181" w:type="pct"/>
            <w:noWrap/>
            <w:vAlign w:val="center"/>
          </w:tcPr>
          <w:p w14:paraId="33CF92F0">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可实现自动变节距</w:t>
            </w:r>
          </w:p>
        </w:tc>
      </w:tr>
      <w:tr w14:paraId="51D79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5C7B51D9">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底板喷胶</w:t>
            </w:r>
          </w:p>
        </w:tc>
        <w:tc>
          <w:tcPr>
            <w:tcW w:w="391" w:type="pct"/>
            <w:noWrap/>
            <w:vAlign w:val="center"/>
          </w:tcPr>
          <w:p w14:paraId="46F0E454">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1DA558FB">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0323887A">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3%</w:t>
            </w:r>
          </w:p>
        </w:tc>
        <w:tc>
          <w:tcPr>
            <w:tcW w:w="630" w:type="pct"/>
            <w:shd w:val="clear" w:color="auto" w:fill="auto"/>
            <w:noWrap/>
            <w:vAlign w:val="center"/>
          </w:tcPr>
          <w:p w14:paraId="56D573AD">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12A900BF">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以设计为准</w:t>
            </w:r>
          </w:p>
        </w:tc>
        <w:tc>
          <w:tcPr>
            <w:tcW w:w="1181" w:type="pct"/>
            <w:noWrap/>
            <w:vAlign w:val="center"/>
          </w:tcPr>
          <w:p w14:paraId="572E3F27">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0A438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68F4F9C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PVC烘干、强冷</w:t>
            </w:r>
          </w:p>
        </w:tc>
        <w:tc>
          <w:tcPr>
            <w:tcW w:w="391" w:type="pct"/>
            <w:noWrap/>
            <w:vAlign w:val="center"/>
          </w:tcPr>
          <w:p w14:paraId="608DFF76">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7F18AD56">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5E18AB07">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3%</w:t>
            </w:r>
          </w:p>
        </w:tc>
        <w:tc>
          <w:tcPr>
            <w:tcW w:w="630" w:type="pct"/>
            <w:shd w:val="clear" w:color="auto" w:fill="auto"/>
            <w:noWrap/>
            <w:vAlign w:val="center"/>
          </w:tcPr>
          <w:p w14:paraId="324C909A">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0E9B42BC">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以设计为准</w:t>
            </w:r>
          </w:p>
        </w:tc>
        <w:tc>
          <w:tcPr>
            <w:tcW w:w="1181" w:type="pct"/>
            <w:noWrap/>
            <w:vAlign w:val="center"/>
          </w:tcPr>
          <w:p w14:paraId="71732860">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1755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45EEB22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电泳打磨</w:t>
            </w:r>
          </w:p>
        </w:tc>
        <w:tc>
          <w:tcPr>
            <w:tcW w:w="391" w:type="pct"/>
            <w:noWrap/>
            <w:vAlign w:val="center"/>
          </w:tcPr>
          <w:p w14:paraId="7BDBC62B">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2</w:t>
            </w:r>
          </w:p>
        </w:tc>
        <w:tc>
          <w:tcPr>
            <w:tcW w:w="629" w:type="pct"/>
            <w:noWrap/>
            <w:vAlign w:val="center"/>
          </w:tcPr>
          <w:p w14:paraId="009AFF8C">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1A6641E5">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shd w:val="clear" w:color="auto" w:fill="auto"/>
            <w:noWrap/>
            <w:vAlign w:val="center"/>
          </w:tcPr>
          <w:p w14:paraId="5425924A">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427D5FA6">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以设计为准</w:t>
            </w:r>
          </w:p>
        </w:tc>
        <w:tc>
          <w:tcPr>
            <w:tcW w:w="1181" w:type="pct"/>
            <w:vMerge w:val="restart"/>
            <w:noWrap/>
            <w:vAlign w:val="center"/>
          </w:tcPr>
          <w:p w14:paraId="64E4AA0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可实现自动变节距</w:t>
            </w:r>
          </w:p>
        </w:tc>
      </w:tr>
      <w:tr w14:paraId="78880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55062210">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色漆线</w:t>
            </w:r>
          </w:p>
        </w:tc>
        <w:tc>
          <w:tcPr>
            <w:tcW w:w="391" w:type="pct"/>
            <w:noWrap/>
            <w:vAlign w:val="center"/>
          </w:tcPr>
          <w:p w14:paraId="307734C6">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257A25B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531F4800">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noWrap/>
            <w:vAlign w:val="center"/>
          </w:tcPr>
          <w:p w14:paraId="160A7494">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15%</w:t>
            </w:r>
          </w:p>
        </w:tc>
        <w:tc>
          <w:tcPr>
            <w:tcW w:w="793" w:type="pct"/>
            <w:noWrap/>
            <w:vAlign w:val="center"/>
          </w:tcPr>
          <w:p w14:paraId="1E8BD526">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以设计为准</w:t>
            </w:r>
          </w:p>
        </w:tc>
        <w:tc>
          <w:tcPr>
            <w:tcW w:w="1181" w:type="pct"/>
            <w:vMerge w:val="continue"/>
            <w:noWrap/>
            <w:vAlign w:val="center"/>
          </w:tcPr>
          <w:p w14:paraId="607AD1D5">
            <w:pPr>
              <w:pStyle w:val="292"/>
              <w:pageBreakBefore w:val="0"/>
              <w:numPr>
                <w:ilvl w:val="0"/>
                <w:numId w:val="275"/>
              </w:numPr>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p>
        </w:tc>
      </w:tr>
      <w:tr w14:paraId="4D55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3D956E7E">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预烘干、强冷</w:t>
            </w:r>
          </w:p>
        </w:tc>
        <w:tc>
          <w:tcPr>
            <w:tcW w:w="391" w:type="pct"/>
            <w:noWrap/>
            <w:vAlign w:val="center"/>
          </w:tcPr>
          <w:p w14:paraId="0A752301">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6FCB767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1B1D21AD">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noWrap/>
            <w:vAlign w:val="center"/>
          </w:tcPr>
          <w:p w14:paraId="3F7EB10A">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15%</w:t>
            </w:r>
          </w:p>
        </w:tc>
        <w:tc>
          <w:tcPr>
            <w:tcW w:w="793" w:type="pct"/>
            <w:noWrap/>
            <w:vAlign w:val="center"/>
          </w:tcPr>
          <w:p w14:paraId="3378774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以设计为准</w:t>
            </w:r>
          </w:p>
        </w:tc>
        <w:tc>
          <w:tcPr>
            <w:tcW w:w="1181" w:type="pct"/>
            <w:noWrap/>
            <w:vAlign w:val="center"/>
          </w:tcPr>
          <w:p w14:paraId="39B26A4D">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6647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981" w:type="pct"/>
            <w:noWrap/>
            <w:vAlign w:val="center"/>
          </w:tcPr>
          <w:p w14:paraId="5E894AC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清漆线</w:t>
            </w:r>
          </w:p>
        </w:tc>
        <w:tc>
          <w:tcPr>
            <w:tcW w:w="391" w:type="pct"/>
            <w:noWrap/>
            <w:vAlign w:val="center"/>
          </w:tcPr>
          <w:p w14:paraId="7FDCEAC0">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5DF405C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20E5CDF7">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noWrap/>
            <w:vAlign w:val="center"/>
          </w:tcPr>
          <w:p w14:paraId="2095B270">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15%</w:t>
            </w:r>
          </w:p>
        </w:tc>
        <w:tc>
          <w:tcPr>
            <w:tcW w:w="793" w:type="pct"/>
            <w:noWrap/>
            <w:vAlign w:val="center"/>
          </w:tcPr>
          <w:p w14:paraId="3F83E019">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0DAE1049">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可实现自动变节距</w:t>
            </w:r>
          </w:p>
        </w:tc>
      </w:tr>
      <w:tr w14:paraId="49870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423B69A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面漆烘干、强冷</w:t>
            </w:r>
          </w:p>
        </w:tc>
        <w:tc>
          <w:tcPr>
            <w:tcW w:w="391" w:type="pct"/>
            <w:noWrap/>
            <w:vAlign w:val="center"/>
          </w:tcPr>
          <w:p w14:paraId="551CF748">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2F22C07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126A43CC">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noWrap/>
            <w:vAlign w:val="center"/>
          </w:tcPr>
          <w:p w14:paraId="4720AD2E">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15%</w:t>
            </w:r>
          </w:p>
        </w:tc>
        <w:tc>
          <w:tcPr>
            <w:tcW w:w="793" w:type="pct"/>
            <w:noWrap/>
            <w:vAlign w:val="center"/>
          </w:tcPr>
          <w:p w14:paraId="7EF1A14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48A806CE">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267C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2B4907BA">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修饰</w:t>
            </w:r>
          </w:p>
        </w:tc>
        <w:tc>
          <w:tcPr>
            <w:tcW w:w="391" w:type="pct"/>
            <w:noWrap/>
            <w:vAlign w:val="center"/>
          </w:tcPr>
          <w:p w14:paraId="569B3DB4">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68DABB8F">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27660A1E">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noWrap/>
            <w:vAlign w:val="center"/>
          </w:tcPr>
          <w:p w14:paraId="3E24897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15%</w:t>
            </w:r>
          </w:p>
        </w:tc>
        <w:tc>
          <w:tcPr>
            <w:tcW w:w="793" w:type="pct"/>
            <w:noWrap/>
            <w:vAlign w:val="center"/>
          </w:tcPr>
          <w:p w14:paraId="6B8B8E70">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613AF7E4">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p>
        </w:tc>
      </w:tr>
      <w:tr w14:paraId="04CF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52C389A1">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双色车遮蔽</w:t>
            </w:r>
          </w:p>
        </w:tc>
        <w:tc>
          <w:tcPr>
            <w:tcW w:w="391" w:type="pct"/>
            <w:noWrap/>
            <w:vAlign w:val="center"/>
          </w:tcPr>
          <w:p w14:paraId="79B13A9D">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5A034276">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w:t>
            </w:r>
          </w:p>
        </w:tc>
        <w:tc>
          <w:tcPr>
            <w:tcW w:w="391" w:type="pct"/>
            <w:noWrap/>
            <w:vAlign w:val="center"/>
          </w:tcPr>
          <w:p w14:paraId="74B19963">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shd w:val="clear" w:color="auto" w:fill="auto"/>
            <w:noWrap/>
            <w:vAlign w:val="center"/>
          </w:tcPr>
          <w:p w14:paraId="68444798">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3560E09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3267F99A">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6D22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32045E4A">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双色车拆遮蔽</w:t>
            </w:r>
          </w:p>
        </w:tc>
        <w:tc>
          <w:tcPr>
            <w:tcW w:w="391" w:type="pct"/>
            <w:noWrap/>
            <w:vAlign w:val="center"/>
          </w:tcPr>
          <w:p w14:paraId="13498A17">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3ECEA40F">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w:t>
            </w:r>
          </w:p>
        </w:tc>
        <w:tc>
          <w:tcPr>
            <w:tcW w:w="391" w:type="pct"/>
            <w:noWrap/>
            <w:vAlign w:val="center"/>
          </w:tcPr>
          <w:p w14:paraId="06A944E1">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shd w:val="clear" w:color="auto" w:fill="auto"/>
            <w:noWrap/>
            <w:vAlign w:val="center"/>
          </w:tcPr>
          <w:p w14:paraId="638242C5">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3E2ACBBE">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3E6A1805">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6DC8D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35294A07">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点修补</w:t>
            </w:r>
          </w:p>
        </w:tc>
        <w:tc>
          <w:tcPr>
            <w:tcW w:w="391" w:type="pct"/>
            <w:noWrap/>
            <w:vAlign w:val="center"/>
          </w:tcPr>
          <w:p w14:paraId="13DB8E84">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3</w:t>
            </w:r>
          </w:p>
        </w:tc>
        <w:tc>
          <w:tcPr>
            <w:tcW w:w="629" w:type="pct"/>
            <w:noWrap/>
            <w:vAlign w:val="center"/>
          </w:tcPr>
          <w:p w14:paraId="371B983C">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cs="宋体"/>
                <w:bCs/>
                <w:szCs w:val="24"/>
                <w:lang w:val="en-US" w:eastAsia="zh-CN"/>
              </w:rPr>
              <w:t>/</w:t>
            </w:r>
          </w:p>
        </w:tc>
        <w:tc>
          <w:tcPr>
            <w:tcW w:w="391" w:type="pct"/>
            <w:noWrap/>
            <w:vAlign w:val="center"/>
          </w:tcPr>
          <w:p w14:paraId="62267D5F">
            <w:pPr>
              <w:pStyle w:val="292"/>
              <w:pageBreakBefore w:val="0"/>
              <w:kinsoku/>
              <w:wordWrap/>
              <w:topLinePunct w:val="0"/>
              <w:bidi w:val="0"/>
              <w:adjustRightInd w:val="0"/>
              <w:snapToGrid w:val="0"/>
              <w:spacing w:afterAutospacing="0" w:line="240" w:lineRule="auto"/>
              <w:ind w:left="0" w:leftChars="0" w:firstLine="0" w:firstLineChars="0"/>
              <w:rPr>
                <w:rFonts w:hint="default"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shd w:val="clear" w:color="auto" w:fill="auto"/>
            <w:noWrap/>
            <w:vAlign w:val="center"/>
          </w:tcPr>
          <w:p w14:paraId="56F13B99">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2460DDC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noWrap/>
            <w:vAlign w:val="center"/>
          </w:tcPr>
          <w:p w14:paraId="69EA4AB6">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r>
              <w:rPr>
                <w:rFonts w:hint="eastAsia" w:ascii="宋体" w:hAnsi="宋体" w:eastAsia="宋体" w:cs="宋体"/>
                <w:bCs/>
                <w:szCs w:val="24"/>
              </w:rPr>
              <w:t>　</w:t>
            </w:r>
          </w:p>
        </w:tc>
      </w:tr>
      <w:tr w14:paraId="7C3E1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43E6875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贴膜装饰</w:t>
            </w:r>
          </w:p>
        </w:tc>
        <w:tc>
          <w:tcPr>
            <w:tcW w:w="391" w:type="pct"/>
            <w:noWrap/>
            <w:vAlign w:val="center"/>
          </w:tcPr>
          <w:p w14:paraId="4F1180CE">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446BC17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6879357F">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shd w:val="clear" w:color="auto" w:fill="auto"/>
            <w:noWrap/>
            <w:vAlign w:val="center"/>
          </w:tcPr>
          <w:p w14:paraId="50D09C97">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2089659B">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vMerge w:val="restart"/>
            <w:noWrap/>
            <w:vAlign w:val="center"/>
          </w:tcPr>
          <w:p w14:paraId="7C0652B3">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p>
        </w:tc>
      </w:tr>
      <w:tr w14:paraId="4CC5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981" w:type="pct"/>
            <w:noWrap/>
            <w:vAlign w:val="center"/>
          </w:tcPr>
          <w:p w14:paraId="2F5B42E5">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喷蜡</w:t>
            </w:r>
          </w:p>
        </w:tc>
        <w:tc>
          <w:tcPr>
            <w:tcW w:w="391" w:type="pct"/>
            <w:noWrap/>
            <w:vAlign w:val="center"/>
          </w:tcPr>
          <w:p w14:paraId="2D2FBC32">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w:t>
            </w:r>
          </w:p>
        </w:tc>
        <w:tc>
          <w:tcPr>
            <w:tcW w:w="629" w:type="pct"/>
            <w:noWrap/>
            <w:vAlign w:val="center"/>
          </w:tcPr>
          <w:p w14:paraId="54D8B4C8">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rPr>
            </w:pPr>
            <w:r>
              <w:rPr>
                <w:rFonts w:hint="eastAsia" w:ascii="宋体" w:hAnsi="宋体" w:eastAsia="宋体" w:cs="宋体"/>
                <w:bCs/>
                <w:szCs w:val="24"/>
              </w:rPr>
              <w:t>10</w:t>
            </w:r>
          </w:p>
        </w:tc>
        <w:tc>
          <w:tcPr>
            <w:tcW w:w="391" w:type="pct"/>
            <w:noWrap/>
            <w:vAlign w:val="center"/>
          </w:tcPr>
          <w:p w14:paraId="71666750">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lang w:val="en-US" w:eastAsia="zh-CN"/>
              </w:rPr>
            </w:pPr>
            <w:r>
              <w:rPr>
                <w:rFonts w:hint="eastAsia" w:ascii="宋体" w:hAnsi="宋体" w:eastAsia="宋体" w:cs="宋体"/>
                <w:bCs/>
                <w:szCs w:val="24"/>
              </w:rPr>
              <w:t>　</w:t>
            </w:r>
            <w:r>
              <w:rPr>
                <w:rFonts w:hint="eastAsia" w:ascii="宋体" w:hAnsi="宋体" w:cs="宋体"/>
                <w:bCs/>
                <w:szCs w:val="24"/>
                <w:lang w:val="en-US" w:eastAsia="zh-CN"/>
              </w:rPr>
              <w:t>/</w:t>
            </w:r>
          </w:p>
        </w:tc>
        <w:tc>
          <w:tcPr>
            <w:tcW w:w="630" w:type="pct"/>
            <w:shd w:val="clear" w:color="auto" w:fill="auto"/>
            <w:noWrap/>
            <w:vAlign w:val="center"/>
          </w:tcPr>
          <w:p w14:paraId="67D71A72">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kern w:val="0"/>
                <w:sz w:val="24"/>
                <w:szCs w:val="24"/>
                <w:lang w:val="en-US" w:eastAsia="zh-CN" w:bidi="ar-SA"/>
              </w:rPr>
            </w:pPr>
            <w:r>
              <w:rPr>
                <w:rFonts w:hint="eastAsia" w:ascii="宋体" w:hAnsi="宋体" w:eastAsia="宋体" w:cs="宋体"/>
                <w:bCs/>
                <w:szCs w:val="24"/>
              </w:rPr>
              <w:t>　</w:t>
            </w:r>
            <w:r>
              <w:rPr>
                <w:rFonts w:hint="eastAsia" w:ascii="宋体" w:hAnsi="宋体" w:cs="宋体"/>
                <w:bCs/>
                <w:szCs w:val="24"/>
                <w:lang w:val="en-US" w:eastAsia="zh-CN"/>
              </w:rPr>
              <w:t>/</w:t>
            </w:r>
          </w:p>
        </w:tc>
        <w:tc>
          <w:tcPr>
            <w:tcW w:w="793" w:type="pct"/>
            <w:noWrap/>
            <w:vAlign w:val="center"/>
          </w:tcPr>
          <w:p w14:paraId="392B9E5B">
            <w:pPr>
              <w:pStyle w:val="292"/>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Cs w:val="24"/>
                <w:highlight w:val="yellow"/>
              </w:rPr>
            </w:pPr>
            <w:r>
              <w:rPr>
                <w:rFonts w:hint="eastAsia" w:ascii="宋体" w:hAnsi="宋体" w:cs="宋体"/>
                <w:bCs/>
                <w:szCs w:val="24"/>
                <w:lang w:val="en-US" w:eastAsia="zh-CN"/>
              </w:rPr>
              <w:t>以设计为准</w:t>
            </w:r>
          </w:p>
        </w:tc>
        <w:tc>
          <w:tcPr>
            <w:tcW w:w="1181" w:type="pct"/>
            <w:vMerge w:val="continue"/>
            <w:noWrap/>
            <w:vAlign w:val="center"/>
          </w:tcPr>
          <w:p w14:paraId="2B35DD10">
            <w:pPr>
              <w:pStyle w:val="292"/>
              <w:pageBreakBefore w:val="0"/>
              <w:kinsoku/>
              <w:wordWrap/>
              <w:topLinePunct w:val="0"/>
              <w:bidi w:val="0"/>
              <w:adjustRightInd w:val="0"/>
              <w:snapToGrid w:val="0"/>
              <w:spacing w:afterAutospacing="0" w:line="240" w:lineRule="auto"/>
              <w:ind w:left="0" w:leftChars="0" w:firstLine="0" w:firstLineChars="0"/>
              <w:rPr>
                <w:rFonts w:hint="eastAsia" w:ascii="宋体" w:hAnsi="宋体" w:eastAsia="宋体" w:cs="宋体"/>
                <w:bCs/>
                <w:szCs w:val="24"/>
              </w:rPr>
            </w:pPr>
          </w:p>
        </w:tc>
      </w:tr>
    </w:tbl>
    <w:p w14:paraId="3B0B3550">
      <w:pPr>
        <w:pStyle w:val="2"/>
        <w:pageBreakBefore w:val="0"/>
        <w:numPr>
          <w:ilvl w:val="0"/>
          <w:numId w:val="272"/>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设备技术要求</w:t>
      </w:r>
    </w:p>
    <w:p w14:paraId="533FFD96">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rPr>
      </w:pPr>
      <w:r>
        <w:rPr>
          <w:rFonts w:hint="eastAsia" w:ascii="宋体" w:hAnsi="宋体" w:eastAsia="宋体" w:cs="宋体"/>
          <w:sz w:val="24"/>
          <w:szCs w:val="24"/>
        </w:rPr>
        <w:t>涂装机械化输送工艺流程如下</w:t>
      </w:r>
      <w:r>
        <w:rPr>
          <w:rFonts w:hint="eastAsia" w:ascii="宋体" w:hAnsi="宋体" w:eastAsia="宋体" w:cs="宋体"/>
        </w:rPr>
        <w:t>：</w:t>
      </w:r>
      <w:bookmarkEnd w:id="239"/>
    </w:p>
    <w:p w14:paraId="58B71DD1">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预清理-前处理电泳-电泳烘干、强冷-粗细密封-上遮蔽-UBS-检查-UBC-卸遮蔽-胶烘干、强冷-电泳打磨-颜色分组-喷漆前擦净-B1外喷涂-B2内喷涂-B2外喷涂-检查段-预烘干及强冷-清漆内喷涂-清漆外喷涂-检查段-面漆烘干、强冷-修饰-点修补-贴膜装饰-喷蜡。</w:t>
      </w:r>
    </w:p>
    <w:p w14:paraId="651737B5">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双色车：双色车走两遍喷涂主线，考虑双色车遮蔽、卸遮蔽工位和双色车存储线。</w:t>
      </w:r>
    </w:p>
    <w:p w14:paraId="282C9B08">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机械化输送设备数量在平面图会签时确认，同时</w:t>
      </w:r>
      <w:r>
        <w:rPr>
          <w:rFonts w:hint="eastAsia" w:ascii="宋体" w:hAnsi="宋体" w:cs="宋体"/>
          <w:sz w:val="24"/>
          <w:lang w:eastAsia="zh-CN"/>
        </w:rPr>
        <w:t>投标人</w:t>
      </w:r>
      <w:r>
        <w:rPr>
          <w:rFonts w:hint="eastAsia" w:ascii="宋体" w:hAnsi="宋体" w:eastAsia="宋体" w:cs="宋体"/>
          <w:sz w:val="24"/>
        </w:rPr>
        <w:t>需保证整个输送系统满足设计技术参数、工艺流程表及相关生产的功能和技术要求。</w:t>
      </w:r>
    </w:p>
    <w:p w14:paraId="686CD169">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bookmarkStart w:id="242" w:name="_Toc24982_WPSOffice_Level3"/>
      <w:r>
        <w:rPr>
          <w:rFonts w:hint="eastAsia" w:ascii="宋体" w:hAnsi="宋体" w:eastAsia="宋体" w:cs="宋体"/>
          <w:sz w:val="24"/>
          <w:szCs w:val="24"/>
        </w:rPr>
        <w:t>前处理及电泳输送系统</w:t>
      </w:r>
      <w:bookmarkEnd w:id="242"/>
      <w:r>
        <w:rPr>
          <w:rFonts w:hint="eastAsia" w:ascii="宋体" w:hAnsi="宋体" w:eastAsia="宋体" w:cs="宋体"/>
          <w:sz w:val="24"/>
          <w:szCs w:val="24"/>
        </w:rPr>
        <w:t>：</w:t>
      </w:r>
    </w:p>
    <w:p w14:paraId="048ADAFB">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前处理及电泳输送系统采用双轨输送系统。</w:t>
      </w:r>
    </w:p>
    <w:p w14:paraId="107D43BE">
      <w:pPr>
        <w:pStyle w:val="3"/>
        <w:pageBreakBefore w:val="0"/>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组成：</w:t>
      </w:r>
    </w:p>
    <w:p w14:paraId="445895A2">
      <w:pPr>
        <w:keepNext w:val="0"/>
        <w:keepLines w:val="0"/>
        <w:pageBreakBefore w:val="0"/>
        <w:widowControl w:val="0"/>
        <w:tabs>
          <w:tab w:val="left" w:pos="397"/>
        </w:tabs>
        <w:kinsoku/>
        <w:wordWrap/>
        <w:overflowPunct/>
        <w:topLinePunct w:val="0"/>
        <w:autoSpaceDE w:val="0"/>
        <w:autoSpaceDN w:val="0"/>
        <w:bidi w:val="0"/>
        <w:adjustRightInd w:val="0"/>
        <w:snapToGrid w:val="0"/>
        <w:spacing w:afterAutospacing="0" w:line="360" w:lineRule="auto"/>
        <w:ind w:left="0" w:leftChars="0" w:firstLine="0" w:firstLineChars="0"/>
        <w:jc w:val="left"/>
        <w:textAlignment w:val="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电动双轨自行小车系统主要由载物车组、平移车组、轨道系统、供电系统、钢结构 部分及电控系统等组成。</w:t>
      </w:r>
    </w:p>
    <w:p w14:paraId="60B78328">
      <w:pPr>
        <w:pStyle w:val="3"/>
        <w:keepNext w:val="0"/>
        <w:keepLines w:val="0"/>
        <w:pageBreakBefore w:val="0"/>
        <w:widowControl w:val="0"/>
        <w:kinsoku/>
        <w:wordWrap/>
        <w:overflowPunct/>
        <w:topLinePunct w:val="0"/>
        <w:bidi w:val="0"/>
        <w:adjustRightInd w:val="0"/>
        <w:snapToGrid w:val="0"/>
        <w:spacing w:before="0" w:afterAutospacing="0" w:line="360" w:lineRule="auto"/>
        <w:ind w:left="0" w:leftChars="0" w:firstLine="0" w:firstLineChars="0"/>
        <w:textAlignment w:val="auto"/>
        <w:rPr>
          <w:rFonts w:hint="eastAsia" w:ascii="宋体" w:hAnsi="宋体" w:eastAsia="宋体" w:cs="宋体"/>
          <w:sz w:val="24"/>
        </w:rPr>
      </w:pPr>
      <w:r>
        <w:rPr>
          <w:rFonts w:hint="eastAsia" w:ascii="宋体" w:hAnsi="宋体" w:eastAsia="宋体" w:cs="宋体"/>
          <w:sz w:val="24"/>
        </w:rPr>
        <w:t>输送原理要求：</w:t>
      </w:r>
    </w:p>
    <w:p w14:paraId="4D7DAEBF">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载物车行走采用电机减速机直接驱动主轴的运行方式，升降机构采用两组电机减速 器带动四组链条或皮带使吊具升降。</w:t>
      </w:r>
    </w:p>
    <w:p w14:paraId="61A63766">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平移车组采用电机减速机带动行走轮驱动平移车组运行。 </w:t>
      </w:r>
    </w:p>
    <w:p w14:paraId="1DB2BDBE">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轨道系统采用H 型钢上敷设轻型钢轨形式。</w:t>
      </w:r>
    </w:p>
    <w:p w14:paraId="48769DB2">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供电系统的滑触线敷设在专用轨道上。</w:t>
      </w:r>
    </w:p>
    <w:p w14:paraId="2E12175B">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载物车组包括行走机构、集电器、升降机构、吊具等</w:t>
      </w:r>
    </w:p>
    <w:p w14:paraId="2FA74D15">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行走机构</w:t>
      </w:r>
    </w:p>
    <w:p w14:paraId="778147F7">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主驱动轴系由电机减速机通过链式联轴器和连接轴直连的方式，通过行走轮实现小 车在轨道上行走，要求运行平稳、噪音低、使用可靠。</w:t>
      </w:r>
    </w:p>
    <w:p w14:paraId="198CAAD5">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从动轮与主驱动轮相同，都是采用两车轮结构形式，车轮采用钢制轮，车轮是由一 侧双沿车轮</w:t>
      </w:r>
      <w:r>
        <w:rPr>
          <w:rFonts w:hint="eastAsia" w:ascii="宋体" w:hAnsi="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一侧单沿车轮组成，能够更有效地抑制、减缓小车的侧向摆动，减少停车 和起步时的晃动。</w:t>
      </w:r>
    </w:p>
    <w:p w14:paraId="527B187F">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载物车之间具有积放功能防止发生碰撞。</w:t>
      </w:r>
    </w:p>
    <w:p w14:paraId="75151FE1">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具有在线快速更换车轮的功能。</w:t>
      </w:r>
    </w:p>
    <w:p w14:paraId="101CF36B">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行走轮应加装去污刷，车轮承载能力满足使用要求。</w:t>
      </w:r>
    </w:p>
    <w:p w14:paraId="13344888">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全线小车行走速度2~15m/min 变频可调。</w:t>
      </w:r>
    </w:p>
    <w:p w14:paraId="6B798AD0">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集电器</w:t>
      </w:r>
    </w:p>
    <w:p w14:paraId="56E8C377">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电源电刷应采取双保险，确保一组电刷接触不良时，另一组电刷保证接触良好，必须保证小车运行的平稳性和电刷与导电滑触线的良好接触，减少由于接触不实而产生的 打火花的现象。</w:t>
      </w:r>
    </w:p>
    <w:p w14:paraId="2F3526E6">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升降机构</w:t>
      </w:r>
    </w:p>
    <w:p w14:paraId="39BF651A">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升降机构采用两组电机减速器带动四条链条(或皮带)使吊具升降形式，若采用链条，则需要有自动润滑措施。</w:t>
      </w:r>
    </w:p>
    <w:p w14:paraId="27D67FFB">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升降机构利用编码器进行精确定位同时必须配置极限限位开关，确保上位、下位、 转挂、工件倾斜摆动及出槽沥水的准确可靠。</w:t>
      </w:r>
    </w:p>
    <w:p w14:paraId="759EF1EE">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最大升降行程应满足生产要求，升降速度变频可调。</w:t>
      </w:r>
    </w:p>
    <w:p w14:paraId="04059CD7">
      <w:pPr>
        <w:pageBreakBefore w:val="0"/>
        <w:widowControl/>
        <w:numPr>
          <w:ilvl w:val="0"/>
          <w:numId w:val="27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吊具：</w:t>
      </w:r>
    </w:p>
    <w:p w14:paraId="56A8F1CD">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吊具采用门形兜底结构，用管材和板材焊接而成，吊具下部两侧设有连接杆以保证 两吊杆间位置的准确及工件在槽内动作平稳。</w:t>
      </w:r>
    </w:p>
    <w:p w14:paraId="140B7F45">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吊具在上位时要保证运行无摆动。</w:t>
      </w:r>
    </w:p>
    <w:p w14:paraId="616146AD">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吊具吊环与吊具横梁必须使用绝缘材料连接，并有电缆托架及导线。保证电泳接电 可靠且电缆不易折断，电缆使用寿命至少5年。</w:t>
      </w:r>
    </w:p>
    <w:p w14:paraId="513F4FFE">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为保证导电可靠，每个吊具上设置人工导电夹，在上下件时人工加紧和脱离。</w:t>
      </w:r>
    </w:p>
    <w:p w14:paraId="3F1A38DA">
      <w:pPr>
        <w:pageBreakBefore w:val="0"/>
        <w:tabs>
          <w:tab w:val="left" w:pos="397"/>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color w:val="000000" w:themeColor="text1"/>
          <w:sz w:val="24"/>
          <w14:textFill>
            <w14:solidFill>
              <w14:schemeClr w14:val="tx1"/>
            </w14:solidFill>
          </w14:textFill>
        </w:rPr>
      </w:pPr>
      <w:bookmarkStart w:id="243" w:name="_Toc7364_WPSOffice_Level3"/>
      <w:r>
        <w:rPr>
          <w:rFonts w:hint="eastAsia" w:ascii="宋体" w:hAnsi="宋体" w:eastAsia="宋体" w:cs="宋体"/>
          <w:color w:val="000000" w:themeColor="text1"/>
          <w:sz w:val="24"/>
          <w14:textFill>
            <w14:solidFill>
              <w14:schemeClr w14:val="tx1"/>
            </w14:solidFill>
          </w14:textFill>
        </w:rPr>
        <w:t>本次改造内容为，在原有双轨小车输送线上增加小车组，满足10JPH生产需求，增加的小车组与现场小车组一致，其余利用现场输送系统。</w:t>
      </w:r>
    </w:p>
    <w:p w14:paraId="24D94780">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辊床滑橇输送系统</w:t>
      </w:r>
      <w:bookmarkEnd w:id="243"/>
    </w:p>
    <w:p w14:paraId="72C1CE58">
      <w:pPr>
        <w:pageBreakBefore w:val="0"/>
        <w:numPr>
          <w:ilvl w:val="0"/>
          <w:numId w:val="27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辊床滑橇输送机通用技术要求</w:t>
      </w:r>
    </w:p>
    <w:p w14:paraId="2BE6FE7E">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齿形具有抗油脂性，摩擦面有特殊的抗磨层，边缘切齐平整，热固密封，使用安全可靠，要求同步不含硅酮等。</w:t>
      </w:r>
    </w:p>
    <w:p w14:paraId="13B7B551">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系统中设备的滚轮无特殊说明时均采用钢轮（钢轮与轮缘一体式）或高分子材料包胶，包胶材料为进口聚氨酯品牌，聚氨脂表面硬度不低于邵氏90。要求包胶轮不含硅酮。</w:t>
      </w:r>
    </w:p>
    <w:p w14:paraId="77231E81">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除储存区摩擦辊床（不含储存道头尾辊床）外的设备电机应带制动器，制动器带手动释放(松闸)手柄，便于检修和维护保养。</w:t>
      </w:r>
    </w:p>
    <w:p w14:paraId="49F5978C">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所有设备与设备、设备与地面均用螺接。</w:t>
      </w:r>
    </w:p>
    <w:p w14:paraId="2DE9A5BA">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设备调试后应运行平稳、无卡阻、无异响等。</w:t>
      </w:r>
    </w:p>
    <w:p w14:paraId="79071A2D">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各输送单元的驱动装置应无漏油、渗油现象。</w:t>
      </w:r>
    </w:p>
    <w:p w14:paraId="6C00CE0C">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输送机的各种盖板、罩子外观整齐，间隙均匀。</w:t>
      </w:r>
    </w:p>
    <w:p w14:paraId="77765637">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所有移行机、旋转辊床、拆堆垛区域、升降机及其他指定区域必须有保护开关、护栏、警戒牌等安全措施。</w:t>
      </w:r>
    </w:p>
    <w:p w14:paraId="67004FEE">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调试后设备应满足生产使用的安全性、可靠性以及稳定性。</w:t>
      </w:r>
    </w:p>
    <w:p w14:paraId="53B5478C">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储存区内橇体在运行过程中，不得发生撞击的现象。</w:t>
      </w:r>
    </w:p>
    <w:p w14:paraId="02479633">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必须保证所购钢材的质量符合国家标准；在钢材进料后及时向</w:t>
      </w:r>
      <w:r>
        <w:rPr>
          <w:rFonts w:hint="eastAsia" w:ascii="宋体" w:hAnsi="宋体" w:cs="宋体"/>
          <w:sz w:val="24"/>
          <w:lang w:eastAsia="zh-CN"/>
        </w:rPr>
        <w:t>招标人</w:t>
      </w:r>
      <w:r>
        <w:rPr>
          <w:rFonts w:hint="eastAsia" w:ascii="宋体" w:hAnsi="宋体" w:eastAsia="宋体" w:cs="宋体"/>
          <w:sz w:val="24"/>
        </w:rPr>
        <w:t>提供质量保证书，不允许有明显的缺陷；</w:t>
      </w:r>
      <w:r>
        <w:rPr>
          <w:rFonts w:hint="eastAsia" w:ascii="宋体" w:hAnsi="宋体" w:cs="宋体"/>
          <w:sz w:val="24"/>
          <w:lang w:eastAsia="zh-CN"/>
        </w:rPr>
        <w:t>招标人</w:t>
      </w:r>
      <w:r>
        <w:rPr>
          <w:rFonts w:hint="eastAsia" w:ascii="宋体" w:hAnsi="宋体" w:eastAsia="宋体" w:cs="宋体"/>
          <w:sz w:val="24"/>
        </w:rPr>
        <w:t>有权对</w:t>
      </w:r>
      <w:r>
        <w:rPr>
          <w:rFonts w:hint="eastAsia" w:ascii="宋体" w:hAnsi="宋体" w:cs="宋体"/>
          <w:sz w:val="24"/>
          <w:lang w:eastAsia="zh-CN"/>
        </w:rPr>
        <w:t>投标人</w:t>
      </w:r>
      <w:r>
        <w:rPr>
          <w:rFonts w:hint="eastAsia" w:ascii="宋体" w:hAnsi="宋体" w:eastAsia="宋体" w:cs="宋体"/>
          <w:sz w:val="24"/>
        </w:rPr>
        <w:t>的购货渠道进行监控，发现质量问题，</w:t>
      </w:r>
      <w:r>
        <w:rPr>
          <w:rFonts w:hint="eastAsia" w:ascii="宋体" w:hAnsi="宋体" w:cs="宋体"/>
          <w:sz w:val="24"/>
          <w:lang w:eastAsia="zh-CN"/>
        </w:rPr>
        <w:t>招标人</w:t>
      </w:r>
      <w:r>
        <w:rPr>
          <w:rFonts w:hint="eastAsia" w:ascii="宋体" w:hAnsi="宋体" w:eastAsia="宋体" w:cs="宋体"/>
          <w:sz w:val="24"/>
        </w:rPr>
        <w:t>有权拒绝使用和勒令</w:t>
      </w:r>
      <w:r>
        <w:rPr>
          <w:rFonts w:hint="eastAsia" w:ascii="宋体" w:hAnsi="宋体" w:cs="宋体"/>
          <w:sz w:val="24"/>
          <w:lang w:eastAsia="zh-CN"/>
        </w:rPr>
        <w:t>投标人</w:t>
      </w:r>
      <w:r>
        <w:rPr>
          <w:rFonts w:hint="eastAsia" w:ascii="宋体" w:hAnsi="宋体" w:eastAsia="宋体" w:cs="宋体"/>
          <w:sz w:val="24"/>
        </w:rPr>
        <w:t>停工，由此造成的损失由</w:t>
      </w:r>
      <w:r>
        <w:rPr>
          <w:rFonts w:hint="eastAsia" w:ascii="宋体" w:hAnsi="宋体" w:cs="宋体"/>
          <w:sz w:val="24"/>
          <w:lang w:eastAsia="zh-CN"/>
        </w:rPr>
        <w:t>投标人</w:t>
      </w:r>
      <w:r>
        <w:rPr>
          <w:rFonts w:hint="eastAsia" w:ascii="宋体" w:hAnsi="宋体" w:eastAsia="宋体" w:cs="宋体"/>
          <w:sz w:val="24"/>
        </w:rPr>
        <w:t>承担。</w:t>
      </w:r>
    </w:p>
    <w:p w14:paraId="41DCCA5C">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联接材料（焊接材料、各种螺栓等）均有质量保证书并符合国家标准。辊床滑橇输送系统使用的全部材料或元器件均要求不含硅酮。</w:t>
      </w:r>
    </w:p>
    <w:p w14:paraId="56B6DDFA">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钢结构所有焊缝、毛刺、飞边的地方要求磨光，所有钢结构都必须在清除浮锈后喷涂两遍防锈底漆和两遍面漆，面漆的颜色由</w:t>
      </w:r>
      <w:r>
        <w:rPr>
          <w:rFonts w:hint="eastAsia" w:ascii="宋体" w:hAnsi="宋体" w:cs="宋体"/>
          <w:sz w:val="24"/>
          <w:lang w:eastAsia="zh-CN"/>
        </w:rPr>
        <w:t>招标人</w:t>
      </w:r>
      <w:r>
        <w:rPr>
          <w:rFonts w:hint="eastAsia" w:ascii="宋体" w:hAnsi="宋体" w:eastAsia="宋体" w:cs="宋体"/>
          <w:sz w:val="24"/>
        </w:rPr>
        <w:t>提供色标号。安调结束后现场统一补漆，补漆后新老漆面不得出现明显的色差、流挂及起皮等缺陷。</w:t>
      </w:r>
    </w:p>
    <w:p w14:paraId="14E3805C">
      <w:pPr>
        <w:pageBreakBefore w:val="0"/>
        <w:numPr>
          <w:ilvl w:val="0"/>
          <w:numId w:val="27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辊床滑橇输送机主要组成部分的技术要求：</w:t>
      </w:r>
    </w:p>
    <w:p w14:paraId="6D2322A6">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B1B2闪干区工艺入口至CC喷漆工艺链入口段辊床，其辊轮材质为不锈钢，滑橇清洗间辊床采用不锈钢辊床，减速电机防爆并带防护罩。当驱动辊床在高温环境下工作时，其驱动电机必须设在室体外，通过万向节传动轴驱动辊床，链条传动。</w:t>
      </w:r>
    </w:p>
    <w:p w14:paraId="3845300E">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泳烘干排空区、PVC排空区、分色编组区、面漆烘干存储区等区域的出入口辊床均采用带式辊床，积放存储区域辊床可以采用摩擦辊床，如采用摩擦辊床，要求6个摩擦辊床一个远程控制箱。积放存储区域进出口辊床采用变频控制。滑橇在存储区运行时，滑橇之间必须有间隙，不允许滑橇之间相互碰撞。</w:t>
      </w:r>
    </w:p>
    <w:p w14:paraId="7AF16E9A">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常温带式辊床</w:t>
      </w:r>
    </w:p>
    <w:p w14:paraId="2300C784">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a.辊床框架采用5mm优质钢板折弯而成，齿形带盖板采用不小于1.5mm的镀锌钢板或不锈钢板，人行踏台盖板及全盖板采用不小于3mm优质镀锌钢板或不锈钢板（涉及腐蚀、水区域使用不锈钢）。</w:t>
      </w:r>
    </w:p>
    <w:p w14:paraId="437DCE91">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b.辊床包胶轮辊子组要求包胶轮可自行拆卸更换，包胶轮的包胶材质要求为进口品牌。</w:t>
      </w:r>
    </w:p>
    <w:p w14:paraId="2639FFDA">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c.钢轮要求表面整体进行镀锌或发黑处理，滚轮导向轮为钢轮采用螺接或焊接方式固定在辊床端部。</w:t>
      </w:r>
    </w:p>
    <w:p w14:paraId="46E8F85C">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d.同步带防护盖板每段长度不大于2000mm，应便于拆卸和安装；特殊工位（如橇体清洗、橇体维护以及工艺指定工位）采用全盖板。</w:t>
      </w:r>
    </w:p>
    <w:p w14:paraId="17EADECC">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e.前后辊床相邻滚轮间距不大于单台辊床内相邻滚轮间距。</w:t>
      </w:r>
    </w:p>
    <w:p w14:paraId="4DFDBCFF">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f.标准辊床与其它系统设备需衔接时，衔接端部必须安装导向轮、活动端挡或固定端挡。</w:t>
      </w:r>
    </w:p>
    <w:p w14:paraId="4C32FF28">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摩擦辊床（存储）</w:t>
      </w:r>
    </w:p>
    <w:p w14:paraId="6139A993">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a.辊床框架采用5mm优质钢板折弯而成，盖板采用不小于1.5mm的镀锌钢板或不锈钢板（涉及腐蚀、水区域使用不锈钢），人行踏台盖板及全盖板采用不小于3mm优质镀锌钢板或不锈钢板。</w:t>
      </w:r>
    </w:p>
    <w:p w14:paraId="40C2E91E">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b.辊子组的轴应发黑处理或镀白锌处理，辊床两端辊子的滚轮为钢轮。其余辊子组采用聚氨酯包胶轮，包胶轮为进口品牌。</w:t>
      </w:r>
    </w:p>
    <w:p w14:paraId="1CE8CE8D">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c.钢轮要求表面整体进行镀锌或发黑处理，滚轮导向轮为钢轮采用螺接方式固定在辊床端部。</w:t>
      </w:r>
    </w:p>
    <w:p w14:paraId="276B706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d.防护盖板长度不大于2000mm，应便于拆卸和安装；</w:t>
      </w:r>
    </w:p>
    <w:p w14:paraId="34B1273B">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e.前后辊床相邻滚轮间距不大于单台辊床内相邻滚轮间距。</w:t>
      </w:r>
    </w:p>
    <w:p w14:paraId="2444E796">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f.存储区辊床布置间距满足库区滑橇积放无撞击。</w:t>
      </w:r>
    </w:p>
    <w:p w14:paraId="0CED2301">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不锈钢辊床（常温）</w:t>
      </w:r>
      <w:r>
        <w:rPr>
          <w:rFonts w:hint="eastAsia" w:ascii="宋体" w:hAnsi="宋体" w:eastAsia="宋体" w:cs="宋体"/>
          <w:sz w:val="24"/>
        </w:rPr>
        <w:tab/>
      </w:r>
    </w:p>
    <w:p w14:paraId="6908ED6D">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 注：所有结构部件均为不锈钢材质。</w:t>
      </w:r>
    </w:p>
    <w:p w14:paraId="7BA7C5DA">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a.辊床框架采用不小于5mm优质不锈钢钢板折弯而成，齿形带盖板采用不小于1.5mm的不锈钢板，人行踏台盖板及全盖板采用不小于3mm优质不锈钢板。</w:t>
      </w:r>
    </w:p>
    <w:p w14:paraId="17D295FF">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b.辊子组件由滚轮、轴、套筒、轴承等组成。辊子组材质为不锈钢。</w:t>
      </w:r>
    </w:p>
    <w:p w14:paraId="4E6D8F2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c.滚轮导向轮为不锈钢钢轮，采用螺接方式固定在辊床端部。</w:t>
      </w:r>
    </w:p>
    <w:p w14:paraId="317BF7C9">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d.同步带防护盖板长度不大于2000mm，应便于拆卸和安装；特殊工位（如橇体清洗、橇体维护以及工艺指定工位）采用全盖板。</w:t>
      </w:r>
    </w:p>
    <w:p w14:paraId="1B8C0B69">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e.前后辊床相邻滚轮间距不大于单台辊床内相邻滚轮间距。</w:t>
      </w:r>
    </w:p>
    <w:p w14:paraId="1CC38823">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f.标准辊床与其它系统设备需衔接时，衔接端部必须安装导向轮、活动端挡或固定端挡。</w:t>
      </w:r>
    </w:p>
    <w:p w14:paraId="7835AA95">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不锈钢辊床（高温）</w:t>
      </w:r>
    </w:p>
    <w:p w14:paraId="77133751">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除采用链条传动外，其他技术要求同不锈钢辊床（常温）。</w:t>
      </w:r>
    </w:p>
    <w:p w14:paraId="20AC1C05">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链式辊床（高温）</w:t>
      </w:r>
    </w:p>
    <w:p w14:paraId="134B15B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除采用链条传动外，其他技术要求同带式辊床（常温）。</w:t>
      </w:r>
    </w:p>
    <w:p w14:paraId="2C22E7AF">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旋转辊床</w:t>
      </w:r>
    </w:p>
    <w:p w14:paraId="4B58E553">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旋转驱动装置采用胀套直接与驱动轮联接方式，便于拆卸。</w:t>
      </w:r>
    </w:p>
    <w:p w14:paraId="506771D9">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轨道采用螺接安装且高度可调。</w:t>
      </w:r>
    </w:p>
    <w:p w14:paraId="50FD0002">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辊床上应有活动端挡或固定端挡，防止滑橇冲出辊床, 在滑橇进入端设置双侧导向轮。</w:t>
      </w:r>
    </w:p>
    <w:p w14:paraId="049BD0F3">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旋转到位后旋转辊床与对接辊床接头处滚轮踏面高度的偏差不大于2mm。</w:t>
      </w:r>
    </w:p>
    <w:p w14:paraId="570F7BD0">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每次旋转停止后与对接固定辊床轴线偏差不大于2mm。</w:t>
      </w:r>
    </w:p>
    <w:p w14:paraId="163DD0E6">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旋转辊床中心转轴材料为自润滑的聚四氟乙烯材料。</w:t>
      </w:r>
    </w:p>
    <w:p w14:paraId="68F30477">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旋转台转动时不应有亢进、脉动现象，启动、变速及停止时无明显冲击。</w:t>
      </w:r>
    </w:p>
    <w:p w14:paraId="6514A579">
      <w:pPr>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辊床及不锈钢辊床技术要求同带式辊床（常温）和不锈钢辊床（常温）</w:t>
      </w:r>
    </w:p>
    <w:p w14:paraId="36FA1E34">
      <w:pPr>
        <w:pStyle w:val="292"/>
        <w:pageBreakBefore w:val="0"/>
        <w:widowControl/>
        <w:numPr>
          <w:ilvl w:val="0"/>
          <w:numId w:val="2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Cs w:val="24"/>
        </w:rPr>
      </w:pPr>
      <w:r>
        <w:rPr>
          <w:rFonts w:hint="eastAsia" w:ascii="宋体" w:hAnsi="宋体" w:eastAsia="宋体" w:cs="宋体"/>
          <w:szCs w:val="24"/>
        </w:rPr>
        <w:t>旋转台设置辊轮观察口和轨道清洁毛刷。</w:t>
      </w:r>
    </w:p>
    <w:p w14:paraId="7F668B4E">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44" w:name="_Toc4163993"/>
      <w:r>
        <w:rPr>
          <w:rFonts w:hint="eastAsia" w:ascii="宋体" w:hAnsi="宋体" w:eastAsia="宋体" w:cs="宋体"/>
          <w:sz w:val="24"/>
        </w:rPr>
        <w:t>移行机</w:t>
      </w:r>
      <w:bookmarkEnd w:id="244"/>
    </w:p>
    <w:p w14:paraId="519F99CA">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辊床要求跟相应区域的辊床要求一致。</w:t>
      </w:r>
    </w:p>
    <w:p w14:paraId="35E86CC8">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移动框架、行走轮及导向轮：4个行走轮；行走轮轴由带座外球面滚动轴承支撑；行走轮外包聚氨酯，要提交</w:t>
      </w:r>
      <w:r>
        <w:rPr>
          <w:rFonts w:hint="eastAsia" w:ascii="宋体" w:hAnsi="宋体" w:cs="宋体"/>
          <w:sz w:val="24"/>
          <w:lang w:eastAsia="zh-CN"/>
        </w:rPr>
        <w:t>招标人</w:t>
      </w:r>
      <w:r>
        <w:rPr>
          <w:rFonts w:hint="eastAsia" w:ascii="宋体" w:hAnsi="宋体" w:eastAsia="宋体" w:cs="宋体"/>
          <w:sz w:val="24"/>
        </w:rPr>
        <w:t>有关包胶材料，性能，工艺，分包商，案例等有关信息。沿1根平移轨道的两侧有4个平移导向辊轮；辊轮材质为加强尼龙，内衬滚动轴承。</w:t>
      </w:r>
    </w:p>
    <w:p w14:paraId="0E7B7402">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若双移行机共用轨道，需要设置机械电气双重保护，以免相撞。</w:t>
      </w:r>
    </w:p>
    <w:p w14:paraId="0882D373">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移行轨道：轨道由夹紧固定板及螺栓支撑，高度可调，调整范围±25mm。</w:t>
      </w:r>
    </w:p>
    <w:p w14:paraId="218727A4">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超过三个停止则采用条形码控制移行动作，并设置超行程保护开关。</w:t>
      </w:r>
    </w:p>
    <w:p w14:paraId="50FF59A2">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保护设施：在行走的终点设置橡胶限位缓冲器。移行辊床周围应有围栏。</w:t>
      </w:r>
    </w:p>
    <w:p w14:paraId="0D526B19">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采用C型槽钢作为接近开关安装支架。开关位置可调整。</w:t>
      </w:r>
    </w:p>
    <w:p w14:paraId="03786952">
      <w:pPr>
        <w:pageBreakBefore w:val="0"/>
        <w:widowControl/>
        <w:numPr>
          <w:ilvl w:val="0"/>
          <w:numId w:val="2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移行机上辊床输送机须装有机械挡板装置，以便保护工件，防止掉落。</w:t>
      </w:r>
    </w:p>
    <w:p w14:paraId="0E328EA1">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堆/拆垛机</w:t>
      </w:r>
    </w:p>
    <w:p w14:paraId="77C95138">
      <w:pPr>
        <w:pageBreakBefore w:val="0"/>
        <w:widowControl/>
        <w:numPr>
          <w:ilvl w:val="0"/>
          <w:numId w:val="282"/>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底、面漆滑橇存储区各设置一套拆/堆垛机构，以用于底、面漆滑橇的拆堆垛。</w:t>
      </w:r>
    </w:p>
    <w:p w14:paraId="77DE57BA">
      <w:pPr>
        <w:pageBreakBefore w:val="0"/>
        <w:widowControl/>
        <w:numPr>
          <w:ilvl w:val="0"/>
          <w:numId w:val="282"/>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用于拆/堆垛的辊床，辊床技术要求同带式辊床（常温），辊床出入口各安装一对导向轮。</w:t>
      </w:r>
    </w:p>
    <w:p w14:paraId="52B83A83">
      <w:pPr>
        <w:pageBreakBefore w:val="0"/>
        <w:widowControl/>
        <w:numPr>
          <w:ilvl w:val="0"/>
          <w:numId w:val="282"/>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升降机构采用带式提升机构或刚性轴承机构，要求升降过程运行平稳，无卡阻，两组摆臂的摆动应灵活，同时至少满足3台空橇的堆/拆垛。升降台采用进口品牌。</w:t>
      </w:r>
    </w:p>
    <w:p w14:paraId="315FEF61">
      <w:pPr>
        <w:pageBreakBefore w:val="0"/>
        <w:widowControl/>
        <w:numPr>
          <w:ilvl w:val="0"/>
          <w:numId w:val="282"/>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根据需要堆垛机可以通过切换满足单个橇体直接通过（不堆垛）及橇体堆垛两种运行模式。</w:t>
      </w:r>
    </w:p>
    <w:p w14:paraId="613FC808">
      <w:pPr>
        <w:pageBreakBefore w:val="0"/>
        <w:widowControl/>
        <w:numPr>
          <w:ilvl w:val="0"/>
          <w:numId w:val="282"/>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堆/拆垛机上辊床纵向中心线与对接设备的中心线的重合度不大于2mm。</w:t>
      </w:r>
    </w:p>
    <w:p w14:paraId="4B08BCCB">
      <w:pPr>
        <w:pageBreakBefore w:val="0"/>
        <w:widowControl/>
        <w:numPr>
          <w:ilvl w:val="0"/>
          <w:numId w:val="282"/>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举升过程应安全、平稳，不得出现抖动或举升不到位现象。堆/拆垛机支撑在运行过中不得出现明显的晃动或干涉现象。</w:t>
      </w:r>
    </w:p>
    <w:p w14:paraId="37412BD2">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滑橇</w:t>
      </w:r>
    </w:p>
    <w:p w14:paraId="618E9A5A">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电泳滑橇长度9000mm, 面漆滑橇长度6500mm（暂定，最终尺寸以图纸会签为准），</w:t>
      </w:r>
      <w:r>
        <w:rPr>
          <w:rFonts w:hint="eastAsia" w:ascii="宋体" w:hAnsi="宋体" w:cs="宋体"/>
          <w:sz w:val="24"/>
          <w:lang w:eastAsia="zh-CN"/>
        </w:rPr>
        <w:t>投标人</w:t>
      </w:r>
      <w:r>
        <w:rPr>
          <w:rFonts w:hint="eastAsia" w:ascii="宋体" w:hAnsi="宋体" w:eastAsia="宋体" w:cs="宋体"/>
          <w:sz w:val="24"/>
        </w:rPr>
        <w:t>负责核算滑橇数量，要求不能因滑橇造成堵线和节拍浪费，数量需经</w:t>
      </w:r>
      <w:r>
        <w:rPr>
          <w:rFonts w:hint="eastAsia" w:ascii="宋体" w:hAnsi="宋体" w:cs="宋体"/>
          <w:sz w:val="24"/>
          <w:lang w:eastAsia="zh-CN"/>
        </w:rPr>
        <w:t>招标人</w:t>
      </w:r>
      <w:r>
        <w:rPr>
          <w:rFonts w:hint="eastAsia" w:ascii="宋体" w:hAnsi="宋体" w:eastAsia="宋体" w:cs="宋体"/>
          <w:sz w:val="24"/>
        </w:rPr>
        <w:t>确认。</w:t>
      </w:r>
    </w:p>
    <w:p w14:paraId="1DB90F09">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橇体焊接完成后应进行整体退火处理，消除焊接产生的应力。</w:t>
      </w:r>
    </w:p>
    <w:p w14:paraId="1C9E317C">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橇体上支撑形式为销式支撑，支撑架采用分体式结构设计。</w:t>
      </w:r>
    </w:p>
    <w:p w14:paraId="15CA31E5">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支撑点总成和橇体之间的连接采用螺接可调，并用销轴定位。滑橇上的车身工艺支撑与橇体框架间均采用可调节螺接结构，通过调试紧固满足生产使用时的车身转挂定位要求，并采取防松措施。支撑销表面进行防黏漆处理。</w:t>
      </w:r>
    </w:p>
    <w:p w14:paraId="3CE797B2">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滑橇结构应便于堆垛和折垛，三层堆垛后应平稳保证无相对位移，三层堆垛高度应低于车身在滑橇上的高度。</w:t>
      </w:r>
    </w:p>
    <w:p w14:paraId="7AF28024">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橇体工艺支撑点对角线偏差不大于±1mm。</w:t>
      </w:r>
    </w:p>
    <w:p w14:paraId="3EA56B45">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橇体编号板焊接在橇体的横梁上，焊接应牢固可靠，橇体编号板的厚度不小于5 mm，橇体编号应清晰明了。</w:t>
      </w:r>
    </w:p>
    <w:p w14:paraId="417A640A">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橇体前后格栅与橇体采用螺接，螺栓安装后其高度不得超过格栅上表面。</w:t>
      </w:r>
    </w:p>
    <w:p w14:paraId="2834FE3E">
      <w:pPr>
        <w:pageBreakBefore w:val="0"/>
        <w:widowControl/>
        <w:numPr>
          <w:ilvl w:val="0"/>
          <w:numId w:val="2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滑橇工艺要求：橇体由纵梁(矩形管)和横梁焊接而成，纵梁采用120×50×5 矩形管，在纵梁端头约100mm 处有7°斜角，橇体上有钢制号码牌，且能够安装载码体。橇体主框架所有焊缝须满焊，焊接后去应力退火处理。橇体结构考虑搬运方便，要设置便于叉车操作的构件。面漆橇前后须配置格栅板踏台，并留一定的安全距离。车身定位销采用材料16MnCr5精加工制作，表面发黑处理，硬度HRC45～55，并用螺栓固定在支座上。</w:t>
      </w:r>
    </w:p>
    <w:p w14:paraId="4B8BF09E">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锁紧/解锁站</w:t>
      </w:r>
    </w:p>
    <w:p w14:paraId="668D7080">
      <w:pPr>
        <w:pageBreakBefore w:val="0"/>
        <w:widowControl/>
        <w:numPr>
          <w:ilvl w:val="0"/>
          <w:numId w:val="2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用于将工件锁紧在滑橇上，采用偏心销锁紧（或解锁）。</w:t>
      </w:r>
    </w:p>
    <w:p w14:paraId="232A5DA8">
      <w:pPr>
        <w:pageBreakBefore w:val="0"/>
        <w:widowControl/>
        <w:numPr>
          <w:ilvl w:val="0"/>
          <w:numId w:val="2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锁紧（或解锁）需安全可靠，运行平稳。出现问题时，应自动报警（声光）。</w:t>
      </w:r>
    </w:p>
    <w:p w14:paraId="5AF7CC9A">
      <w:pPr>
        <w:pageBreakBefore w:val="0"/>
        <w:widowControl/>
        <w:numPr>
          <w:ilvl w:val="0"/>
          <w:numId w:val="2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两个电动定位装置安装在机构底部。</w:t>
      </w:r>
    </w:p>
    <w:p w14:paraId="1CACE66D">
      <w:pPr>
        <w:pageBreakBefore w:val="0"/>
        <w:widowControl/>
        <w:numPr>
          <w:ilvl w:val="0"/>
          <w:numId w:val="2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设备制作前必须经</w:t>
      </w:r>
      <w:r>
        <w:rPr>
          <w:rFonts w:hint="eastAsia" w:ascii="宋体" w:hAnsi="宋体" w:cs="宋体"/>
          <w:sz w:val="24"/>
          <w:lang w:eastAsia="zh-CN"/>
        </w:rPr>
        <w:t>招标人</w:t>
      </w:r>
      <w:r>
        <w:rPr>
          <w:rFonts w:hint="eastAsia" w:ascii="宋体" w:hAnsi="宋体" w:eastAsia="宋体" w:cs="宋体"/>
          <w:sz w:val="24"/>
        </w:rPr>
        <w:t>确认设备图纸。</w:t>
      </w:r>
    </w:p>
    <w:p w14:paraId="1C5B3632">
      <w:pPr>
        <w:pageBreakBefore w:val="0"/>
        <w:widowControl/>
        <w:numPr>
          <w:ilvl w:val="0"/>
          <w:numId w:val="2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设备应作防腐处理，处理方式跟其所处环境相适应。</w:t>
      </w:r>
    </w:p>
    <w:p w14:paraId="74007CC3">
      <w:pPr>
        <w:pageBreakBefore w:val="0"/>
        <w:widowControl/>
        <w:numPr>
          <w:ilvl w:val="0"/>
          <w:numId w:val="2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满足输送系统功能完善、正常运行的其他要求。</w:t>
      </w:r>
    </w:p>
    <w:p w14:paraId="248DAFE6">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锁紧检测及解锁检测</w:t>
      </w:r>
    </w:p>
    <w:p w14:paraId="01C60502">
      <w:pPr>
        <w:pageBreakBefore w:val="0"/>
        <w:widowControl/>
        <w:numPr>
          <w:ilvl w:val="0"/>
          <w:numId w:val="285"/>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设计锁紧检测及解锁检测方案用于滑橇带工件锁紧状态及解锁状态检测。方案经</w:t>
      </w:r>
      <w:r>
        <w:rPr>
          <w:rFonts w:hint="eastAsia" w:ascii="宋体" w:hAnsi="宋体" w:cs="宋体"/>
          <w:sz w:val="24"/>
          <w:lang w:eastAsia="zh-CN"/>
        </w:rPr>
        <w:t>招标人</w:t>
      </w:r>
      <w:r>
        <w:rPr>
          <w:rFonts w:hint="eastAsia" w:ascii="宋体" w:hAnsi="宋体" w:eastAsia="宋体" w:cs="宋体"/>
          <w:sz w:val="24"/>
        </w:rPr>
        <w:t>确认后方可实施。</w:t>
      </w:r>
    </w:p>
    <w:p w14:paraId="32A8F153">
      <w:pPr>
        <w:pageBreakBefore w:val="0"/>
        <w:widowControl/>
        <w:numPr>
          <w:ilvl w:val="0"/>
          <w:numId w:val="285"/>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车体锁紧的四个位置均需单个气缸检测，检测过程中要求四个气缸同步动作，车体平稳上升和下降，具体以会签图纸为准。</w:t>
      </w:r>
    </w:p>
    <w:p w14:paraId="2DA972C1">
      <w:pPr>
        <w:pageBreakBefore w:val="0"/>
        <w:widowControl/>
        <w:numPr>
          <w:ilvl w:val="0"/>
          <w:numId w:val="285"/>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采用气动装置将工件顶起，根据工件和滑橇是否能被分开判断工件是否在滑橇上锁紧。</w:t>
      </w:r>
    </w:p>
    <w:p w14:paraId="475B54B5">
      <w:pPr>
        <w:pageBreakBefore w:val="0"/>
        <w:widowControl/>
        <w:numPr>
          <w:ilvl w:val="0"/>
          <w:numId w:val="285"/>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设备制作前必须经</w:t>
      </w:r>
      <w:r>
        <w:rPr>
          <w:rFonts w:hint="eastAsia" w:ascii="宋体" w:hAnsi="宋体" w:cs="宋体"/>
          <w:sz w:val="24"/>
          <w:lang w:eastAsia="zh-CN"/>
        </w:rPr>
        <w:t>招标人</w:t>
      </w:r>
      <w:r>
        <w:rPr>
          <w:rFonts w:hint="eastAsia" w:ascii="宋体" w:hAnsi="宋体" w:eastAsia="宋体" w:cs="宋体"/>
          <w:sz w:val="24"/>
        </w:rPr>
        <w:t>确认设备图纸。</w:t>
      </w:r>
    </w:p>
    <w:p w14:paraId="568AC771">
      <w:pPr>
        <w:pageBreakBefore w:val="0"/>
        <w:widowControl/>
        <w:numPr>
          <w:ilvl w:val="0"/>
          <w:numId w:val="285"/>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设备应作防腐处理，处理方式跟其所处环境相适应。</w:t>
      </w:r>
    </w:p>
    <w:p w14:paraId="3ECC4A3C">
      <w:pPr>
        <w:pageBreakBefore w:val="0"/>
        <w:widowControl/>
        <w:numPr>
          <w:ilvl w:val="0"/>
          <w:numId w:val="285"/>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满足输送系统功能完善、正常运行的其他要求。</w:t>
      </w:r>
    </w:p>
    <w:p w14:paraId="02CB2C7F">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定位装置</w:t>
      </w:r>
    </w:p>
    <w:p w14:paraId="675BFC4D">
      <w:pPr>
        <w:pageBreakBefore w:val="0"/>
        <w:widowControl/>
        <w:numPr>
          <w:ilvl w:val="0"/>
          <w:numId w:val="286"/>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定位装置安装在辊床内滚轮踏面以下，通过电机驱动伸缩销或抱夹运动实现橇体在辊床上的准确定位。</w:t>
      </w:r>
    </w:p>
    <w:p w14:paraId="6E4CAB1B">
      <w:pPr>
        <w:pageBreakBefore w:val="0"/>
        <w:widowControl/>
        <w:numPr>
          <w:ilvl w:val="0"/>
          <w:numId w:val="286"/>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伸缩销或抱夹机构应有足够的刚度和强度，不能出现变形和断裂等现象。</w:t>
      </w:r>
    </w:p>
    <w:p w14:paraId="55011F1C">
      <w:pPr>
        <w:pageBreakBefore w:val="0"/>
        <w:widowControl/>
        <w:numPr>
          <w:ilvl w:val="0"/>
          <w:numId w:val="286"/>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伸缩销或抱夹工作动作应平稳、准确、无卡滞现象。</w:t>
      </w:r>
    </w:p>
    <w:p w14:paraId="7CAC412A">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橇体检测检修要求</w:t>
      </w:r>
    </w:p>
    <w:p w14:paraId="737BDE99">
      <w:pPr>
        <w:pageBreakBefore w:val="0"/>
        <w:widowControl/>
        <w:numPr>
          <w:ilvl w:val="0"/>
          <w:numId w:val="287"/>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对检测点（面）现场检测精度为±1mm。</w:t>
      </w:r>
    </w:p>
    <w:p w14:paraId="4AF3DE0D">
      <w:pPr>
        <w:pageBreakBefore w:val="0"/>
        <w:widowControl/>
        <w:numPr>
          <w:ilvl w:val="0"/>
          <w:numId w:val="287"/>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检测点或面纵向中心线与纵向基准线重合度为±1mm。</w:t>
      </w:r>
    </w:p>
    <w:p w14:paraId="65992D8F">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常温升降机</w:t>
      </w:r>
    </w:p>
    <w:p w14:paraId="77A40C23">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升降机应装有机械安全装置（在维修时使用），设置限位开关与控制程序联锁。</w:t>
      </w:r>
    </w:p>
    <w:p w14:paraId="5131B597">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设置皮带</w:t>
      </w:r>
      <w:bookmarkStart w:id="245" w:name="OLE_LINK11"/>
      <w:r>
        <w:rPr>
          <w:rFonts w:hint="eastAsia" w:ascii="宋体" w:hAnsi="宋体" w:eastAsia="宋体" w:cs="宋体"/>
          <w:sz w:val="24"/>
        </w:rPr>
        <w:t>断裂</w:t>
      </w:r>
      <w:bookmarkEnd w:id="245"/>
      <w:r>
        <w:rPr>
          <w:rFonts w:hint="eastAsia" w:ascii="宋体" w:hAnsi="宋体" w:eastAsia="宋体" w:cs="宋体"/>
          <w:sz w:val="24"/>
        </w:rPr>
        <w:t>机械保护装置，设置限位开关与控制程序联锁，设置二次保护装置。</w:t>
      </w:r>
    </w:p>
    <w:p w14:paraId="0C849C4F">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升降机驱动电机采用变频控制，设置备用电机减速机安装底座及联轴器。</w:t>
      </w:r>
    </w:p>
    <w:p w14:paraId="4BAE1907">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升降机应设置安全围栏门，门上带有安全锁装置与控制系统连锁。</w:t>
      </w:r>
    </w:p>
    <w:p w14:paraId="37977D41">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立柱采用H型钢制作，不允许拼接。</w:t>
      </w:r>
      <w:r>
        <w:rPr>
          <w:rFonts w:hint="eastAsia" w:ascii="宋体" w:hAnsi="宋体" w:eastAsia="宋体" w:cs="宋体"/>
          <w:sz w:val="24"/>
        </w:rPr>
        <w:tab/>
      </w:r>
    </w:p>
    <w:p w14:paraId="566EF126">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采用激光测距仪控制升降机的升降，并设置超行程保护开关。须设置高低位缓冲器。</w:t>
      </w:r>
    </w:p>
    <w:p w14:paraId="127C3DAA">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辊床要求跟相应区域的辊床要求一致。</w:t>
      </w:r>
    </w:p>
    <w:p w14:paraId="26D97F7A">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升降托架：由辊轮，导向轮，型钢支架组成；辊轮和导向轮由带座外球面滚动轴承支承；辊轮和导向轮外包聚氨酯，须提供有关包覆材料、性能、工艺、分包商、案例等有关信息。</w:t>
      </w:r>
    </w:p>
    <w:p w14:paraId="230AF02E">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升降机构：电机减速机、轴、皮带滚筒、带座外球面滚动轴承、维修星轮组成。滚筒在轴上可靠定位，不得窜动，皮带滚筒上方有安全防护盖板。单根皮带的安全系数大于10，皮带与升降架之间采用平衡梁联接。</w:t>
      </w:r>
      <w:r>
        <w:rPr>
          <w:rFonts w:hint="eastAsia" w:ascii="宋体" w:hAnsi="宋体" w:eastAsia="宋体" w:cs="宋体"/>
          <w:kern w:val="0"/>
          <w:sz w:val="24"/>
        </w:rPr>
        <w:t>安装防坠落钢丝绳，连接升降托架和配重。</w:t>
      </w:r>
    </w:p>
    <w:p w14:paraId="15392236">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定位锁紧机构：电机驱动的定位锁紧机构能够保证升降机构在各停止位的定位锁紧。</w:t>
      </w:r>
    </w:p>
    <w:p w14:paraId="2D6FD85C">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配重：由配重框、导轨和导向轮组成，可通过增减配重来调节升降机的载荷，增加安装防坠落钢丝绳。</w:t>
      </w:r>
    </w:p>
    <w:p w14:paraId="0A2AEAFC">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维修平台用于高空轴承座加油与检修及调节升降检测开关；检修平台四周设防护栏杆和自闭门，高度1050mm。并设置钢制固定直梯。</w:t>
      </w:r>
      <w:bookmarkStart w:id="246" w:name="OLE_LINK30"/>
      <w:r>
        <w:rPr>
          <w:rFonts w:hint="eastAsia" w:ascii="宋体" w:hAnsi="宋体" w:eastAsia="宋体" w:cs="宋体"/>
          <w:sz w:val="24"/>
        </w:rPr>
        <w:t>设置悬臂机构配置滑车（升降机上方空间不够时可设单轨），方便使用葫芦拆装起吊驱动装置。每个维修吊杆都须满足安全要求，包括验证并标明承载量，在末端安装挡块等。</w:t>
      </w:r>
      <w:bookmarkEnd w:id="246"/>
    </w:p>
    <w:p w14:paraId="31E3E252">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保护设施：升降机周围设有防护网片，高度2000mm；</w:t>
      </w:r>
      <w:r>
        <w:rPr>
          <w:rFonts w:hint="eastAsia" w:ascii="宋体" w:hAnsi="宋体" w:eastAsia="宋体" w:cs="宋体"/>
          <w:kern w:val="0"/>
          <w:sz w:val="24"/>
        </w:rPr>
        <w:t>升降机立柱底部安装缓冲装置。</w:t>
      </w:r>
    </w:p>
    <w:p w14:paraId="662F6619">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采用C型槽钢作为接近开关安装支架。开关位置可调整。</w:t>
      </w:r>
    </w:p>
    <w:p w14:paraId="4C595855">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安全端挡: 辊床两端设置安全端挡，保证升降过程中滑橇和工件不会溢出。在升降架的停止位端挡自动打开，允许滑橇输出。升降端部设限位装置。</w:t>
      </w:r>
    </w:p>
    <w:p w14:paraId="14AB8AC4">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维修锁定: 维修时，手动插销将皮带滚筒上的星盘锁定，防止意外转动。接近开关检测插销位置。星盘被锁定时，电机不能启动。</w:t>
      </w:r>
    </w:p>
    <w:p w14:paraId="495B8405">
      <w:pPr>
        <w:pageBreakBefore w:val="0"/>
        <w:widowControl/>
        <w:numPr>
          <w:ilvl w:val="0"/>
          <w:numId w:val="2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升降机应</w:t>
      </w:r>
      <w:r>
        <w:rPr>
          <w:rFonts w:hint="eastAsia" w:ascii="宋体" w:hAnsi="宋体" w:eastAsia="宋体" w:cs="宋体"/>
        </w:rPr>
        <w:t>采用电缆线夹</w:t>
      </w:r>
      <w:r>
        <w:rPr>
          <w:rFonts w:hint="eastAsia" w:ascii="宋体" w:hAnsi="宋体" w:eastAsia="宋体" w:cs="宋体"/>
          <w:sz w:val="24"/>
        </w:rPr>
        <w:t>。</w:t>
      </w:r>
    </w:p>
    <w:p w14:paraId="601214D6">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常温双排工艺链</w:t>
      </w:r>
    </w:p>
    <w:p w14:paraId="100B8CCE">
      <w:pPr>
        <w:pageBreakBefore w:val="0"/>
        <w:widowControl/>
        <w:numPr>
          <w:ilvl w:val="0"/>
          <w:numId w:val="289"/>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B1B2喷漆室、CC喷漆室用双排套筒滚子链，驱动电机置于室体外，通过万向节传动轴传动，带制动器，变频调速，速度0～6m/min，链条选用节距为100mm双排套筒滚子链，链条采用自动润滑装置润滑，沿着链条下方设有接油盘，材质采用镀锌钢板。</w:t>
      </w:r>
    </w:p>
    <w:p w14:paraId="0364BF6E">
      <w:pPr>
        <w:pageBreakBefore w:val="0"/>
        <w:widowControl/>
        <w:numPr>
          <w:ilvl w:val="0"/>
          <w:numId w:val="289"/>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艺链式运输机运行时，工作要平稳、灵活、可靠、噪音小，无脉动、爬行现象。工艺链应有足够的牵引力、耐用、耐腐蚀；链条制造后，要经过严格的检测、试验。链条额定工作负荷应10倍于实际的最大工作负荷。设有张紧链轮、锥形弹簧用于链条张紧，并设有限位开关检测链条张紧。</w:t>
      </w:r>
    </w:p>
    <w:p w14:paraId="7B5C0D6A">
      <w:pPr>
        <w:pageBreakBefore w:val="0"/>
        <w:widowControl/>
        <w:numPr>
          <w:ilvl w:val="0"/>
          <w:numId w:val="289"/>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要求双排套筒滚子链上所有滚轮材质均为铁制的，支撑、行走导轨要求耐磨、耐用，张紧站、驱动站所有轨道、盖板、支架采用可快速拆卸结构。</w:t>
      </w:r>
    </w:p>
    <w:p w14:paraId="5F13877F">
      <w:pPr>
        <w:pageBreakBefore w:val="0"/>
        <w:widowControl/>
        <w:numPr>
          <w:ilvl w:val="0"/>
          <w:numId w:val="289"/>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滑橇运行靠两条牵引链驱动，两条牵引链设有可拆卸的保护罩，防止污染滑橇，防止漆雾粘在链条上。滑橇支承在保护罩里面的“Ｃ”型托架上，“Ｃ” 型托架通过螺栓固定在牵引链条链板上，托架间距1000mm。</w:t>
      </w:r>
    </w:p>
    <w:p w14:paraId="6EB70CEE">
      <w:pPr>
        <w:pageBreakBefore w:val="0"/>
        <w:widowControl/>
        <w:numPr>
          <w:ilvl w:val="0"/>
          <w:numId w:val="289"/>
        </w:numPr>
        <w:tabs>
          <w:tab w:val="clear" w:pos="0"/>
        </w:tabs>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kern w:val="0"/>
          <w:sz w:val="24"/>
        </w:rPr>
      </w:pPr>
      <w:r>
        <w:rPr>
          <w:rFonts w:hint="eastAsia" w:ascii="宋体" w:hAnsi="宋体" w:eastAsia="宋体" w:cs="宋体"/>
          <w:kern w:val="0"/>
          <w:sz w:val="24"/>
        </w:rPr>
        <w:t>喷漆室双排链的轨道为盲管结构，保证漆雾不进入轨道内；链条与轨道侧板的间隙适当，运行时不会与轨道产生摩擦。</w:t>
      </w:r>
    </w:p>
    <w:p w14:paraId="3A5CF3D9">
      <w:pPr>
        <w:pageBreakBefore w:val="0"/>
        <w:widowControl/>
        <w:numPr>
          <w:ilvl w:val="0"/>
          <w:numId w:val="289"/>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链条润滑装置采用自动润滑设备，</w:t>
      </w:r>
      <w:r>
        <w:rPr>
          <w:rFonts w:hint="eastAsia" w:ascii="宋体" w:hAnsi="宋体" w:eastAsia="宋体" w:cs="宋体"/>
          <w:kern w:val="0"/>
          <w:sz w:val="24"/>
        </w:rPr>
        <w:t>轴承润滑口不符合人机工程时，应采用铜管将润滑口引至方便操作的位置。</w:t>
      </w:r>
    </w:p>
    <w:p w14:paraId="1BFD0C60">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高温双排工艺链</w:t>
      </w:r>
    </w:p>
    <w:p w14:paraId="35251CDC">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电泳烘房、PVC烘房、面漆烘房用双排套筒滚子链：驱动电机置于室体外面，通过万向节连杆传动轴传动。</w:t>
      </w:r>
    </w:p>
    <w:p w14:paraId="383C77A8">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艺链式运输机运行时，工作要平稳、灵活、可靠、噪音小，无脉动、爬行现象。工艺链应有足够的牵引力、耐用、耐腐蚀；链条制造后，要经过严格的检测、试验，链条额定工作负荷应10倍于实际的最大工作负荷。</w:t>
      </w:r>
    </w:p>
    <w:p w14:paraId="1CAD0700">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链条选用节距为160mm双排套筒滚子链，变频调速，链条选用进口品牌。</w:t>
      </w:r>
    </w:p>
    <w:p w14:paraId="3E99AA9D">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采用自动润滑装置润滑，沿着链条下方设有接油盘，材质采用镀锌钢板。</w:t>
      </w:r>
    </w:p>
    <w:p w14:paraId="5A14DF7A">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烘房内的零部件都要能够在250℃温度范围内可靠工作，滑橇运行靠两条牵引链驱动，两条牵引链设有可拆卸的保护罩，滑橇支承 “U”型托架上，“U” 型托架通过螺栓固定在牵引链条链板上，托架间距960mm。设有张紧链轮、配重及滑轮组、钢丝绳用于链条张紧，并设有限位开关检测链条张紧。</w:t>
      </w:r>
    </w:p>
    <w:p w14:paraId="24D64F61">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kern w:val="0"/>
          <w:sz w:val="24"/>
        </w:rPr>
        <w:t>轴承润滑口不符合人机工程时，应采用铜管将润滑口引至方便操作的位置。</w:t>
      </w:r>
    </w:p>
    <w:p w14:paraId="25C10F77">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rPr>
      </w:pPr>
      <w:r>
        <w:rPr>
          <w:rFonts w:hint="eastAsia" w:ascii="宋体" w:hAnsi="宋体" w:eastAsia="宋体" w:cs="宋体"/>
          <w:kern w:val="0"/>
          <w:sz w:val="24"/>
        </w:rPr>
        <w:t>高温双排链的轨道侧板间隔一定间距（＜1/2撬体长度）安装一对导向轮，用于保证烘干室内撬体的平稳运行。导向轮为钢轮，内部通过耐高温轴承与销子连接，销子通过螺栓与轨道侧板连接。</w:t>
      </w:r>
    </w:p>
    <w:p w14:paraId="6F383139">
      <w:pPr>
        <w:pageBreakBefore w:val="0"/>
        <w:widowControl/>
        <w:numPr>
          <w:ilvl w:val="0"/>
          <w:numId w:val="290"/>
        </w:numPr>
        <w:tabs>
          <w:tab w:val="clear"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kern w:val="0"/>
          <w:sz w:val="24"/>
        </w:rPr>
        <w:t>链条与轨道侧板的间隙适当，运行时不会与轨道产生摩擦。</w:t>
      </w:r>
    </w:p>
    <w:p w14:paraId="6422C083">
      <w:pPr>
        <w:pageBreakBefore w:val="0"/>
        <w:numPr>
          <w:ilvl w:val="0"/>
          <w:numId w:val="2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双排链技术要求：</w:t>
      </w:r>
    </w:p>
    <w:p w14:paraId="785934A0">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机体骨架：</w:t>
      </w:r>
    </w:p>
    <w:p w14:paraId="39CFCE22">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设有内护板和加强角钢、外护板和加强角钢、漆雾防护板、格栅支架。</w:t>
      </w:r>
    </w:p>
    <w:p w14:paraId="00910BCE">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设有45#钢淬硬的链条轨道。轨道采用斜面接头。</w:t>
      </w:r>
    </w:p>
    <w:p w14:paraId="06A5F563">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设有返回链限位压轨。</w:t>
      </w:r>
    </w:p>
    <w:p w14:paraId="21B70A02">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各件之间螺栓联接。</w:t>
      </w:r>
    </w:p>
    <w:p w14:paraId="3600AE08">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支腿：支腿高度可调，调整范围50mm。</w:t>
      </w:r>
    </w:p>
    <w:p w14:paraId="49DD8671">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输送链条：包括链板、销轴、滚子、导向块和滑橇托板。托板间距1100mm。C 型支架与链板联接，并通过支撑板将橇体载荷传到链板上。</w:t>
      </w:r>
    </w:p>
    <w:p w14:paraId="1F7FDE16">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驱动装置：主动链轮和主动轴由带座轴承支撑，固定在驱动段的骨架上。减速电机设置在喷漆室体外，有过载保护装置。驱动电机和主动轴通过万向联轴器联接。驱动轴预留喷漆机器人用编码器测速装置接口。</w:t>
      </w:r>
    </w:p>
    <w:p w14:paraId="1E8F3C5D">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张紧装置：张紧链轮和轴由滑块外球面球轴承支撑，可沿滑轨前后移动。采用2 个独立的弹簧张紧装置对链条进行张紧。</w:t>
      </w:r>
    </w:p>
    <w:p w14:paraId="1D7F20F8">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格栅板：输送机全长铺设格栅板。格栅板型号与室体保持一致。</w:t>
      </w:r>
    </w:p>
    <w:p w14:paraId="0E4819EA">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链条防护板：链条及轨道安装在相对密闭的空间内。链条护板可以有效防止漆雾对链条和轨道的污染。防护板之间采用搭接方式连接，防止盖板翘起碰撞橇体。外护板采用插拔式连接结构，便于安装和维护。</w:t>
      </w:r>
    </w:p>
    <w:p w14:paraId="33E50367">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入口导向：入口设置导向轮。</w:t>
      </w:r>
    </w:p>
    <w:p w14:paraId="24BC7E3D">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开关支架：采用C 型槽钢作为接近开关安装支架。保护接近开关的滚轮，防止滑橇撞击开关。感应开关设防护板，防止滑橇撞击开关，防止操作工的脚卡在橇体和导向轮中间。</w:t>
      </w:r>
    </w:p>
    <w:p w14:paraId="58FB340C">
      <w:pPr>
        <w:pageBreakBefore w:val="0"/>
        <w:widowControl/>
        <w:numPr>
          <w:ilvl w:val="0"/>
          <w:numId w:val="2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链条润滑器</w:t>
      </w:r>
    </w:p>
    <w:p w14:paraId="00DCDBC4">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采用自动喷油润滑器对链板的铰接点进行润滑。包括喷嘴、与链条节距一致的脉冲发生装置；PLC 控制器以及易于操作和维护的计量仪表和油箱。</w:t>
      </w:r>
    </w:p>
    <w:p w14:paraId="77EE2A03">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PVC输送系统</w:t>
      </w:r>
    </w:p>
    <w:p w14:paraId="09EF9DD7">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en-US" w:eastAsia="zh-CN"/>
        </w:rPr>
      </w:pPr>
      <w:r>
        <w:rPr>
          <w:rFonts w:hint="eastAsia" w:ascii="宋体" w:hAnsi="宋体" w:eastAsia="宋体" w:cs="宋体"/>
          <w:sz w:val="24"/>
          <w:lang w:val="en-US" w:eastAsia="zh-CN"/>
        </w:rPr>
        <w:t>主要负责PVC线，包含：上遮蔽、UBS（预留工位）、检查、UBC（预留工位）、补喷卸遮蔽和上、下转转挂工位。主要由轨道、小车组、环链葫芦、滑触线、吊具及相关部件组成。</w:t>
      </w:r>
    </w:p>
    <w:p w14:paraId="5BBACE11">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钢结构：采用</w:t>
      </w:r>
      <w:r>
        <w:rPr>
          <w:rFonts w:hint="eastAsia" w:ascii="宋体" w:hAnsi="宋体" w:eastAsia="宋体" w:cs="宋体"/>
          <w:sz w:val="24"/>
          <w:lang w:val="en-US" w:eastAsia="zh-CN"/>
        </w:rPr>
        <w:t>设备和钢结构</w:t>
      </w:r>
      <w:r>
        <w:rPr>
          <w:rFonts w:hint="eastAsia" w:ascii="宋体" w:hAnsi="宋体" w:eastAsia="宋体" w:cs="宋体"/>
          <w:sz w:val="24"/>
        </w:rPr>
        <w:t>吊点向下悬挂的形式承重，所选用的材料需满足强度要求。</w:t>
      </w:r>
    </w:p>
    <w:p w14:paraId="036CFB17">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车组：采用</w:t>
      </w:r>
      <w:r>
        <w:rPr>
          <w:rFonts w:hint="eastAsia" w:ascii="宋体" w:hAnsi="宋体" w:eastAsia="宋体" w:cs="宋体"/>
          <w:sz w:val="24"/>
          <w:lang w:val="en-US" w:eastAsia="zh-CN"/>
        </w:rPr>
        <w:t>两</w:t>
      </w:r>
      <w:r>
        <w:rPr>
          <w:rFonts w:hint="eastAsia" w:ascii="宋体" w:hAnsi="宋体" w:eastAsia="宋体" w:cs="宋体"/>
          <w:sz w:val="24"/>
        </w:rPr>
        <w:t>台葫芦为一组小车组结构形式，</w:t>
      </w:r>
      <w:r>
        <w:rPr>
          <w:rFonts w:hint="eastAsia" w:ascii="宋体" w:hAnsi="宋体" w:eastAsia="宋体" w:cs="宋体"/>
          <w:sz w:val="24"/>
          <w:lang w:val="en-US" w:eastAsia="zh-CN"/>
        </w:rPr>
        <w:t>全线采用5</w:t>
      </w:r>
      <w:r>
        <w:rPr>
          <w:rFonts w:hint="eastAsia" w:ascii="宋体" w:hAnsi="宋体" w:eastAsia="宋体" w:cs="宋体"/>
          <w:sz w:val="24"/>
        </w:rPr>
        <w:t>个车组。</w:t>
      </w:r>
    </w:p>
    <w:p w14:paraId="31A2D136">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行走驱动：行走电机为SEW产品(有制动和排障功能)，行走速度：6～20m/min。</w:t>
      </w:r>
    </w:p>
    <w:p w14:paraId="7C4CE6B4">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提升葫芦：采用KITO、liftket产品，起升速度 8</w:t>
      </w:r>
      <w:r>
        <w:rPr>
          <w:rFonts w:hint="eastAsia" w:ascii="宋体" w:hAnsi="宋体" w:cs="宋体"/>
          <w:sz w:val="24"/>
          <w:lang w:val="en-US" w:eastAsia="zh-CN"/>
        </w:rPr>
        <w:t>-</w:t>
      </w:r>
      <w:r>
        <w:rPr>
          <w:rFonts w:hint="eastAsia" w:ascii="宋体" w:hAnsi="宋体" w:eastAsia="宋体" w:cs="宋体"/>
          <w:sz w:val="24"/>
        </w:rPr>
        <w:t>2 m/min，起升高度：6m</w:t>
      </w:r>
      <w:r>
        <w:rPr>
          <w:rFonts w:hint="eastAsia" w:ascii="宋体" w:hAnsi="宋体" w:eastAsia="宋体" w:cs="宋体"/>
          <w:sz w:val="24"/>
          <w:lang w:eastAsia="zh-CN"/>
        </w:rPr>
        <w:t>，</w:t>
      </w:r>
      <w:r>
        <w:rPr>
          <w:rFonts w:hint="eastAsia" w:ascii="宋体" w:hAnsi="宋体" w:eastAsia="宋体" w:cs="宋体"/>
          <w:sz w:val="24"/>
        </w:rPr>
        <w:t>载荷1T。</w:t>
      </w:r>
    </w:p>
    <w:p w14:paraId="0B71223A">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转弯半径：2000mm或组合弯轨。</w:t>
      </w:r>
    </w:p>
    <w:p w14:paraId="4785B66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en-US" w:eastAsia="zh-CN"/>
        </w:rPr>
      </w:pPr>
      <w:r>
        <w:rPr>
          <w:rFonts w:hint="eastAsia" w:ascii="宋体" w:hAnsi="宋体" w:eastAsia="宋体" w:cs="宋体"/>
          <w:sz w:val="24"/>
        </w:rPr>
        <w:t>滑触线：</w:t>
      </w:r>
      <w:r>
        <w:rPr>
          <w:rFonts w:hint="eastAsia" w:ascii="宋体" w:hAnsi="宋体" w:eastAsia="宋体" w:cs="宋体"/>
          <w:sz w:val="24"/>
          <w:lang w:val="en-US" w:eastAsia="zh-CN"/>
        </w:rPr>
        <w:t>要求耐磨，耐用，无明显磨屑，导电性好，无打火现象。</w:t>
      </w:r>
    </w:p>
    <w:p w14:paraId="043A7E8C">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en-US" w:eastAsia="zh-CN"/>
        </w:rPr>
        <w:t>滑触线及集电器耐潮性能好，在正常生产时，滑触线及集电器不能因室体的热蒸汽导致出现短路、断路、跳闸、信号失灵、打火、卡阻现象</w:t>
      </w:r>
    </w:p>
    <w:p w14:paraId="0D4A91CC">
      <w:pPr>
        <w:pageBreakBefore w:val="0"/>
        <w:numPr>
          <w:ilvl w:val="0"/>
          <w:numId w:val="29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注蜡输送系统</w:t>
      </w:r>
    </w:p>
    <w:p w14:paraId="77EBDCEF">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1）工艺动作流程：注蜡输送系统采用辊床滑橇输送系统，车身从面漆滑橇上经过叉式移载机转接至总装滑橇，形成循环系统。</w:t>
      </w:r>
    </w:p>
    <w:p w14:paraId="64AD3282">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2）设备技术要求：辊床、移行机、升降机、叉式移载机等设备技术要求同辊床滑橇输送系统中各部件要求一致。喷蜡间设计升降辊床便于高低工位操作。</w:t>
      </w:r>
    </w:p>
    <w:p w14:paraId="5BDED72A">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其他设备：</w:t>
      </w:r>
    </w:p>
    <w:p w14:paraId="5ACDBE5A">
      <w:pPr>
        <w:pageBreakBefore w:val="0"/>
        <w:numPr>
          <w:ilvl w:val="0"/>
          <w:numId w:val="29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47" w:name="_Toc4164017"/>
      <w:r>
        <w:rPr>
          <w:rFonts w:hint="eastAsia" w:ascii="宋体" w:hAnsi="宋体" w:eastAsia="宋体" w:cs="宋体"/>
          <w:sz w:val="24"/>
        </w:rPr>
        <w:t>安全保护设备</w:t>
      </w:r>
      <w:bookmarkEnd w:id="247"/>
    </w:p>
    <w:p w14:paraId="6EA546EB">
      <w:pPr>
        <w:pageBreakBefore w:val="0"/>
        <w:widowControl/>
        <w:numPr>
          <w:ilvl w:val="0"/>
          <w:numId w:val="2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安全围栏：有两种形式，一种低护栏（高度1050mm），另一种高围栏为网片（高度2000mm）。</w:t>
      </w:r>
    </w:p>
    <w:p w14:paraId="2BBAEC18">
      <w:pPr>
        <w:pageBreakBefore w:val="0"/>
        <w:widowControl/>
        <w:numPr>
          <w:ilvl w:val="0"/>
          <w:numId w:val="2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以安全围栏布置图为准。</w:t>
      </w:r>
    </w:p>
    <w:p w14:paraId="697FEF37">
      <w:pPr>
        <w:pageBreakBefore w:val="0"/>
        <w:widowControl/>
        <w:numPr>
          <w:ilvl w:val="0"/>
          <w:numId w:val="2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保护性的围栏包括进出门。开门须通过电气系统监控，开门和关门与输送连锁。</w:t>
      </w:r>
    </w:p>
    <w:p w14:paraId="56545197">
      <w:pPr>
        <w:pageBreakBefore w:val="0"/>
        <w:widowControl/>
        <w:numPr>
          <w:ilvl w:val="0"/>
          <w:numId w:val="2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危险区域（如升降机出入口）要安装具有安全保护功能（即车身可以通过，人员进入时停止工作）的光栅。</w:t>
      </w:r>
    </w:p>
    <w:p w14:paraId="3DDA101A">
      <w:pPr>
        <w:pageBreakBefore w:val="0"/>
        <w:widowControl/>
        <w:numPr>
          <w:ilvl w:val="0"/>
          <w:numId w:val="2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每个升降机出入口都须安装安全光栅。光栅的复位按钮安装在围栏安全锁旁。</w:t>
      </w:r>
    </w:p>
    <w:p w14:paraId="5F1D0B6E">
      <w:pPr>
        <w:pageBreakBefore w:val="0"/>
        <w:numPr>
          <w:ilvl w:val="0"/>
          <w:numId w:val="29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涂装车间识别系统RFID读写站</w:t>
      </w:r>
    </w:p>
    <w:p w14:paraId="23082911">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载码体里车身信息读写操作通过RFID天线读写单元完成。系统用到16套左右（具体数量和安装位置投标时体现，图纸会签时确定）RFID读写站，它们将分布在涂装车间，每个RFID读写站都将包括1套读写器天线。这些读写站都将通过总线网络连接到对应分区的机器化PLC内。</w:t>
      </w:r>
    </w:p>
    <w:p w14:paraId="03568B39">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RFID读写站将会被分别安装在涂装车间内的关键点。</w:t>
      </w:r>
    </w:p>
    <w:p w14:paraId="6C2E25FC">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RFID系统采用高频系统。</w:t>
      </w:r>
    </w:p>
    <w:p w14:paraId="056D9B3A">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AVI-1：涂装车间入口处</w:t>
      </w:r>
      <w:r>
        <w:rPr>
          <w:rFonts w:hint="eastAsia" w:ascii="宋体" w:hAnsi="宋体" w:eastAsia="宋体" w:cs="宋体"/>
          <w:sz w:val="24"/>
        </w:rPr>
        <w:br w:type="textWrapping"/>
      </w:r>
      <w:r>
        <w:rPr>
          <w:rFonts w:hint="eastAsia" w:ascii="宋体" w:hAnsi="宋体" w:eastAsia="宋体" w:cs="宋体"/>
          <w:sz w:val="24"/>
        </w:rPr>
        <w:t>功能：读取白车身数据，进行车辆跟踪，将信息上传至监控系统，进行信息记录。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配置：天线+现场操作站</w:t>
      </w:r>
    </w:p>
    <w:p w14:paraId="0CCC6C79">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AVI-2：电泳烘干入口处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功能：读车身信息数据，进行车辆跟踪，将信息传递与工艺系统并上传至监控系统，进行信息记录。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6AD24104">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AVI-3：电泳烘干后排空处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功能：读车身信息数据，进行车辆跟踪，将信息传递与输送系统进行车辆排序，并将车身信息上传至监控系统，进行信息记录。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7F464896">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AVI-4：粗密封胶入口处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65ABACE9">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AVI-5：UBS入口站 </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0A0325E9">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AVI-6：UBC出口处</w:t>
      </w:r>
      <w:r>
        <w:rPr>
          <w:rFonts w:hint="eastAsia" w:ascii="宋体" w:hAnsi="宋体" w:eastAsia="宋体" w:cs="宋体"/>
          <w:sz w:val="24"/>
        </w:rPr>
        <w:br w:type="textWrapping"/>
      </w:r>
      <w:r>
        <w:rPr>
          <w:rFonts w:hint="eastAsia" w:ascii="宋体" w:hAnsi="宋体" w:eastAsia="宋体" w:cs="宋体"/>
          <w:sz w:val="24"/>
        </w:rPr>
        <w:t>功能：换喷橇后，读取车身数据，进行车辆跟踪，重新格式化喷橇上载码体的车身信息，并将信息上传至监控系统，进行信息记录。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配置：天线+现场操作站</w:t>
      </w:r>
    </w:p>
    <w:p w14:paraId="727658D1">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AVI-7：密封胶烘干后排空处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013F6CEF">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AVI-8：电泳打磨出口处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7C519CB4">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AVI-9：分色编组区入口处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功能：读车身信息数据，进行车辆跟踪，计算车身路由并传递与输送系统进行分流，并将车身信息上传至监控系统进行信息记录。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配置：天线+现场操作站</w:t>
      </w:r>
    </w:p>
    <w:p w14:paraId="27A93E47">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AVI-10：面涂喷漆入口处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功能：读车身信息数据，进行车辆跟踪，将车身信息传递与面涂机器人系统（颜色识别系统由机器人负责），供机器人自身识别系统进行参考比对，同时并将车身信息上传至监控系统进行信息记录。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配置：天线+现场操作站</w:t>
      </w:r>
    </w:p>
    <w:p w14:paraId="79BDA8D2">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AVI-11：面涂烘干出口处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 </w:t>
      </w:r>
    </w:p>
    <w:p w14:paraId="53A10D95">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AVI-12：面漆烘干后排空出口处</w:t>
      </w:r>
      <w:r>
        <w:rPr>
          <w:rFonts w:hint="eastAsia" w:ascii="宋体" w:hAnsi="宋体" w:eastAsia="宋体" w:cs="宋体"/>
          <w:sz w:val="24"/>
        </w:rPr>
        <w:br w:type="textWrapping"/>
      </w:r>
      <w:r>
        <w:rPr>
          <w:rFonts w:hint="eastAsia" w:ascii="宋体" w:hAnsi="宋体" w:eastAsia="宋体" w:cs="宋体"/>
          <w:sz w:val="24"/>
        </w:rPr>
        <w:t>功能：读车身信息数据，进行车辆跟踪，将车身信息上传至监控系统，进行信息记录。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 </w:t>
      </w:r>
    </w:p>
    <w:p w14:paraId="47DC7BD9">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AVI-13：精修出口</w:t>
      </w:r>
      <w:r>
        <w:rPr>
          <w:rFonts w:hint="eastAsia" w:ascii="宋体" w:hAnsi="宋体" w:eastAsia="宋体" w:cs="宋体"/>
          <w:sz w:val="24"/>
        </w:rPr>
        <w:br w:type="textWrapping"/>
      </w:r>
      <w:r>
        <w:rPr>
          <w:rFonts w:hint="eastAsia" w:ascii="宋体" w:hAnsi="宋体" w:eastAsia="宋体" w:cs="宋体"/>
          <w:sz w:val="24"/>
        </w:rPr>
        <w:t>功能：读车身信息数据，进行车辆跟踪，根据人工选择的车身路由信息进行路由计算并分流。同时将车身信息、路由信息上传至监控系统和输送系统，进行信息记录。</w:t>
      </w:r>
      <w:r>
        <w:rPr>
          <w:rFonts w:hint="eastAsia" w:ascii="宋体" w:hAnsi="宋体" w:eastAsia="宋体" w:cs="宋体"/>
          <w:sz w:val="24"/>
        </w:rPr>
        <w:br w:type="textWrapping"/>
      </w:r>
      <w:r>
        <w:rPr>
          <w:rFonts w:hint="eastAsia" w:ascii="宋体" w:hAnsi="宋体" w:eastAsia="宋体" w:cs="宋体"/>
          <w:sz w:val="24"/>
        </w:rPr>
        <w:t>配置：天线 +现场操作站</w:t>
      </w:r>
    </w:p>
    <w:p w14:paraId="00253B12">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AVI-14：小修分流</w:t>
      </w:r>
      <w:r>
        <w:rPr>
          <w:rFonts w:hint="eastAsia" w:ascii="宋体" w:hAnsi="宋体" w:eastAsia="宋体" w:cs="宋体"/>
          <w:sz w:val="24"/>
        </w:rPr>
        <w:br w:type="textWrapping"/>
      </w:r>
      <w:r>
        <w:rPr>
          <w:rFonts w:hint="eastAsia" w:ascii="宋体" w:hAnsi="宋体" w:eastAsia="宋体" w:cs="宋体"/>
          <w:sz w:val="24"/>
        </w:rPr>
        <w:t>功能：读车身信息数据，进行车辆跟踪，车身路由信息进行路由计算并分流。同时将车身信息、路由信息上传至监控系统和输送系统，进行信息记录。</w:t>
      </w:r>
      <w:r>
        <w:rPr>
          <w:rFonts w:hint="eastAsia" w:ascii="宋体" w:hAnsi="宋体" w:eastAsia="宋体" w:cs="宋体"/>
          <w:sz w:val="24"/>
        </w:rPr>
        <w:br w:type="textWrapping"/>
      </w:r>
      <w:r>
        <w:rPr>
          <w:rFonts w:hint="eastAsia" w:ascii="宋体" w:hAnsi="宋体" w:eastAsia="宋体" w:cs="宋体"/>
          <w:sz w:val="24"/>
        </w:rPr>
        <w:t>配置：天线</w:t>
      </w:r>
    </w:p>
    <w:p w14:paraId="105CF446">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AVI-15：涂装出口处</w:t>
      </w:r>
      <w:r>
        <w:rPr>
          <w:rFonts w:hint="eastAsia" w:ascii="宋体" w:hAnsi="宋体" w:eastAsia="宋体" w:cs="宋体"/>
          <w:sz w:val="24"/>
        </w:rPr>
        <w:br w:type="textWrapping"/>
      </w:r>
      <w:r>
        <w:rPr>
          <w:rFonts w:hint="eastAsia" w:ascii="宋体" w:hAnsi="宋体" w:eastAsia="宋体" w:cs="宋体"/>
          <w:sz w:val="24"/>
        </w:rPr>
        <w:t>功能：扫描车身数据，与读取的载码体车身信息进行比对，同时进行车辆跟踪，将车身信息上传至监控系统，进行信息记录。</w:t>
      </w:r>
      <w:r>
        <w:rPr>
          <w:rFonts w:hint="eastAsia" w:ascii="宋体" w:hAnsi="宋体" w:eastAsia="宋体" w:cs="宋体"/>
          <w:sz w:val="24"/>
        </w:rPr>
        <w:br w:type="textWrapping"/>
      </w:r>
      <w:r>
        <w:rPr>
          <w:rFonts w:hint="eastAsia" w:ascii="宋体" w:hAnsi="宋体" w:eastAsia="宋体" w:cs="宋体"/>
          <w:sz w:val="24"/>
        </w:rPr>
        <w:t>配置：天线+现场操作站 </w:t>
      </w:r>
    </w:p>
    <w:p w14:paraId="4B62A1A1">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AVI-16：电泳存储，分色编组</w:t>
      </w:r>
    </w:p>
    <w:p w14:paraId="0B317EF0">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手持式读写器(含电池及充电器)2台，以便于进行修改载码体信息。</w:t>
      </w:r>
    </w:p>
    <w:p w14:paraId="2F9A9F3B">
      <w:pPr>
        <w:pageBreakBefore w:val="0"/>
        <w:widowControl/>
        <w:numPr>
          <w:ilvl w:val="0"/>
          <w:numId w:val="2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配置：读写站至少16个，输送修改车身数据操作台至少5个。</w:t>
      </w:r>
    </w:p>
    <w:p w14:paraId="51AC2AC4">
      <w:pPr>
        <w:pageBreakBefore w:val="0"/>
        <w:numPr>
          <w:ilvl w:val="0"/>
          <w:numId w:val="29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载具数量清单（具体数量以最终线路设计会签时为准）</w:t>
      </w:r>
    </w:p>
    <w:tbl>
      <w:tblPr>
        <w:tblStyle w:val="44"/>
        <w:tblW w:w="5000" w:type="pct"/>
        <w:jc w:val="center"/>
        <w:tblLayout w:type="autofit"/>
        <w:tblCellMar>
          <w:top w:w="0" w:type="dxa"/>
          <w:left w:w="108" w:type="dxa"/>
          <w:bottom w:w="0" w:type="dxa"/>
          <w:right w:w="108" w:type="dxa"/>
        </w:tblCellMar>
      </w:tblPr>
      <w:tblGrid>
        <w:gridCol w:w="712"/>
        <w:gridCol w:w="2690"/>
        <w:gridCol w:w="2753"/>
        <w:gridCol w:w="3499"/>
      </w:tblGrid>
      <w:tr w14:paraId="06990058">
        <w:tblPrEx>
          <w:tblCellMar>
            <w:top w:w="0" w:type="dxa"/>
            <w:left w:w="108" w:type="dxa"/>
            <w:bottom w:w="0" w:type="dxa"/>
            <w:right w:w="108" w:type="dxa"/>
          </w:tblCellMar>
        </w:tblPrEx>
        <w:trPr>
          <w:trHeight w:val="360" w:hRule="atLeast"/>
          <w:jc w:val="center"/>
        </w:trPr>
        <w:tc>
          <w:tcPr>
            <w:tcW w:w="369" w:type="pct"/>
            <w:tcBorders>
              <w:top w:val="single" w:color="auto" w:sz="4" w:space="0"/>
              <w:left w:val="single" w:color="auto" w:sz="4" w:space="0"/>
              <w:bottom w:val="single" w:color="auto" w:sz="4" w:space="0"/>
              <w:right w:val="single" w:color="auto" w:sz="4" w:space="0"/>
            </w:tcBorders>
            <w:vAlign w:val="center"/>
          </w:tcPr>
          <w:p w14:paraId="1E7F463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93" w:type="pct"/>
            <w:tcBorders>
              <w:top w:val="single" w:color="auto" w:sz="4" w:space="0"/>
              <w:left w:val="nil"/>
              <w:bottom w:val="single" w:color="auto" w:sz="4" w:space="0"/>
              <w:right w:val="single" w:color="auto" w:sz="4" w:space="0"/>
            </w:tcBorders>
            <w:vAlign w:val="center"/>
          </w:tcPr>
          <w:p w14:paraId="46D8A3E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设备类型</w:t>
            </w:r>
          </w:p>
        </w:tc>
        <w:tc>
          <w:tcPr>
            <w:tcW w:w="1426" w:type="pct"/>
            <w:tcBorders>
              <w:top w:val="single" w:color="auto" w:sz="4" w:space="0"/>
              <w:left w:val="nil"/>
              <w:bottom w:val="single" w:color="auto" w:sz="4" w:space="0"/>
              <w:right w:val="single" w:color="auto" w:sz="4" w:space="0"/>
            </w:tcBorders>
            <w:vAlign w:val="center"/>
          </w:tcPr>
          <w:p w14:paraId="42463B6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数量</w:t>
            </w:r>
          </w:p>
          <w:p w14:paraId="0E94EF2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（设计为准，</w:t>
            </w:r>
            <w:r>
              <w:rPr>
                <w:rFonts w:hint="eastAsia" w:ascii="宋体" w:hAnsi="宋体" w:cs="宋体"/>
                <w:sz w:val="24"/>
                <w:szCs w:val="24"/>
                <w:lang w:eastAsia="zh-CN"/>
              </w:rPr>
              <w:t>招标人</w:t>
            </w:r>
            <w:r>
              <w:rPr>
                <w:rFonts w:hint="eastAsia" w:ascii="宋体" w:hAnsi="宋体" w:eastAsia="宋体" w:cs="宋体"/>
                <w:sz w:val="24"/>
                <w:szCs w:val="24"/>
              </w:rPr>
              <w:t>确认）</w:t>
            </w:r>
          </w:p>
        </w:tc>
        <w:tc>
          <w:tcPr>
            <w:tcW w:w="1812" w:type="pct"/>
            <w:tcBorders>
              <w:top w:val="single" w:color="auto" w:sz="4" w:space="0"/>
              <w:left w:val="nil"/>
              <w:bottom w:val="single" w:color="auto" w:sz="4" w:space="0"/>
              <w:right w:val="single" w:color="auto" w:sz="4" w:space="0"/>
            </w:tcBorders>
            <w:vAlign w:val="center"/>
          </w:tcPr>
          <w:p w14:paraId="2247120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备注</w:t>
            </w:r>
          </w:p>
        </w:tc>
      </w:tr>
      <w:tr w14:paraId="7A37464E">
        <w:tblPrEx>
          <w:tblCellMar>
            <w:top w:w="0" w:type="dxa"/>
            <w:left w:w="108" w:type="dxa"/>
            <w:bottom w:w="0" w:type="dxa"/>
            <w:right w:w="108" w:type="dxa"/>
          </w:tblCellMar>
        </w:tblPrEx>
        <w:trPr>
          <w:trHeight w:val="360" w:hRule="atLeast"/>
          <w:jc w:val="center"/>
        </w:trPr>
        <w:tc>
          <w:tcPr>
            <w:tcW w:w="369" w:type="pct"/>
            <w:tcBorders>
              <w:top w:val="nil"/>
              <w:left w:val="single" w:color="auto" w:sz="4" w:space="0"/>
              <w:bottom w:val="single" w:color="auto" w:sz="4" w:space="0"/>
              <w:right w:val="single" w:color="auto" w:sz="4" w:space="0"/>
            </w:tcBorders>
            <w:vAlign w:val="center"/>
          </w:tcPr>
          <w:p w14:paraId="0F937AC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393" w:type="pct"/>
            <w:tcBorders>
              <w:top w:val="nil"/>
              <w:left w:val="nil"/>
              <w:bottom w:val="single" w:color="auto" w:sz="4" w:space="0"/>
              <w:right w:val="single" w:color="auto" w:sz="4" w:space="0"/>
            </w:tcBorders>
            <w:vAlign w:val="center"/>
          </w:tcPr>
          <w:p w14:paraId="200026C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前处理电泳滑橇</w:t>
            </w:r>
          </w:p>
        </w:tc>
        <w:tc>
          <w:tcPr>
            <w:tcW w:w="1426" w:type="pct"/>
            <w:tcBorders>
              <w:top w:val="nil"/>
              <w:left w:val="nil"/>
              <w:bottom w:val="single" w:color="auto" w:sz="4" w:space="0"/>
              <w:right w:val="single" w:color="auto" w:sz="4" w:space="0"/>
            </w:tcBorders>
            <w:vAlign w:val="center"/>
          </w:tcPr>
          <w:p w14:paraId="707B96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以会签图纸为准</w:t>
            </w:r>
          </w:p>
        </w:tc>
        <w:tc>
          <w:tcPr>
            <w:tcW w:w="1812" w:type="pct"/>
            <w:tcBorders>
              <w:top w:val="nil"/>
              <w:left w:val="nil"/>
              <w:bottom w:val="single" w:color="auto" w:sz="4" w:space="0"/>
              <w:right w:val="single" w:color="auto" w:sz="4" w:space="0"/>
            </w:tcBorders>
            <w:vAlign w:val="center"/>
          </w:tcPr>
          <w:p w14:paraId="745A0F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不锈钢材质</w:t>
            </w:r>
          </w:p>
        </w:tc>
      </w:tr>
      <w:tr w14:paraId="248DB28E">
        <w:tblPrEx>
          <w:tblCellMar>
            <w:top w:w="0" w:type="dxa"/>
            <w:left w:w="108" w:type="dxa"/>
            <w:bottom w:w="0" w:type="dxa"/>
            <w:right w:w="108" w:type="dxa"/>
          </w:tblCellMar>
        </w:tblPrEx>
        <w:trPr>
          <w:trHeight w:val="360" w:hRule="atLeast"/>
          <w:jc w:val="center"/>
        </w:trPr>
        <w:tc>
          <w:tcPr>
            <w:tcW w:w="369" w:type="pct"/>
            <w:tcBorders>
              <w:top w:val="nil"/>
              <w:left w:val="single" w:color="auto" w:sz="4" w:space="0"/>
              <w:bottom w:val="single" w:color="auto" w:sz="4" w:space="0"/>
              <w:right w:val="single" w:color="auto" w:sz="4" w:space="0"/>
            </w:tcBorders>
            <w:vAlign w:val="center"/>
          </w:tcPr>
          <w:p w14:paraId="23B3671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1393" w:type="pct"/>
            <w:tcBorders>
              <w:top w:val="nil"/>
              <w:left w:val="nil"/>
              <w:bottom w:val="single" w:color="auto" w:sz="4" w:space="0"/>
              <w:right w:val="single" w:color="auto" w:sz="4" w:space="0"/>
            </w:tcBorders>
            <w:vAlign w:val="center"/>
          </w:tcPr>
          <w:p w14:paraId="13EC826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面漆滑橇</w:t>
            </w:r>
          </w:p>
        </w:tc>
        <w:tc>
          <w:tcPr>
            <w:tcW w:w="1426" w:type="pct"/>
            <w:tcBorders>
              <w:top w:val="nil"/>
              <w:left w:val="nil"/>
              <w:bottom w:val="single" w:color="auto" w:sz="4" w:space="0"/>
              <w:right w:val="single" w:color="auto" w:sz="4" w:space="0"/>
            </w:tcBorders>
            <w:vAlign w:val="center"/>
          </w:tcPr>
          <w:p w14:paraId="442747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以会签图纸为准</w:t>
            </w:r>
          </w:p>
        </w:tc>
        <w:tc>
          <w:tcPr>
            <w:tcW w:w="1812" w:type="pct"/>
            <w:tcBorders>
              <w:top w:val="nil"/>
              <w:left w:val="nil"/>
              <w:bottom w:val="single" w:color="auto" w:sz="4" w:space="0"/>
              <w:right w:val="single" w:color="auto" w:sz="4" w:space="0"/>
            </w:tcBorders>
            <w:vAlign w:val="center"/>
          </w:tcPr>
          <w:p w14:paraId="0C9A312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销式支撑</w:t>
            </w:r>
          </w:p>
        </w:tc>
      </w:tr>
      <w:tr w14:paraId="2D7E43BC">
        <w:tblPrEx>
          <w:tblCellMar>
            <w:top w:w="0" w:type="dxa"/>
            <w:left w:w="108" w:type="dxa"/>
            <w:bottom w:w="0" w:type="dxa"/>
            <w:right w:w="108" w:type="dxa"/>
          </w:tblCellMar>
        </w:tblPrEx>
        <w:trPr>
          <w:trHeight w:val="360" w:hRule="atLeast"/>
          <w:jc w:val="center"/>
        </w:trPr>
        <w:tc>
          <w:tcPr>
            <w:tcW w:w="369" w:type="pct"/>
            <w:tcBorders>
              <w:top w:val="nil"/>
              <w:left w:val="single" w:color="auto" w:sz="4" w:space="0"/>
              <w:bottom w:val="single" w:color="auto" w:sz="4" w:space="0"/>
              <w:right w:val="single" w:color="auto" w:sz="4" w:space="0"/>
            </w:tcBorders>
            <w:vAlign w:val="center"/>
          </w:tcPr>
          <w:p w14:paraId="7BF0B4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1393" w:type="pct"/>
            <w:tcBorders>
              <w:top w:val="nil"/>
              <w:left w:val="nil"/>
              <w:bottom w:val="single" w:color="auto" w:sz="4" w:space="0"/>
              <w:right w:val="single" w:color="auto" w:sz="4" w:space="0"/>
            </w:tcBorders>
            <w:vAlign w:val="center"/>
          </w:tcPr>
          <w:p w14:paraId="5EBCC4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PVC吊具</w:t>
            </w:r>
          </w:p>
        </w:tc>
        <w:tc>
          <w:tcPr>
            <w:tcW w:w="1426" w:type="pct"/>
            <w:tcBorders>
              <w:top w:val="nil"/>
              <w:left w:val="nil"/>
              <w:bottom w:val="single" w:color="auto" w:sz="4" w:space="0"/>
              <w:right w:val="single" w:color="auto" w:sz="4" w:space="0"/>
            </w:tcBorders>
            <w:vAlign w:val="center"/>
          </w:tcPr>
          <w:p w14:paraId="426D012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以会签图纸为准</w:t>
            </w:r>
          </w:p>
        </w:tc>
        <w:tc>
          <w:tcPr>
            <w:tcW w:w="1812" w:type="pct"/>
            <w:tcBorders>
              <w:top w:val="nil"/>
              <w:left w:val="nil"/>
              <w:bottom w:val="single" w:color="auto" w:sz="4" w:space="0"/>
              <w:right w:val="single" w:color="auto" w:sz="4" w:space="0"/>
            </w:tcBorders>
            <w:vAlign w:val="center"/>
          </w:tcPr>
          <w:p w14:paraId="3C84E51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p>
        </w:tc>
      </w:tr>
    </w:tbl>
    <w:p w14:paraId="02257FA7">
      <w:pPr>
        <w:pageBreakBefore w:val="0"/>
        <w:numPr>
          <w:ilvl w:val="0"/>
          <w:numId w:val="29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辊床设备数量清单</w:t>
      </w:r>
    </w:p>
    <w:tbl>
      <w:tblPr>
        <w:tblStyle w:val="44"/>
        <w:tblW w:w="5000" w:type="pct"/>
        <w:jc w:val="center"/>
        <w:tblLayout w:type="autofit"/>
        <w:tblCellMar>
          <w:top w:w="0" w:type="dxa"/>
          <w:left w:w="108" w:type="dxa"/>
          <w:bottom w:w="0" w:type="dxa"/>
          <w:right w:w="108" w:type="dxa"/>
        </w:tblCellMar>
      </w:tblPr>
      <w:tblGrid>
        <w:gridCol w:w="710"/>
        <w:gridCol w:w="2691"/>
        <w:gridCol w:w="2753"/>
        <w:gridCol w:w="3500"/>
      </w:tblGrid>
      <w:tr w14:paraId="3EF1B0AE">
        <w:tblPrEx>
          <w:tblCellMar>
            <w:top w:w="0" w:type="dxa"/>
            <w:left w:w="108" w:type="dxa"/>
            <w:bottom w:w="0" w:type="dxa"/>
            <w:right w:w="108" w:type="dxa"/>
          </w:tblCellMar>
        </w:tblPrEx>
        <w:trPr>
          <w:trHeight w:val="360" w:hRule="atLeast"/>
          <w:jc w:val="center"/>
        </w:trPr>
        <w:tc>
          <w:tcPr>
            <w:tcW w:w="368" w:type="pct"/>
            <w:tcBorders>
              <w:top w:val="single" w:color="auto" w:sz="4" w:space="0"/>
              <w:left w:val="single" w:color="auto" w:sz="4" w:space="0"/>
              <w:bottom w:val="single" w:color="auto" w:sz="4" w:space="0"/>
              <w:right w:val="single" w:color="auto" w:sz="4" w:space="0"/>
            </w:tcBorders>
            <w:vAlign w:val="center"/>
          </w:tcPr>
          <w:p w14:paraId="435DB4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序号</w:t>
            </w:r>
          </w:p>
        </w:tc>
        <w:tc>
          <w:tcPr>
            <w:tcW w:w="1393" w:type="pct"/>
            <w:tcBorders>
              <w:top w:val="single" w:color="auto" w:sz="4" w:space="0"/>
              <w:left w:val="nil"/>
              <w:bottom w:val="single" w:color="auto" w:sz="4" w:space="0"/>
              <w:right w:val="single" w:color="auto" w:sz="4" w:space="0"/>
            </w:tcBorders>
            <w:vAlign w:val="center"/>
          </w:tcPr>
          <w:p w14:paraId="540025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设备类型</w:t>
            </w:r>
          </w:p>
        </w:tc>
        <w:tc>
          <w:tcPr>
            <w:tcW w:w="1425" w:type="pct"/>
            <w:tcBorders>
              <w:top w:val="single" w:color="auto" w:sz="4" w:space="0"/>
              <w:left w:val="nil"/>
              <w:bottom w:val="single" w:color="auto" w:sz="4" w:space="0"/>
              <w:right w:val="single" w:color="auto" w:sz="4" w:space="0"/>
            </w:tcBorders>
            <w:vAlign w:val="center"/>
          </w:tcPr>
          <w:p w14:paraId="0274FCC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数量</w:t>
            </w:r>
          </w:p>
          <w:p w14:paraId="53245F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（设计为准，</w:t>
            </w:r>
            <w:r>
              <w:rPr>
                <w:rFonts w:hint="eastAsia" w:ascii="宋体" w:hAnsi="宋体" w:cs="宋体"/>
                <w:sz w:val="24"/>
                <w:lang w:eastAsia="zh-CN"/>
              </w:rPr>
              <w:t>招标人</w:t>
            </w:r>
            <w:r>
              <w:rPr>
                <w:rFonts w:hint="eastAsia" w:ascii="宋体" w:hAnsi="宋体" w:eastAsia="宋体" w:cs="宋体"/>
                <w:sz w:val="24"/>
              </w:rPr>
              <w:t>确认）</w:t>
            </w:r>
          </w:p>
        </w:tc>
        <w:tc>
          <w:tcPr>
            <w:tcW w:w="1812" w:type="pct"/>
            <w:tcBorders>
              <w:top w:val="single" w:color="auto" w:sz="4" w:space="0"/>
              <w:left w:val="nil"/>
              <w:bottom w:val="single" w:color="auto" w:sz="4" w:space="0"/>
              <w:right w:val="single" w:color="auto" w:sz="4" w:space="0"/>
            </w:tcBorders>
            <w:vAlign w:val="center"/>
          </w:tcPr>
          <w:p w14:paraId="47272B1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备注</w:t>
            </w:r>
          </w:p>
        </w:tc>
      </w:tr>
      <w:tr w14:paraId="103BA5FD">
        <w:tblPrEx>
          <w:tblCellMar>
            <w:top w:w="0" w:type="dxa"/>
            <w:left w:w="108" w:type="dxa"/>
            <w:bottom w:w="0" w:type="dxa"/>
            <w:right w:w="108" w:type="dxa"/>
          </w:tblCellMar>
        </w:tblPrEx>
        <w:trPr>
          <w:trHeight w:val="360" w:hRule="atLeast"/>
          <w:jc w:val="center"/>
        </w:trPr>
        <w:tc>
          <w:tcPr>
            <w:tcW w:w="368" w:type="pct"/>
            <w:tcBorders>
              <w:top w:val="nil"/>
              <w:left w:val="single" w:color="auto" w:sz="4" w:space="0"/>
              <w:bottom w:val="single" w:color="auto" w:sz="4" w:space="0"/>
              <w:right w:val="single" w:color="auto" w:sz="4" w:space="0"/>
            </w:tcBorders>
            <w:vAlign w:val="center"/>
          </w:tcPr>
          <w:p w14:paraId="1062C1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1393" w:type="pct"/>
            <w:tcBorders>
              <w:top w:val="nil"/>
              <w:left w:val="nil"/>
              <w:bottom w:val="single" w:color="auto" w:sz="4" w:space="0"/>
              <w:right w:val="single" w:color="auto" w:sz="4" w:space="0"/>
            </w:tcBorders>
            <w:vAlign w:val="center"/>
          </w:tcPr>
          <w:p w14:paraId="44FB61F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碳钢辊床</w:t>
            </w:r>
          </w:p>
        </w:tc>
        <w:tc>
          <w:tcPr>
            <w:tcW w:w="1425" w:type="pct"/>
            <w:tcBorders>
              <w:top w:val="nil"/>
              <w:left w:val="nil"/>
              <w:bottom w:val="single" w:color="auto" w:sz="4" w:space="0"/>
              <w:right w:val="single" w:color="auto" w:sz="4" w:space="0"/>
            </w:tcBorders>
            <w:vAlign w:val="center"/>
          </w:tcPr>
          <w:p w14:paraId="0387394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restart"/>
            <w:tcBorders>
              <w:top w:val="nil"/>
              <w:left w:val="nil"/>
              <w:right w:val="single" w:color="auto" w:sz="4" w:space="0"/>
            </w:tcBorders>
            <w:vAlign w:val="center"/>
          </w:tcPr>
          <w:p w14:paraId="699733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具体数量以最终图纸设计会签时为准</w:t>
            </w:r>
          </w:p>
        </w:tc>
      </w:tr>
      <w:tr w14:paraId="38D77F78">
        <w:tblPrEx>
          <w:tblCellMar>
            <w:top w:w="0" w:type="dxa"/>
            <w:left w:w="108" w:type="dxa"/>
            <w:bottom w:w="0" w:type="dxa"/>
            <w:right w:w="108" w:type="dxa"/>
          </w:tblCellMar>
        </w:tblPrEx>
        <w:trPr>
          <w:trHeight w:val="360" w:hRule="atLeast"/>
          <w:jc w:val="center"/>
        </w:trPr>
        <w:tc>
          <w:tcPr>
            <w:tcW w:w="368" w:type="pct"/>
            <w:tcBorders>
              <w:top w:val="nil"/>
              <w:left w:val="single" w:color="auto" w:sz="4" w:space="0"/>
              <w:bottom w:val="single" w:color="auto" w:sz="4" w:space="0"/>
              <w:right w:val="single" w:color="auto" w:sz="4" w:space="0"/>
            </w:tcBorders>
            <w:vAlign w:val="center"/>
          </w:tcPr>
          <w:p w14:paraId="50E2E14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1393" w:type="pct"/>
            <w:tcBorders>
              <w:top w:val="nil"/>
              <w:left w:val="nil"/>
              <w:bottom w:val="single" w:color="auto" w:sz="4" w:space="0"/>
              <w:right w:val="single" w:color="auto" w:sz="4" w:space="0"/>
            </w:tcBorders>
            <w:vAlign w:val="center"/>
          </w:tcPr>
          <w:p w14:paraId="2604DA1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不锈钢辊床</w:t>
            </w:r>
          </w:p>
        </w:tc>
        <w:tc>
          <w:tcPr>
            <w:tcW w:w="1425" w:type="pct"/>
            <w:tcBorders>
              <w:top w:val="nil"/>
              <w:left w:val="nil"/>
              <w:bottom w:val="single" w:color="auto" w:sz="4" w:space="0"/>
              <w:right w:val="single" w:color="auto" w:sz="4" w:space="0"/>
            </w:tcBorders>
            <w:vAlign w:val="center"/>
          </w:tcPr>
          <w:p w14:paraId="5F02FE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continue"/>
            <w:tcBorders>
              <w:left w:val="nil"/>
              <w:right w:val="single" w:color="auto" w:sz="4" w:space="0"/>
            </w:tcBorders>
            <w:vAlign w:val="center"/>
          </w:tcPr>
          <w:p w14:paraId="3634E2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EF350F5">
        <w:tblPrEx>
          <w:tblCellMar>
            <w:top w:w="0" w:type="dxa"/>
            <w:left w:w="108" w:type="dxa"/>
            <w:bottom w:w="0" w:type="dxa"/>
            <w:right w:w="108" w:type="dxa"/>
          </w:tblCellMar>
        </w:tblPrEx>
        <w:trPr>
          <w:trHeight w:val="448" w:hRule="atLeast"/>
          <w:jc w:val="center"/>
        </w:trPr>
        <w:tc>
          <w:tcPr>
            <w:tcW w:w="368" w:type="pct"/>
            <w:tcBorders>
              <w:top w:val="nil"/>
              <w:left w:val="single" w:color="auto" w:sz="4" w:space="0"/>
              <w:bottom w:val="single" w:color="auto" w:sz="4" w:space="0"/>
              <w:right w:val="single" w:color="auto" w:sz="4" w:space="0"/>
            </w:tcBorders>
            <w:vAlign w:val="center"/>
          </w:tcPr>
          <w:p w14:paraId="501C2B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1393" w:type="pct"/>
            <w:tcBorders>
              <w:top w:val="nil"/>
              <w:left w:val="nil"/>
              <w:bottom w:val="single" w:color="auto" w:sz="4" w:space="0"/>
              <w:right w:val="single" w:color="auto" w:sz="4" w:space="0"/>
            </w:tcBorders>
            <w:vAlign w:val="center"/>
          </w:tcPr>
          <w:p w14:paraId="69EFBA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普通旋转辊床</w:t>
            </w:r>
          </w:p>
        </w:tc>
        <w:tc>
          <w:tcPr>
            <w:tcW w:w="1425" w:type="pct"/>
            <w:tcBorders>
              <w:top w:val="nil"/>
              <w:left w:val="nil"/>
              <w:bottom w:val="single" w:color="auto" w:sz="4" w:space="0"/>
              <w:right w:val="single" w:color="auto" w:sz="4" w:space="0"/>
            </w:tcBorders>
            <w:vAlign w:val="center"/>
          </w:tcPr>
          <w:p w14:paraId="105E478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continue"/>
            <w:tcBorders>
              <w:left w:val="nil"/>
              <w:right w:val="single" w:color="auto" w:sz="4" w:space="0"/>
            </w:tcBorders>
            <w:vAlign w:val="center"/>
          </w:tcPr>
          <w:p w14:paraId="370BFED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0B4BAE1">
        <w:tblPrEx>
          <w:tblCellMar>
            <w:top w:w="0" w:type="dxa"/>
            <w:left w:w="108" w:type="dxa"/>
            <w:bottom w:w="0" w:type="dxa"/>
            <w:right w:w="108" w:type="dxa"/>
          </w:tblCellMar>
        </w:tblPrEx>
        <w:trPr>
          <w:trHeight w:val="360" w:hRule="atLeast"/>
          <w:jc w:val="center"/>
        </w:trPr>
        <w:tc>
          <w:tcPr>
            <w:tcW w:w="368" w:type="pct"/>
            <w:tcBorders>
              <w:top w:val="single" w:color="auto" w:sz="4" w:space="0"/>
              <w:left w:val="single" w:color="auto" w:sz="4" w:space="0"/>
              <w:bottom w:val="single" w:color="auto" w:sz="4" w:space="0"/>
              <w:right w:val="single" w:color="auto" w:sz="4" w:space="0"/>
            </w:tcBorders>
            <w:vAlign w:val="center"/>
          </w:tcPr>
          <w:p w14:paraId="282FDD2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highlight w:val="yellow"/>
              </w:rPr>
            </w:pPr>
            <w:r>
              <w:rPr>
                <w:rFonts w:hint="eastAsia" w:ascii="宋体" w:hAnsi="宋体" w:eastAsia="宋体" w:cs="宋体"/>
                <w:sz w:val="24"/>
              </w:rPr>
              <w:t>4</w:t>
            </w:r>
          </w:p>
        </w:tc>
        <w:tc>
          <w:tcPr>
            <w:tcW w:w="1393" w:type="pct"/>
            <w:tcBorders>
              <w:top w:val="single" w:color="auto" w:sz="4" w:space="0"/>
              <w:left w:val="nil"/>
              <w:bottom w:val="single" w:color="auto" w:sz="4" w:space="0"/>
              <w:right w:val="single" w:color="auto" w:sz="4" w:space="0"/>
            </w:tcBorders>
            <w:vAlign w:val="center"/>
          </w:tcPr>
          <w:p w14:paraId="4BE6647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highlight w:val="yellow"/>
              </w:rPr>
            </w:pPr>
            <w:r>
              <w:rPr>
                <w:rFonts w:hint="eastAsia" w:ascii="宋体" w:hAnsi="宋体" w:eastAsia="宋体" w:cs="宋体"/>
                <w:sz w:val="24"/>
              </w:rPr>
              <w:t>移行机</w:t>
            </w:r>
          </w:p>
        </w:tc>
        <w:tc>
          <w:tcPr>
            <w:tcW w:w="1425" w:type="pct"/>
            <w:tcBorders>
              <w:top w:val="single" w:color="auto" w:sz="4" w:space="0"/>
              <w:left w:val="nil"/>
              <w:bottom w:val="single" w:color="auto" w:sz="4" w:space="0"/>
              <w:right w:val="single" w:color="auto" w:sz="4" w:space="0"/>
            </w:tcBorders>
            <w:vAlign w:val="center"/>
          </w:tcPr>
          <w:p w14:paraId="68F0CF9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highlight w:val="yellow"/>
              </w:rPr>
            </w:pPr>
            <w:r>
              <w:rPr>
                <w:rFonts w:hint="eastAsia" w:ascii="宋体" w:hAnsi="宋体" w:eastAsia="宋体" w:cs="宋体"/>
                <w:sz w:val="24"/>
              </w:rPr>
              <w:t>以会签图纸为准</w:t>
            </w:r>
          </w:p>
        </w:tc>
        <w:tc>
          <w:tcPr>
            <w:tcW w:w="1812" w:type="pct"/>
            <w:vMerge w:val="continue"/>
            <w:tcBorders>
              <w:left w:val="nil"/>
              <w:right w:val="single" w:color="auto" w:sz="4" w:space="0"/>
            </w:tcBorders>
            <w:vAlign w:val="center"/>
          </w:tcPr>
          <w:p w14:paraId="20644FE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B78420B">
        <w:tblPrEx>
          <w:tblCellMar>
            <w:top w:w="0" w:type="dxa"/>
            <w:left w:w="108" w:type="dxa"/>
            <w:bottom w:w="0" w:type="dxa"/>
            <w:right w:w="108" w:type="dxa"/>
          </w:tblCellMar>
        </w:tblPrEx>
        <w:trPr>
          <w:trHeight w:val="360" w:hRule="atLeast"/>
          <w:jc w:val="center"/>
        </w:trPr>
        <w:tc>
          <w:tcPr>
            <w:tcW w:w="368" w:type="pct"/>
            <w:tcBorders>
              <w:top w:val="single" w:color="auto" w:sz="4" w:space="0"/>
              <w:left w:val="single" w:color="auto" w:sz="4" w:space="0"/>
              <w:bottom w:val="single" w:color="auto" w:sz="4" w:space="0"/>
              <w:right w:val="single" w:color="auto" w:sz="4" w:space="0"/>
            </w:tcBorders>
            <w:vAlign w:val="center"/>
          </w:tcPr>
          <w:p w14:paraId="7ADD52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1393" w:type="pct"/>
            <w:tcBorders>
              <w:top w:val="single" w:color="auto" w:sz="4" w:space="0"/>
              <w:left w:val="nil"/>
              <w:bottom w:val="single" w:color="auto" w:sz="4" w:space="0"/>
              <w:right w:val="single" w:color="auto" w:sz="4" w:space="0"/>
            </w:tcBorders>
            <w:vAlign w:val="center"/>
          </w:tcPr>
          <w:p w14:paraId="24FA2E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摩擦辊床</w:t>
            </w:r>
          </w:p>
        </w:tc>
        <w:tc>
          <w:tcPr>
            <w:tcW w:w="1425" w:type="pct"/>
            <w:tcBorders>
              <w:top w:val="single" w:color="auto" w:sz="4" w:space="0"/>
              <w:left w:val="nil"/>
              <w:bottom w:val="single" w:color="auto" w:sz="4" w:space="0"/>
              <w:right w:val="single" w:color="auto" w:sz="4" w:space="0"/>
            </w:tcBorders>
            <w:vAlign w:val="center"/>
          </w:tcPr>
          <w:p w14:paraId="78DF9A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continue"/>
            <w:tcBorders>
              <w:left w:val="nil"/>
              <w:right w:val="single" w:color="auto" w:sz="4" w:space="0"/>
            </w:tcBorders>
            <w:vAlign w:val="center"/>
          </w:tcPr>
          <w:p w14:paraId="565C551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EC88CC0">
        <w:tblPrEx>
          <w:tblCellMar>
            <w:top w:w="0" w:type="dxa"/>
            <w:left w:w="108" w:type="dxa"/>
            <w:bottom w:w="0" w:type="dxa"/>
            <w:right w:w="108" w:type="dxa"/>
          </w:tblCellMar>
        </w:tblPrEx>
        <w:trPr>
          <w:trHeight w:val="360" w:hRule="atLeast"/>
          <w:jc w:val="center"/>
        </w:trPr>
        <w:tc>
          <w:tcPr>
            <w:tcW w:w="368" w:type="pct"/>
            <w:tcBorders>
              <w:top w:val="single" w:color="auto" w:sz="4" w:space="0"/>
              <w:left w:val="single" w:color="auto" w:sz="4" w:space="0"/>
              <w:bottom w:val="single" w:color="auto" w:sz="4" w:space="0"/>
              <w:right w:val="single" w:color="auto" w:sz="4" w:space="0"/>
            </w:tcBorders>
            <w:vAlign w:val="center"/>
          </w:tcPr>
          <w:p w14:paraId="40E387A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1393" w:type="pct"/>
            <w:tcBorders>
              <w:top w:val="single" w:color="auto" w:sz="4" w:space="0"/>
              <w:left w:val="nil"/>
              <w:bottom w:val="single" w:color="auto" w:sz="4" w:space="0"/>
              <w:right w:val="single" w:color="auto" w:sz="4" w:space="0"/>
            </w:tcBorders>
            <w:vAlign w:val="center"/>
          </w:tcPr>
          <w:p w14:paraId="61CDB75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升降机</w:t>
            </w:r>
          </w:p>
        </w:tc>
        <w:tc>
          <w:tcPr>
            <w:tcW w:w="1425" w:type="pct"/>
            <w:tcBorders>
              <w:top w:val="single" w:color="auto" w:sz="4" w:space="0"/>
              <w:left w:val="nil"/>
              <w:bottom w:val="single" w:color="auto" w:sz="4" w:space="0"/>
              <w:right w:val="single" w:color="auto" w:sz="4" w:space="0"/>
            </w:tcBorders>
            <w:vAlign w:val="center"/>
          </w:tcPr>
          <w:p w14:paraId="062BF6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continue"/>
            <w:tcBorders>
              <w:left w:val="nil"/>
              <w:right w:val="single" w:color="auto" w:sz="4" w:space="0"/>
            </w:tcBorders>
            <w:vAlign w:val="center"/>
          </w:tcPr>
          <w:p w14:paraId="0E51C7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D2A04A8">
        <w:tblPrEx>
          <w:tblCellMar>
            <w:top w:w="0" w:type="dxa"/>
            <w:left w:w="108" w:type="dxa"/>
            <w:bottom w:w="0" w:type="dxa"/>
            <w:right w:w="108" w:type="dxa"/>
          </w:tblCellMar>
        </w:tblPrEx>
        <w:trPr>
          <w:trHeight w:val="360" w:hRule="atLeast"/>
          <w:jc w:val="center"/>
        </w:trPr>
        <w:tc>
          <w:tcPr>
            <w:tcW w:w="368" w:type="pct"/>
            <w:tcBorders>
              <w:top w:val="single" w:color="auto" w:sz="4" w:space="0"/>
              <w:left w:val="single" w:color="auto" w:sz="4" w:space="0"/>
              <w:bottom w:val="single" w:color="auto" w:sz="4" w:space="0"/>
              <w:right w:val="single" w:color="auto" w:sz="4" w:space="0"/>
            </w:tcBorders>
            <w:vAlign w:val="center"/>
          </w:tcPr>
          <w:p w14:paraId="2927995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1393" w:type="pct"/>
            <w:tcBorders>
              <w:top w:val="single" w:color="auto" w:sz="4" w:space="0"/>
              <w:left w:val="nil"/>
              <w:bottom w:val="single" w:color="auto" w:sz="4" w:space="0"/>
              <w:right w:val="single" w:color="auto" w:sz="4" w:space="0"/>
            </w:tcBorders>
            <w:vAlign w:val="center"/>
          </w:tcPr>
          <w:p w14:paraId="76629A1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烘房链</w:t>
            </w:r>
          </w:p>
        </w:tc>
        <w:tc>
          <w:tcPr>
            <w:tcW w:w="1425" w:type="pct"/>
            <w:tcBorders>
              <w:top w:val="single" w:color="auto" w:sz="4" w:space="0"/>
              <w:left w:val="nil"/>
              <w:bottom w:val="single" w:color="auto" w:sz="4" w:space="0"/>
              <w:right w:val="single" w:color="auto" w:sz="4" w:space="0"/>
            </w:tcBorders>
            <w:vAlign w:val="center"/>
          </w:tcPr>
          <w:p w14:paraId="6159D0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continue"/>
            <w:tcBorders>
              <w:left w:val="nil"/>
              <w:right w:val="single" w:color="auto" w:sz="4" w:space="0"/>
            </w:tcBorders>
            <w:vAlign w:val="center"/>
          </w:tcPr>
          <w:p w14:paraId="172FE9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2CF90A1C">
        <w:tblPrEx>
          <w:tblCellMar>
            <w:top w:w="0" w:type="dxa"/>
            <w:left w:w="108" w:type="dxa"/>
            <w:bottom w:w="0" w:type="dxa"/>
            <w:right w:w="108" w:type="dxa"/>
          </w:tblCellMar>
        </w:tblPrEx>
        <w:trPr>
          <w:trHeight w:val="360" w:hRule="atLeast"/>
          <w:jc w:val="center"/>
        </w:trPr>
        <w:tc>
          <w:tcPr>
            <w:tcW w:w="368" w:type="pct"/>
            <w:tcBorders>
              <w:top w:val="single" w:color="auto" w:sz="4" w:space="0"/>
              <w:left w:val="single" w:color="auto" w:sz="4" w:space="0"/>
              <w:bottom w:val="single" w:color="auto" w:sz="4" w:space="0"/>
              <w:right w:val="single" w:color="auto" w:sz="4" w:space="0"/>
            </w:tcBorders>
            <w:vAlign w:val="center"/>
          </w:tcPr>
          <w:p w14:paraId="28D24F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w:t>
            </w:r>
          </w:p>
        </w:tc>
        <w:tc>
          <w:tcPr>
            <w:tcW w:w="1393" w:type="pct"/>
            <w:tcBorders>
              <w:top w:val="single" w:color="auto" w:sz="4" w:space="0"/>
              <w:left w:val="nil"/>
              <w:bottom w:val="single" w:color="auto" w:sz="4" w:space="0"/>
              <w:right w:val="single" w:color="auto" w:sz="4" w:space="0"/>
            </w:tcBorders>
            <w:vAlign w:val="center"/>
          </w:tcPr>
          <w:p w14:paraId="59F762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喷房链</w:t>
            </w:r>
          </w:p>
        </w:tc>
        <w:tc>
          <w:tcPr>
            <w:tcW w:w="1425" w:type="pct"/>
            <w:tcBorders>
              <w:top w:val="single" w:color="auto" w:sz="4" w:space="0"/>
              <w:left w:val="nil"/>
              <w:bottom w:val="single" w:color="auto" w:sz="4" w:space="0"/>
              <w:right w:val="single" w:color="auto" w:sz="4" w:space="0"/>
            </w:tcBorders>
            <w:vAlign w:val="center"/>
          </w:tcPr>
          <w:p w14:paraId="6C3B8B5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以会签图纸为准</w:t>
            </w:r>
          </w:p>
        </w:tc>
        <w:tc>
          <w:tcPr>
            <w:tcW w:w="1812" w:type="pct"/>
            <w:vMerge w:val="continue"/>
            <w:tcBorders>
              <w:left w:val="nil"/>
              <w:bottom w:val="single" w:color="auto" w:sz="4" w:space="0"/>
              <w:right w:val="single" w:color="auto" w:sz="4" w:space="0"/>
            </w:tcBorders>
            <w:vAlign w:val="center"/>
          </w:tcPr>
          <w:p w14:paraId="1BBF51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bl>
    <w:p w14:paraId="1CE57ABB">
      <w:pPr>
        <w:pageBreakBefore w:val="0"/>
        <w:numPr>
          <w:ilvl w:val="0"/>
          <w:numId w:val="29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输送机的安装参数：</w:t>
      </w:r>
    </w:p>
    <w:p w14:paraId="0C3EFC78">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各输送单元的中心线应与基准中心线保持一致，与基准中心线的对称度为2.5mm；各输送机与其他设备转接存在过渡时需增设导向轮和托轮。</w:t>
      </w:r>
    </w:p>
    <w:p w14:paraId="59CF4474">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各辊床的辊轮总成安装后，应保证辊轮端面在同一平面内，任意相邻四个滚子顶面的平面度≤0.5 mm，并使各辊轮与滑橇导轨的间隙相等。辊床高度调整后，要求相邻辊轮表面高差≤1mm，整个系统辊轮表面高差≤3mm。各辊床的辊轮总成安装后，应保证轴线平行且与辊床纵向中心线垂直，垂直度≤2mm。</w:t>
      </w:r>
    </w:p>
    <w:p w14:paraId="2B49630C">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横移机平移时不应有亢进、脉动现象，启动、变速及停止时无明显冲击；各运动部件安装前加润滑剂。轨道水平度、直线度≤1.5mm/m；全长≤5mm；接头偏差≤1mm。辊轮踏面在同一水平面上，辊轮表面高度差和辊轮总成与纵向中心线垂直度同辊床。重复定位精度≤5mm。</w:t>
      </w:r>
    </w:p>
    <w:p w14:paraId="3B4472FA">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旋转辊床转动时不应有亢进、脉动现象，启动、变速及停止时无明显冲击；辊轮表面高度差和辊轮总成与纵向中心线垂直度同辊床。轨接头高度差≤0.5mm，圆滑过度。重复定位精度≤±1.5mm。</w:t>
      </w:r>
    </w:p>
    <w:p w14:paraId="6D3B76E4">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双排工艺链式输送机轨道无明显锈蚀，端头无飞边、毛刺等缺陷；输送机的各种盖板、罩子外观整齐，间隙均匀。输送机高度调整后，链条表面高度差≤1mm，整个系统辊轮或链条表面高差≤3mm（地坪高度差≤50mm）。链式输送机的驱动主轴和张紧主轴的中心线应垂直于输送机的中心线，垂直度≤2mm。轨道直线度≤1.5mm/m，全长≤3mm；轨道接口处踏面高度差和横向错位均应≤0.5mm，圆滑过度。滑橇在喷漆双排链上的定位精度：纵向±2 mm，横向±5 mm。</w:t>
      </w:r>
    </w:p>
    <w:p w14:paraId="6F08BF78">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升降机应保证滑橇在进出时运行平稳，无卡阻。立柱与水平面垂直度≤3mm；立柱与输送中心线平行度≤3mm；两中心线位置偏差≤2mm。轮轴安装必须水平、平行，轴的倾斜度小于1/300。升降上、下位置重复定位精度不得超过5mm。</w:t>
      </w:r>
    </w:p>
    <w:p w14:paraId="0EDFBC57">
      <w:pPr>
        <w:pageBreakBefore w:val="0"/>
        <w:numPr>
          <w:ilvl w:val="0"/>
          <w:numId w:val="30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钢结构安装要求：</w:t>
      </w:r>
    </w:p>
    <w:p w14:paraId="4B3A9CA6">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钢结构必须保证足够的刚性和稳定性，必要时或应</w:t>
      </w:r>
      <w:r>
        <w:rPr>
          <w:rFonts w:hint="eastAsia" w:ascii="宋体" w:hAnsi="宋体" w:cs="宋体"/>
          <w:sz w:val="24"/>
          <w:lang w:eastAsia="zh-CN"/>
        </w:rPr>
        <w:t>招标人</w:t>
      </w:r>
      <w:r>
        <w:rPr>
          <w:rFonts w:hint="eastAsia" w:ascii="宋体" w:hAnsi="宋体" w:eastAsia="宋体" w:cs="宋体"/>
          <w:sz w:val="24"/>
        </w:rPr>
        <w:t>要求可增加支撑构件。钢结构悬挂系统要求有足够的刚性和稳定性，必须考虑能支撑公用设施的管线、管路等。</w:t>
      </w:r>
    </w:p>
    <w:p w14:paraId="28338343">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吊架与屋梁吊点或与厂房立柱联接要用8.8级高强度螺栓联接，双螺母拧紧，且螺栓要出头5～10mm。</w:t>
      </w:r>
    </w:p>
    <w:p w14:paraId="389D178B">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输送机系统的钢结构吊杆采用方管，斜撑材料采用方管，具体数量详细列出，</w:t>
      </w:r>
      <w:r>
        <w:rPr>
          <w:rFonts w:hint="eastAsia" w:ascii="宋体" w:hAnsi="宋体" w:cs="宋体"/>
          <w:sz w:val="24"/>
          <w:lang w:eastAsia="zh-CN"/>
        </w:rPr>
        <w:t>招标人</w:t>
      </w:r>
      <w:r>
        <w:rPr>
          <w:rFonts w:hint="eastAsia" w:ascii="宋体" w:hAnsi="宋体" w:eastAsia="宋体" w:cs="宋体"/>
          <w:sz w:val="24"/>
        </w:rPr>
        <w:t>确认。</w:t>
      </w:r>
    </w:p>
    <w:p w14:paraId="76F8E6A9">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维修平台铺设5mm 厚花纹钢板，维修平台的具体位置由</w:t>
      </w:r>
      <w:r>
        <w:rPr>
          <w:rFonts w:hint="eastAsia" w:ascii="宋体" w:hAnsi="宋体" w:cs="宋体"/>
          <w:sz w:val="24"/>
          <w:lang w:eastAsia="zh-CN"/>
        </w:rPr>
        <w:t>投标人</w:t>
      </w:r>
      <w:r>
        <w:rPr>
          <w:rFonts w:hint="eastAsia" w:ascii="宋体" w:hAnsi="宋体" w:eastAsia="宋体" w:cs="宋体"/>
          <w:sz w:val="24"/>
        </w:rPr>
        <w:t>设计</w:t>
      </w:r>
      <w:r>
        <w:rPr>
          <w:rFonts w:hint="eastAsia" w:ascii="宋体" w:hAnsi="宋体" w:cs="宋体"/>
          <w:sz w:val="24"/>
          <w:lang w:eastAsia="zh-CN"/>
        </w:rPr>
        <w:t>招标人</w:t>
      </w:r>
      <w:r>
        <w:rPr>
          <w:rFonts w:hint="eastAsia" w:ascii="宋体" w:hAnsi="宋体" w:eastAsia="宋体" w:cs="宋体"/>
          <w:sz w:val="24"/>
        </w:rPr>
        <w:t>确认。</w:t>
      </w:r>
    </w:p>
    <w:p w14:paraId="14135DE3">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所有检修平台、维修平台两侧均架设高1050mm的护栏，下部有高100mm踢脚板，端头处采用机械折弯圆弧过渡；安全护栏间距符合企业标准和国家标准，护栏之间、转角区需用卡箍固定。</w:t>
      </w:r>
    </w:p>
    <w:p w14:paraId="414F67BE">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斜梯和直梯由</w:t>
      </w:r>
      <w:r>
        <w:rPr>
          <w:rFonts w:hint="eastAsia" w:ascii="宋体" w:hAnsi="宋体" w:cs="宋体"/>
          <w:sz w:val="24"/>
          <w:lang w:eastAsia="zh-CN"/>
        </w:rPr>
        <w:t>投标人</w:t>
      </w:r>
      <w:r>
        <w:rPr>
          <w:rFonts w:hint="eastAsia" w:ascii="宋体" w:hAnsi="宋体" w:eastAsia="宋体" w:cs="宋体"/>
          <w:sz w:val="24"/>
        </w:rPr>
        <w:t>设计、制作、安装，数量、结构和位置需</w:t>
      </w:r>
      <w:r>
        <w:rPr>
          <w:rFonts w:hint="eastAsia" w:ascii="宋体" w:hAnsi="宋体" w:cs="宋体"/>
          <w:sz w:val="24"/>
          <w:lang w:eastAsia="zh-CN"/>
        </w:rPr>
        <w:t>招标人</w:t>
      </w:r>
      <w:r>
        <w:rPr>
          <w:rFonts w:hint="eastAsia" w:ascii="宋体" w:hAnsi="宋体" w:eastAsia="宋体" w:cs="宋体"/>
          <w:sz w:val="24"/>
        </w:rPr>
        <w:t>认可，楼梯踏板采用栅格板形式。上述部件均需符合国家标准和安全质量标准化要求。</w:t>
      </w:r>
    </w:p>
    <w:p w14:paraId="57657B13">
      <w:pPr>
        <w:pageBreakBefore w:val="0"/>
        <w:widowControl/>
        <w:numPr>
          <w:ilvl w:val="0"/>
          <w:numId w:val="3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必须保证所购材料的质量满足其机械性能，并在钢材进料后及时向</w:t>
      </w:r>
      <w:r>
        <w:rPr>
          <w:rFonts w:hint="eastAsia" w:ascii="宋体" w:hAnsi="宋体" w:cs="宋体"/>
          <w:sz w:val="24"/>
          <w:lang w:eastAsia="zh-CN"/>
        </w:rPr>
        <w:t>招标人</w:t>
      </w:r>
      <w:r>
        <w:rPr>
          <w:rFonts w:hint="eastAsia" w:ascii="宋体" w:hAnsi="宋体" w:eastAsia="宋体" w:cs="宋体"/>
          <w:sz w:val="24"/>
        </w:rPr>
        <w:t>提供质量保证书，不容许钢材有明显的锈蚀、变形等现象；连接材料（焊条、各种螺栓等）均应有质量证明书并符合国家标准的规定。</w:t>
      </w:r>
      <w:r>
        <w:rPr>
          <w:rFonts w:hint="eastAsia" w:ascii="宋体" w:hAnsi="宋体" w:cs="宋体"/>
          <w:sz w:val="24"/>
          <w:lang w:eastAsia="zh-CN"/>
        </w:rPr>
        <w:t>招标人</w:t>
      </w:r>
      <w:r>
        <w:rPr>
          <w:rFonts w:hint="eastAsia" w:ascii="宋体" w:hAnsi="宋体" w:eastAsia="宋体" w:cs="宋体"/>
          <w:sz w:val="24"/>
        </w:rPr>
        <w:t>有权进行检查，发现质量问题，</w:t>
      </w:r>
      <w:r>
        <w:rPr>
          <w:rFonts w:hint="eastAsia" w:ascii="宋体" w:hAnsi="宋体" w:cs="宋体"/>
          <w:sz w:val="24"/>
          <w:lang w:eastAsia="zh-CN"/>
        </w:rPr>
        <w:t>招标人</w:t>
      </w:r>
      <w:r>
        <w:rPr>
          <w:rFonts w:hint="eastAsia" w:ascii="宋体" w:hAnsi="宋体" w:eastAsia="宋体" w:cs="宋体"/>
          <w:sz w:val="24"/>
        </w:rPr>
        <w:t>有权拒绝使用和勒令</w:t>
      </w:r>
      <w:r>
        <w:rPr>
          <w:rFonts w:hint="eastAsia" w:ascii="宋体" w:hAnsi="宋体" w:cs="宋体"/>
          <w:sz w:val="24"/>
          <w:lang w:eastAsia="zh-CN"/>
        </w:rPr>
        <w:t>投标人</w:t>
      </w:r>
      <w:r>
        <w:rPr>
          <w:rFonts w:hint="eastAsia" w:ascii="宋体" w:hAnsi="宋体" w:eastAsia="宋体" w:cs="宋体"/>
          <w:sz w:val="24"/>
        </w:rPr>
        <w:t>停工，由此造成的损失由</w:t>
      </w:r>
      <w:r>
        <w:rPr>
          <w:rFonts w:hint="eastAsia" w:ascii="宋体" w:hAnsi="宋体" w:cs="宋体"/>
          <w:sz w:val="24"/>
          <w:lang w:eastAsia="zh-CN"/>
        </w:rPr>
        <w:t>投标人</w:t>
      </w:r>
      <w:r>
        <w:rPr>
          <w:rFonts w:hint="eastAsia" w:ascii="宋体" w:hAnsi="宋体" w:eastAsia="宋体" w:cs="宋体"/>
          <w:sz w:val="24"/>
        </w:rPr>
        <w:t>负责。</w:t>
      </w:r>
    </w:p>
    <w:p w14:paraId="6981D944">
      <w:pPr>
        <w:pageBreakBefore w:val="0"/>
        <w:numPr>
          <w:ilvl w:val="0"/>
          <w:numId w:val="30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其他</w:t>
      </w:r>
    </w:p>
    <w:p w14:paraId="0BB8C2D4">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凡被辊床隔开的通道，均应在辊床之间设立与辊床相平的踏板以便人员通行，选用3mm厚以上的镀锌板。</w:t>
      </w:r>
    </w:p>
    <w:p w14:paraId="6020CFB1">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地面围栏要求：</w:t>
      </w:r>
    </w:p>
    <w:p w14:paraId="44616E91">
      <w:pPr>
        <w:pageBreakBefore w:val="0"/>
        <w:widowControl/>
        <w:numPr>
          <w:ilvl w:val="0"/>
          <w:numId w:val="30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间各输送设备转接工位、升降工位、基础坑洞临边工位等危险区域设置落地式安全围栏，围栏高度为2000mm；标准立柱间距为1000mm。并设置检修门，配备安全门锁，安全围栏入口设置安全光幕，实现人员闯入报警及停止设备运行功能。</w:t>
      </w:r>
    </w:p>
    <w:p w14:paraId="06977547">
      <w:pPr>
        <w:pageBreakBefore w:val="0"/>
        <w:widowControl/>
        <w:numPr>
          <w:ilvl w:val="0"/>
          <w:numId w:val="30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车间各通道与设备运行区域隔离，采用落地式安全围栏，围栏高度为1200mm；标准立柱间距为1000mm。</w:t>
      </w:r>
    </w:p>
    <w:p w14:paraId="114C7F62">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手推辊床5套，主要用于临时、离线车身运输和辅助橇体转运。轨道采用无动力辊轮，有推手、端挡、导向轮，小车轮采用聚氨脂轮，转动灵活，保证承载，底部间距大不干涉。</w:t>
      </w:r>
    </w:p>
    <w:p w14:paraId="12046A40">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各输送设备的运行速度，由</w:t>
      </w:r>
      <w:r>
        <w:rPr>
          <w:rFonts w:hint="eastAsia" w:ascii="宋体" w:hAnsi="宋体" w:cs="宋体"/>
          <w:sz w:val="24"/>
          <w:lang w:eastAsia="zh-CN"/>
        </w:rPr>
        <w:t>投标人</w:t>
      </w:r>
      <w:r>
        <w:rPr>
          <w:rFonts w:hint="eastAsia" w:ascii="宋体" w:hAnsi="宋体" w:eastAsia="宋体" w:cs="宋体"/>
          <w:sz w:val="24"/>
        </w:rPr>
        <w:t>设计</w:t>
      </w:r>
      <w:r>
        <w:rPr>
          <w:rFonts w:hint="eastAsia" w:ascii="宋体" w:hAnsi="宋体" w:cs="宋体"/>
          <w:sz w:val="24"/>
          <w:lang w:eastAsia="zh-CN"/>
        </w:rPr>
        <w:t>招标人</w:t>
      </w:r>
      <w:r>
        <w:rPr>
          <w:rFonts w:hint="eastAsia" w:ascii="宋体" w:hAnsi="宋体" w:eastAsia="宋体" w:cs="宋体"/>
          <w:sz w:val="24"/>
        </w:rPr>
        <w:t>确认，要求满足涂装车间设计节拍。</w:t>
      </w:r>
    </w:p>
    <w:p w14:paraId="45ACCECF">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调试运行时，</w:t>
      </w:r>
      <w:r>
        <w:rPr>
          <w:rFonts w:hint="eastAsia" w:ascii="宋体" w:hAnsi="宋体" w:cs="宋体"/>
          <w:sz w:val="24"/>
          <w:lang w:eastAsia="zh-CN"/>
        </w:rPr>
        <w:t>投标人</w:t>
      </w:r>
      <w:r>
        <w:rPr>
          <w:rFonts w:hint="eastAsia" w:ascii="宋体" w:hAnsi="宋体" w:eastAsia="宋体" w:cs="宋体"/>
          <w:sz w:val="24"/>
        </w:rPr>
        <w:t>制作两套最大车型外框进行全线通过性验证。</w:t>
      </w:r>
    </w:p>
    <w:p w14:paraId="1C1730C5">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分包方案必须依照下列要求，当</w:t>
      </w:r>
      <w:r>
        <w:rPr>
          <w:rFonts w:hint="eastAsia" w:ascii="宋体" w:hAnsi="宋体" w:cs="宋体"/>
          <w:sz w:val="24"/>
          <w:lang w:eastAsia="zh-CN"/>
        </w:rPr>
        <w:t>投标人</w:t>
      </w:r>
      <w:r>
        <w:rPr>
          <w:rFonts w:hint="eastAsia" w:ascii="宋体" w:hAnsi="宋体" w:eastAsia="宋体" w:cs="宋体"/>
          <w:sz w:val="24"/>
        </w:rPr>
        <w:t>的分包商达不到条件时不可进行分包：（不允许总包方对设备进行第三次分包）</w:t>
      </w:r>
    </w:p>
    <w:p w14:paraId="3CB1D6BD">
      <w:pPr>
        <w:pageBreakBefore w:val="0"/>
        <w:widowControl/>
        <w:numPr>
          <w:ilvl w:val="0"/>
          <w:numId w:val="3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的分包商具备设备加工制作能力、设备安装资质及质量控制体系。</w:t>
      </w:r>
    </w:p>
    <w:p w14:paraId="58DB7631">
      <w:pPr>
        <w:pageBreakBefore w:val="0"/>
        <w:widowControl/>
        <w:numPr>
          <w:ilvl w:val="0"/>
          <w:numId w:val="3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的分包商具有国内合资车企同类型业绩至少三项。</w:t>
      </w:r>
    </w:p>
    <w:p w14:paraId="09CC2F54">
      <w:pPr>
        <w:pageBreakBefore w:val="0"/>
        <w:widowControl/>
        <w:numPr>
          <w:ilvl w:val="0"/>
          <w:numId w:val="3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的分包商至少有三个国内一流总包商的分包业绩。</w:t>
      </w:r>
    </w:p>
    <w:p w14:paraId="1B638B2F">
      <w:pPr>
        <w:pageBreakBefore w:val="0"/>
        <w:widowControl/>
        <w:numPr>
          <w:ilvl w:val="0"/>
          <w:numId w:val="3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的分包商满足上述三个条件后，还需得到</w:t>
      </w:r>
      <w:r>
        <w:rPr>
          <w:rFonts w:hint="eastAsia" w:ascii="宋体" w:hAnsi="宋体" w:cs="宋体"/>
          <w:sz w:val="24"/>
          <w:lang w:eastAsia="zh-CN"/>
        </w:rPr>
        <w:t>招标人</w:t>
      </w:r>
      <w:r>
        <w:rPr>
          <w:rFonts w:hint="eastAsia" w:ascii="宋体" w:hAnsi="宋体" w:eastAsia="宋体" w:cs="宋体"/>
          <w:sz w:val="24"/>
        </w:rPr>
        <w:t>认可后方可实施分包。</w:t>
      </w:r>
    </w:p>
    <w:p w14:paraId="1480A4EE">
      <w:pPr>
        <w:pageBreakBefore w:val="0"/>
        <w:numPr>
          <w:ilvl w:val="0"/>
          <w:numId w:val="3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正式技术文件签定时，</w:t>
      </w:r>
      <w:r>
        <w:rPr>
          <w:rFonts w:hint="eastAsia" w:ascii="宋体" w:hAnsi="宋体" w:cs="宋体"/>
          <w:sz w:val="24"/>
          <w:lang w:eastAsia="zh-CN"/>
        </w:rPr>
        <w:t>投标人</w:t>
      </w:r>
      <w:r>
        <w:rPr>
          <w:rFonts w:hint="eastAsia" w:ascii="宋体" w:hAnsi="宋体" w:eastAsia="宋体" w:cs="宋体"/>
          <w:sz w:val="24"/>
        </w:rPr>
        <w:t>提供设备制作工艺标准、设备质量检测标准、设备安装标准和设备安装质量检测标准作为附件，附在技术文件之后。</w:t>
      </w:r>
    </w:p>
    <w:p w14:paraId="0554CCC1">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bookmarkStart w:id="248" w:name="_Toc8457_WPSOffice_Level3"/>
      <w:r>
        <w:rPr>
          <w:rFonts w:hint="eastAsia" w:ascii="宋体" w:hAnsi="宋体" w:eastAsia="宋体" w:cs="宋体"/>
          <w:sz w:val="24"/>
          <w:szCs w:val="24"/>
        </w:rPr>
        <w:t>机械化输送设备电气控制系统技术要求</w:t>
      </w:r>
      <w:bookmarkEnd w:id="248"/>
    </w:p>
    <w:p w14:paraId="50B3AF79">
      <w:pPr>
        <w:pageBreakBefore w:val="0"/>
        <w:numPr>
          <w:ilvl w:val="0"/>
          <w:numId w:val="30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总则</w:t>
      </w:r>
    </w:p>
    <w:p w14:paraId="3D5EC306">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电控系统设计施工必须遵循国内电气、安全、防爆、节能环保等法律、法规，以及同行业的相关技术标准和规范，符合国家验收标准。</w:t>
      </w:r>
    </w:p>
    <w:p w14:paraId="0A2809FB">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设计施工必须依据工艺、设备、安全及环境保护、设备运行、设备维修、设备管理、生产节拍等要求进行；电气控制必须能实现工艺方面的要求，对设备运行速度、生产节拍具有可调性，控制准确、调整方便。电气控制必须保证设备安全运行、保护可靠，能够自动转接、自动控制车身物流输送。</w:t>
      </w:r>
    </w:p>
    <w:p w14:paraId="6D947B78">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电气设计图纸如电控控制系统网络图、电气设备平面布置图、电气控制原理图、电气接线图等须经</w:t>
      </w:r>
      <w:r>
        <w:rPr>
          <w:rFonts w:hint="eastAsia" w:ascii="宋体" w:hAnsi="宋体" w:cs="宋体"/>
          <w:sz w:val="24"/>
          <w:lang w:eastAsia="zh-CN"/>
        </w:rPr>
        <w:t>招标人</w:t>
      </w:r>
      <w:r>
        <w:rPr>
          <w:rFonts w:hint="eastAsia" w:ascii="宋体" w:hAnsi="宋体" w:eastAsia="宋体" w:cs="宋体"/>
          <w:sz w:val="24"/>
        </w:rPr>
        <w:t>会签认可，才可进一步设计，且</w:t>
      </w:r>
      <w:r>
        <w:rPr>
          <w:rFonts w:hint="eastAsia" w:ascii="宋体" w:hAnsi="宋体" w:cs="宋体"/>
          <w:sz w:val="24"/>
          <w:lang w:eastAsia="zh-CN"/>
        </w:rPr>
        <w:t>投标人</w:t>
      </w:r>
      <w:r>
        <w:rPr>
          <w:rFonts w:hint="eastAsia" w:ascii="宋体" w:hAnsi="宋体" w:eastAsia="宋体" w:cs="宋体"/>
          <w:sz w:val="24"/>
        </w:rPr>
        <w:t>对电气控制系统的功能、可靠性、先进程度等负责。图纸设计要求为EPLAN软件编制。</w:t>
      </w:r>
    </w:p>
    <w:p w14:paraId="5789A3C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项目设计阶段要求</w:t>
      </w:r>
      <w:r>
        <w:rPr>
          <w:rFonts w:hint="eastAsia" w:ascii="宋体" w:hAnsi="宋体" w:cs="宋体"/>
          <w:sz w:val="24"/>
          <w:lang w:eastAsia="zh-CN"/>
        </w:rPr>
        <w:t>投标人</w:t>
      </w:r>
      <w:r>
        <w:rPr>
          <w:rFonts w:hint="eastAsia" w:ascii="宋体" w:hAnsi="宋体" w:eastAsia="宋体" w:cs="宋体"/>
          <w:sz w:val="24"/>
        </w:rPr>
        <w:t>每周提供一次总的设备技术文件备份（含设计图纸和软件程序）。在调试阶段每周提供两次设备技术文件备份。</w:t>
      </w:r>
      <w:r>
        <w:rPr>
          <w:rFonts w:hint="eastAsia" w:ascii="宋体" w:hAnsi="宋体" w:cs="宋体"/>
          <w:sz w:val="24"/>
          <w:lang w:eastAsia="zh-CN"/>
        </w:rPr>
        <w:t>调试验收</w:t>
      </w:r>
      <w:r>
        <w:rPr>
          <w:rFonts w:hint="eastAsia" w:ascii="宋体" w:hAnsi="宋体" w:eastAsia="宋体" w:cs="宋体"/>
          <w:sz w:val="24"/>
        </w:rPr>
        <w:t>后设备技术文件备份由</w:t>
      </w:r>
      <w:r>
        <w:rPr>
          <w:rFonts w:hint="eastAsia" w:ascii="宋体" w:hAnsi="宋体" w:cs="宋体"/>
          <w:sz w:val="24"/>
          <w:lang w:eastAsia="zh-CN"/>
        </w:rPr>
        <w:t>招标人</w:t>
      </w:r>
      <w:r>
        <w:rPr>
          <w:rFonts w:hint="eastAsia" w:ascii="宋体" w:hAnsi="宋体" w:eastAsia="宋体" w:cs="宋体"/>
          <w:sz w:val="24"/>
        </w:rPr>
        <w:t>负责。软件备份应包括在合同范围内所有支持系统设备正常运行所需的各种配置文件及运行程序。</w:t>
      </w:r>
    </w:p>
    <w:p w14:paraId="5EEDE8C6">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技术参数：</w:t>
      </w:r>
    </w:p>
    <w:p w14:paraId="470A80DA">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工作电压：380VAC/3相/50HZ；</w:t>
      </w:r>
    </w:p>
    <w:p w14:paraId="40D567DC">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操作、控制电压:24VDC；</w:t>
      </w:r>
    </w:p>
    <w:p w14:paraId="5C819AB3">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指示灯、交互联锁电压：24VDC；</w:t>
      </w:r>
    </w:p>
    <w:p w14:paraId="381EA03E">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联锁电压：24VDC</w:t>
      </w:r>
    </w:p>
    <w:p w14:paraId="3F90F207">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控制柜插座、照明电压：220VAC/单相/50Hz</w:t>
      </w:r>
    </w:p>
    <w:p w14:paraId="4D580C8A">
      <w:pPr>
        <w:pageBreakBefore w:val="0"/>
        <w:widowControl/>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防护等级：IP54</w:t>
      </w:r>
    </w:p>
    <w:p w14:paraId="4903FD0E">
      <w:pPr>
        <w:pageBreakBefore w:val="0"/>
        <w:numPr>
          <w:ilvl w:val="0"/>
          <w:numId w:val="30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电气控制设计准则</w:t>
      </w:r>
    </w:p>
    <w:p w14:paraId="2DEB7BC5">
      <w:pPr>
        <w:pageBreakBefore w:val="0"/>
        <w:widowControl/>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概述</w:t>
      </w:r>
    </w:p>
    <w:p w14:paraId="63DA560C">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系统由主控柜，远程控制柜、现场操作站、急停按钮盒、生产停止按钮盒组成。PLC通过网络总线连接远程控制柜和操作站的输入输出模块，实现控制功能。</w:t>
      </w:r>
    </w:p>
    <w:p w14:paraId="0F243832">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机械化系统各控制区域将采用西门子高性能PLC以满足机械化设备高速运行和定位的要求，并确保监视程序的实时性。合理划分PLC的控制区域，以避免不同性质的工艺段混合并且保证足够短的PLC扫描周期。</w:t>
      </w:r>
    </w:p>
    <w:p w14:paraId="10C6E72D">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采用安全PLC控制，所有安全信号均采用双回路结构控制。</w:t>
      </w:r>
    </w:p>
    <w:p w14:paraId="0CF9069A">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中控室能够监控输送系统设备运行状态。</w:t>
      </w:r>
    </w:p>
    <w:p w14:paraId="32EA36DC">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系统构成</w:t>
      </w:r>
    </w:p>
    <w:p w14:paraId="7DB768E6">
      <w:pPr>
        <w:pStyle w:val="263"/>
        <w:pageBreakBefore w:val="0"/>
        <w:numPr>
          <w:ilvl w:val="0"/>
          <w:numId w:val="308"/>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机械化控制系统根据工艺平面布置图进行分区域控制,每个区域包含一套独立的主控柜、远程控制柜、操作站以及沿线分布的急停按钮盒等组成。区域划分待图纸会签时确定。</w:t>
      </w:r>
    </w:p>
    <w:p w14:paraId="6C316427">
      <w:pPr>
        <w:pStyle w:val="263"/>
        <w:pageBreakBefore w:val="0"/>
        <w:numPr>
          <w:ilvl w:val="0"/>
          <w:numId w:val="308"/>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控制特点为：标准化单元设备＋标准化配置＋模块化程序结构。</w:t>
      </w:r>
    </w:p>
    <w:p w14:paraId="755935F8">
      <w:pPr>
        <w:pStyle w:val="263"/>
        <w:pageBreakBefore w:val="0"/>
        <w:numPr>
          <w:ilvl w:val="0"/>
          <w:numId w:val="308"/>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控制系统具备以下功能：</w:t>
      </w:r>
    </w:p>
    <w:p w14:paraId="620EA4CC">
      <w:pPr>
        <w:pStyle w:val="263"/>
        <w:pageBreakBefore w:val="0"/>
        <w:numPr>
          <w:ilvl w:val="0"/>
          <w:numId w:val="308"/>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能够实现对该设备本身的独立控制，并满足工艺动作要求。</w:t>
      </w:r>
    </w:p>
    <w:p w14:paraId="1B30A2D1">
      <w:pPr>
        <w:pStyle w:val="263"/>
        <w:pageBreakBefore w:val="0"/>
        <w:numPr>
          <w:ilvl w:val="0"/>
          <w:numId w:val="308"/>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PLC控制柜设置人机界面，可以集中监视本区域设备的各种数据（如运行状况、故障信息等）。</w:t>
      </w:r>
    </w:p>
    <w:p w14:paraId="1CDDA17D">
      <w:pPr>
        <w:pStyle w:val="263"/>
        <w:pageBreakBefore w:val="0"/>
        <w:numPr>
          <w:ilvl w:val="0"/>
          <w:numId w:val="308"/>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机械化控制系统各PLC间通过以太网总线实现机械化系统不同控制区域的信息传递和数据共享。</w:t>
      </w:r>
    </w:p>
    <w:p w14:paraId="04F1FB91">
      <w:pPr>
        <w:pStyle w:val="17"/>
        <w:pageBreakBefore w:val="0"/>
        <w:widowControl/>
        <w:numPr>
          <w:ilvl w:val="0"/>
          <w:numId w:val="308"/>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现场所有操作、指示电器应连接到控制网路的现场模块。所有现场设备均设手动控制按钮站，用于维修。</w:t>
      </w:r>
    </w:p>
    <w:p w14:paraId="1A91125D">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机械化设备操作模式</w:t>
      </w:r>
    </w:p>
    <w:p w14:paraId="616F5007">
      <w:pPr>
        <w:pStyle w:val="17"/>
        <w:pageBreakBefore w:val="0"/>
        <w:widowControl/>
        <w:numPr>
          <w:ilvl w:val="0"/>
          <w:numId w:val="309"/>
        </w:numPr>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所有机械化控制设备操作分为自动、手动、维护三种操作模式，由钥匙开关切换。自动时，全线在程序控制下自动运行；手动时，操作人员在现场进行单台设备的操作，实现启动、停止功能，在主控柜上设置有顺序启动和停止按钮，用于控制区域的总起和总停。维护状态下，设备的启动没有联锁条件限制，设备的控制方式为点动方式，主要是为了方便维护人员对设备的验证、位置的临时调整。机械化主控，作现场操作提示、故障报警、运行参数显示。</w:t>
      </w:r>
    </w:p>
    <w:p w14:paraId="0AFDB05C">
      <w:pPr>
        <w:pStyle w:val="17"/>
        <w:pageBreakBefore w:val="0"/>
        <w:widowControl/>
        <w:numPr>
          <w:ilvl w:val="0"/>
          <w:numId w:val="309"/>
        </w:numPr>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现场操作站上使用一般指示灯来显示操作信息。</w:t>
      </w:r>
    </w:p>
    <w:p w14:paraId="1C9BAD52">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典型设备控制方式</w:t>
      </w:r>
    </w:p>
    <w:p w14:paraId="5E31040A">
      <w:pPr>
        <w:pStyle w:val="17"/>
        <w:pageBreakBefore w:val="0"/>
        <w:widowControl/>
        <w:numPr>
          <w:ilvl w:val="0"/>
          <w:numId w:val="310"/>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各机械化设备电机配有带有短路保护和过载保护功能的低压断路器，和接触器、变频器等组成的控制回路。断路器、变频器的故障信号接入PLC或总线，电机正常运行有运行信号灯显示，当出现异常故障时有相应的显示和报警，并能够使用灯光的不同频率来表示输送设备的不同状态。</w:t>
      </w:r>
    </w:p>
    <w:p w14:paraId="7F92C2AE">
      <w:pPr>
        <w:pStyle w:val="17"/>
        <w:pageBreakBefore w:val="0"/>
        <w:widowControl/>
        <w:numPr>
          <w:ilvl w:val="0"/>
          <w:numId w:val="310"/>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根据机械化设备运行工况和负载特点，采用不同控制方式，详见下表：</w:t>
      </w:r>
    </w:p>
    <w:tbl>
      <w:tblPr>
        <w:tblStyle w:val="44"/>
        <w:tblW w:w="5000" w:type="pct"/>
        <w:jc w:val="center"/>
        <w:tblLayout w:type="autofit"/>
        <w:tblCellMar>
          <w:top w:w="0" w:type="dxa"/>
          <w:left w:w="108" w:type="dxa"/>
          <w:bottom w:w="0" w:type="dxa"/>
          <w:right w:w="108" w:type="dxa"/>
        </w:tblCellMar>
      </w:tblPr>
      <w:tblGrid>
        <w:gridCol w:w="797"/>
        <w:gridCol w:w="2434"/>
        <w:gridCol w:w="2078"/>
        <w:gridCol w:w="1930"/>
        <w:gridCol w:w="2415"/>
      </w:tblGrid>
      <w:tr w14:paraId="5EAFE7B3">
        <w:tblPrEx>
          <w:tblCellMar>
            <w:top w:w="0" w:type="dxa"/>
            <w:left w:w="108" w:type="dxa"/>
            <w:bottom w:w="0" w:type="dxa"/>
            <w:right w:w="108" w:type="dxa"/>
          </w:tblCellMar>
        </w:tblPrEx>
        <w:trPr>
          <w:trHeight w:val="600"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070B1C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序号</w:t>
            </w:r>
          </w:p>
        </w:tc>
        <w:tc>
          <w:tcPr>
            <w:tcW w:w="1260" w:type="pct"/>
            <w:tcBorders>
              <w:top w:val="single" w:color="auto" w:sz="4" w:space="0"/>
              <w:left w:val="nil"/>
              <w:bottom w:val="single" w:color="auto" w:sz="4" w:space="0"/>
              <w:right w:val="single" w:color="auto" w:sz="4" w:space="0"/>
            </w:tcBorders>
            <w:vAlign w:val="center"/>
          </w:tcPr>
          <w:p w14:paraId="060E04F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名称</w:t>
            </w:r>
          </w:p>
        </w:tc>
        <w:tc>
          <w:tcPr>
            <w:tcW w:w="1076" w:type="pct"/>
            <w:tcBorders>
              <w:top w:val="single" w:color="auto" w:sz="4" w:space="0"/>
              <w:left w:val="nil"/>
              <w:bottom w:val="single" w:color="auto" w:sz="4" w:space="0"/>
              <w:right w:val="single" w:color="auto" w:sz="4" w:space="0"/>
            </w:tcBorders>
            <w:vAlign w:val="center"/>
          </w:tcPr>
          <w:p w14:paraId="6BD8973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控制方式</w:t>
            </w:r>
          </w:p>
        </w:tc>
        <w:tc>
          <w:tcPr>
            <w:tcW w:w="999" w:type="pct"/>
            <w:tcBorders>
              <w:top w:val="single" w:color="auto" w:sz="4" w:space="0"/>
              <w:left w:val="nil"/>
              <w:bottom w:val="single" w:color="auto" w:sz="4" w:space="0"/>
              <w:right w:val="single" w:color="auto" w:sz="4" w:space="0"/>
            </w:tcBorders>
            <w:vAlign w:val="center"/>
          </w:tcPr>
          <w:p w14:paraId="154C95E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传感器</w:t>
            </w:r>
          </w:p>
        </w:tc>
        <w:tc>
          <w:tcPr>
            <w:tcW w:w="1250" w:type="pct"/>
            <w:tcBorders>
              <w:top w:val="single" w:color="auto" w:sz="4" w:space="0"/>
              <w:left w:val="nil"/>
              <w:bottom w:val="single" w:color="auto" w:sz="4" w:space="0"/>
              <w:right w:val="single" w:color="auto" w:sz="4" w:space="0"/>
            </w:tcBorders>
            <w:vAlign w:val="center"/>
          </w:tcPr>
          <w:p w14:paraId="7EB70CB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应用场合</w:t>
            </w:r>
          </w:p>
        </w:tc>
      </w:tr>
      <w:tr w14:paraId="412F69E1">
        <w:tblPrEx>
          <w:tblCellMar>
            <w:top w:w="0" w:type="dxa"/>
            <w:left w:w="108" w:type="dxa"/>
            <w:bottom w:w="0" w:type="dxa"/>
            <w:right w:w="108" w:type="dxa"/>
          </w:tblCellMar>
        </w:tblPrEx>
        <w:trPr>
          <w:trHeight w:val="447" w:hRule="atLeast"/>
          <w:jc w:val="center"/>
        </w:trPr>
        <w:tc>
          <w:tcPr>
            <w:tcW w:w="413" w:type="pct"/>
            <w:tcBorders>
              <w:top w:val="nil"/>
              <w:left w:val="single" w:color="auto" w:sz="4" w:space="0"/>
              <w:bottom w:val="single" w:color="auto" w:sz="4" w:space="0"/>
              <w:right w:val="single" w:color="auto" w:sz="4" w:space="0"/>
            </w:tcBorders>
            <w:vAlign w:val="center"/>
          </w:tcPr>
          <w:p w14:paraId="01742A4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1</w:t>
            </w:r>
          </w:p>
        </w:tc>
        <w:tc>
          <w:tcPr>
            <w:tcW w:w="1260" w:type="pct"/>
            <w:tcBorders>
              <w:top w:val="nil"/>
              <w:left w:val="nil"/>
              <w:bottom w:val="single" w:color="auto" w:sz="4" w:space="0"/>
              <w:right w:val="single" w:color="auto" w:sz="4" w:space="0"/>
            </w:tcBorders>
            <w:vAlign w:val="center"/>
          </w:tcPr>
          <w:p w14:paraId="3BB386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摩擦辊床输送机</w:t>
            </w:r>
          </w:p>
        </w:tc>
        <w:tc>
          <w:tcPr>
            <w:tcW w:w="1076" w:type="pct"/>
            <w:tcBorders>
              <w:top w:val="nil"/>
              <w:left w:val="nil"/>
              <w:bottom w:val="single" w:color="auto" w:sz="4" w:space="0"/>
              <w:right w:val="single" w:color="auto" w:sz="4" w:space="0"/>
            </w:tcBorders>
            <w:vAlign w:val="center"/>
          </w:tcPr>
          <w:p w14:paraId="2C10E84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普通控制</w:t>
            </w:r>
          </w:p>
        </w:tc>
        <w:tc>
          <w:tcPr>
            <w:tcW w:w="999" w:type="pct"/>
            <w:tcBorders>
              <w:top w:val="nil"/>
              <w:left w:val="nil"/>
              <w:bottom w:val="single" w:color="auto" w:sz="4" w:space="0"/>
              <w:right w:val="single" w:color="auto" w:sz="4" w:space="0"/>
            </w:tcBorders>
            <w:vAlign w:val="center"/>
          </w:tcPr>
          <w:p w14:paraId="0CEA167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nil"/>
              <w:left w:val="nil"/>
              <w:bottom w:val="single" w:color="auto" w:sz="4" w:space="0"/>
              <w:right w:val="single" w:color="auto" w:sz="4" w:space="0"/>
            </w:tcBorders>
            <w:vAlign w:val="center"/>
          </w:tcPr>
          <w:p w14:paraId="26C9D1E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完成储存功能</w:t>
            </w:r>
          </w:p>
        </w:tc>
      </w:tr>
      <w:tr w14:paraId="1A11EBA7">
        <w:tblPrEx>
          <w:tblCellMar>
            <w:top w:w="0" w:type="dxa"/>
            <w:left w:w="108" w:type="dxa"/>
            <w:bottom w:w="0" w:type="dxa"/>
            <w:right w:w="108" w:type="dxa"/>
          </w:tblCellMar>
        </w:tblPrEx>
        <w:trPr>
          <w:trHeight w:val="600" w:hRule="atLeast"/>
          <w:jc w:val="center"/>
        </w:trPr>
        <w:tc>
          <w:tcPr>
            <w:tcW w:w="413" w:type="pct"/>
            <w:tcBorders>
              <w:top w:val="nil"/>
              <w:left w:val="single" w:color="auto" w:sz="4" w:space="0"/>
              <w:bottom w:val="single" w:color="auto" w:sz="4" w:space="0"/>
              <w:right w:val="single" w:color="auto" w:sz="4" w:space="0"/>
            </w:tcBorders>
            <w:vAlign w:val="center"/>
          </w:tcPr>
          <w:p w14:paraId="4109481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2</w:t>
            </w:r>
          </w:p>
        </w:tc>
        <w:tc>
          <w:tcPr>
            <w:tcW w:w="1260" w:type="pct"/>
            <w:tcBorders>
              <w:top w:val="nil"/>
              <w:left w:val="nil"/>
              <w:bottom w:val="single" w:color="auto" w:sz="4" w:space="0"/>
              <w:right w:val="single" w:color="auto" w:sz="4" w:space="0"/>
            </w:tcBorders>
            <w:vAlign w:val="center"/>
          </w:tcPr>
          <w:p w14:paraId="5E25664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普通变频辊床</w:t>
            </w:r>
          </w:p>
        </w:tc>
        <w:tc>
          <w:tcPr>
            <w:tcW w:w="1076" w:type="pct"/>
            <w:tcBorders>
              <w:top w:val="nil"/>
              <w:left w:val="nil"/>
              <w:bottom w:val="single" w:color="auto" w:sz="4" w:space="0"/>
              <w:right w:val="single" w:color="auto" w:sz="4" w:space="0"/>
            </w:tcBorders>
            <w:vAlign w:val="center"/>
          </w:tcPr>
          <w:p w14:paraId="434568C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4FF9BA1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nil"/>
              <w:left w:val="nil"/>
              <w:bottom w:val="single" w:color="auto" w:sz="4" w:space="0"/>
              <w:right w:val="single" w:color="auto" w:sz="4" w:space="0"/>
            </w:tcBorders>
            <w:vAlign w:val="center"/>
          </w:tcPr>
          <w:p w14:paraId="5AA25F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nil"/>
              <w:left w:val="nil"/>
              <w:bottom w:val="single" w:color="auto" w:sz="4" w:space="0"/>
              <w:right w:val="single" w:color="auto" w:sz="4" w:space="0"/>
            </w:tcBorders>
            <w:vAlign w:val="center"/>
          </w:tcPr>
          <w:p w14:paraId="662C49A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工艺辊床、快慢交接辊床、移动设备辊床、进出口辊床等</w:t>
            </w:r>
          </w:p>
        </w:tc>
      </w:tr>
      <w:tr w14:paraId="5864D3D6">
        <w:tblPrEx>
          <w:tblCellMar>
            <w:top w:w="0" w:type="dxa"/>
            <w:left w:w="108" w:type="dxa"/>
            <w:bottom w:w="0" w:type="dxa"/>
            <w:right w:w="108" w:type="dxa"/>
          </w:tblCellMar>
        </w:tblPrEx>
        <w:trPr>
          <w:trHeight w:val="600" w:hRule="atLeast"/>
          <w:jc w:val="center"/>
        </w:trPr>
        <w:tc>
          <w:tcPr>
            <w:tcW w:w="413" w:type="pct"/>
            <w:tcBorders>
              <w:top w:val="nil"/>
              <w:left w:val="single" w:color="auto" w:sz="4" w:space="0"/>
              <w:bottom w:val="single" w:color="auto" w:sz="4" w:space="0"/>
              <w:right w:val="single" w:color="auto" w:sz="4" w:space="0"/>
            </w:tcBorders>
            <w:vAlign w:val="center"/>
          </w:tcPr>
          <w:p w14:paraId="031757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3</w:t>
            </w:r>
          </w:p>
        </w:tc>
        <w:tc>
          <w:tcPr>
            <w:tcW w:w="1260" w:type="pct"/>
            <w:tcBorders>
              <w:top w:val="nil"/>
              <w:left w:val="nil"/>
              <w:bottom w:val="single" w:color="auto" w:sz="4" w:space="0"/>
              <w:right w:val="single" w:color="auto" w:sz="4" w:space="0"/>
            </w:tcBorders>
            <w:vAlign w:val="center"/>
          </w:tcPr>
          <w:p w14:paraId="2E83AF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防爆辊床</w:t>
            </w:r>
          </w:p>
        </w:tc>
        <w:tc>
          <w:tcPr>
            <w:tcW w:w="1076" w:type="pct"/>
            <w:tcBorders>
              <w:top w:val="nil"/>
              <w:left w:val="nil"/>
              <w:bottom w:val="single" w:color="auto" w:sz="4" w:space="0"/>
              <w:right w:val="single" w:color="auto" w:sz="4" w:space="0"/>
            </w:tcBorders>
            <w:vAlign w:val="center"/>
          </w:tcPr>
          <w:p w14:paraId="0926D5D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4367CD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nil"/>
              <w:left w:val="nil"/>
              <w:bottom w:val="single" w:color="auto" w:sz="4" w:space="0"/>
              <w:right w:val="single" w:color="auto" w:sz="4" w:space="0"/>
            </w:tcBorders>
            <w:vAlign w:val="center"/>
          </w:tcPr>
          <w:p w14:paraId="580CE36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本安型接近开关</w:t>
            </w:r>
          </w:p>
        </w:tc>
        <w:tc>
          <w:tcPr>
            <w:tcW w:w="1250" w:type="pct"/>
            <w:tcBorders>
              <w:top w:val="nil"/>
              <w:left w:val="nil"/>
              <w:bottom w:val="single" w:color="auto" w:sz="4" w:space="0"/>
              <w:right w:val="single" w:color="auto" w:sz="4" w:space="0"/>
            </w:tcBorders>
            <w:vAlign w:val="center"/>
          </w:tcPr>
          <w:p w14:paraId="48D56FA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位于喷漆室内</w:t>
            </w:r>
          </w:p>
          <w:p w14:paraId="460E47C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配隔离栅</w:t>
            </w:r>
          </w:p>
        </w:tc>
      </w:tr>
      <w:tr w14:paraId="5147BC01">
        <w:tblPrEx>
          <w:tblCellMar>
            <w:top w:w="0" w:type="dxa"/>
            <w:left w:w="108" w:type="dxa"/>
            <w:bottom w:w="0" w:type="dxa"/>
            <w:right w:w="108" w:type="dxa"/>
          </w:tblCellMar>
        </w:tblPrEx>
        <w:trPr>
          <w:trHeight w:val="600" w:hRule="atLeast"/>
          <w:jc w:val="center"/>
        </w:trPr>
        <w:tc>
          <w:tcPr>
            <w:tcW w:w="413" w:type="pct"/>
            <w:tcBorders>
              <w:top w:val="nil"/>
              <w:left w:val="single" w:color="auto" w:sz="4" w:space="0"/>
              <w:bottom w:val="single" w:color="auto" w:sz="4" w:space="0"/>
              <w:right w:val="single" w:color="auto" w:sz="4" w:space="0"/>
            </w:tcBorders>
            <w:vAlign w:val="center"/>
          </w:tcPr>
          <w:p w14:paraId="7AA1C96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w:t>
            </w:r>
          </w:p>
        </w:tc>
        <w:tc>
          <w:tcPr>
            <w:tcW w:w="1260" w:type="pct"/>
            <w:tcBorders>
              <w:top w:val="nil"/>
              <w:left w:val="nil"/>
              <w:bottom w:val="single" w:color="auto" w:sz="4" w:space="0"/>
              <w:right w:val="single" w:color="auto" w:sz="4" w:space="0"/>
            </w:tcBorders>
            <w:vAlign w:val="center"/>
          </w:tcPr>
          <w:p w14:paraId="50DFD3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移行机</w:t>
            </w:r>
          </w:p>
        </w:tc>
        <w:tc>
          <w:tcPr>
            <w:tcW w:w="1076" w:type="pct"/>
            <w:tcBorders>
              <w:top w:val="nil"/>
              <w:left w:val="nil"/>
              <w:bottom w:val="single" w:color="auto" w:sz="4" w:space="0"/>
              <w:right w:val="single" w:color="auto" w:sz="4" w:space="0"/>
            </w:tcBorders>
            <w:vAlign w:val="center"/>
          </w:tcPr>
          <w:p w14:paraId="5033DE0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6592F1A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nil"/>
              <w:left w:val="nil"/>
              <w:bottom w:val="single" w:color="auto" w:sz="4" w:space="0"/>
              <w:right w:val="single" w:color="auto" w:sz="4" w:space="0"/>
            </w:tcBorders>
            <w:vAlign w:val="center"/>
          </w:tcPr>
          <w:p w14:paraId="122EB73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nil"/>
              <w:left w:val="nil"/>
              <w:bottom w:val="single" w:color="auto" w:sz="4" w:space="0"/>
              <w:right w:val="single" w:color="auto" w:sz="4" w:space="0"/>
            </w:tcBorders>
            <w:vAlign w:val="center"/>
          </w:tcPr>
          <w:p w14:paraId="6A88FF5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75F81BAE">
        <w:tblPrEx>
          <w:tblCellMar>
            <w:top w:w="0" w:type="dxa"/>
            <w:left w:w="108" w:type="dxa"/>
            <w:bottom w:w="0" w:type="dxa"/>
            <w:right w:w="108" w:type="dxa"/>
          </w:tblCellMar>
        </w:tblPrEx>
        <w:trPr>
          <w:trHeight w:val="600" w:hRule="atLeast"/>
          <w:jc w:val="center"/>
        </w:trPr>
        <w:tc>
          <w:tcPr>
            <w:tcW w:w="413" w:type="pct"/>
            <w:tcBorders>
              <w:top w:val="nil"/>
              <w:left w:val="single" w:color="auto" w:sz="4" w:space="0"/>
              <w:bottom w:val="single" w:color="auto" w:sz="4" w:space="0"/>
              <w:right w:val="single" w:color="auto" w:sz="4" w:space="0"/>
            </w:tcBorders>
            <w:vAlign w:val="center"/>
          </w:tcPr>
          <w:p w14:paraId="3119984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5</w:t>
            </w:r>
          </w:p>
        </w:tc>
        <w:tc>
          <w:tcPr>
            <w:tcW w:w="1260" w:type="pct"/>
            <w:tcBorders>
              <w:top w:val="nil"/>
              <w:left w:val="nil"/>
              <w:bottom w:val="single" w:color="auto" w:sz="4" w:space="0"/>
              <w:right w:val="single" w:color="auto" w:sz="4" w:space="0"/>
            </w:tcBorders>
            <w:vAlign w:val="center"/>
          </w:tcPr>
          <w:p w14:paraId="6580B5D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旋转机</w:t>
            </w:r>
          </w:p>
        </w:tc>
        <w:tc>
          <w:tcPr>
            <w:tcW w:w="1076" w:type="pct"/>
            <w:tcBorders>
              <w:top w:val="nil"/>
              <w:left w:val="nil"/>
              <w:bottom w:val="single" w:color="auto" w:sz="4" w:space="0"/>
              <w:right w:val="single" w:color="auto" w:sz="4" w:space="0"/>
            </w:tcBorders>
            <w:vAlign w:val="center"/>
          </w:tcPr>
          <w:p w14:paraId="24C530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51F931E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nil"/>
              <w:left w:val="nil"/>
              <w:bottom w:val="single" w:color="auto" w:sz="4" w:space="0"/>
              <w:right w:val="single" w:color="auto" w:sz="4" w:space="0"/>
            </w:tcBorders>
            <w:vAlign w:val="center"/>
          </w:tcPr>
          <w:p w14:paraId="6FB4DBD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nil"/>
              <w:left w:val="nil"/>
              <w:bottom w:val="single" w:color="auto" w:sz="4" w:space="0"/>
              <w:right w:val="single" w:color="auto" w:sz="4" w:space="0"/>
            </w:tcBorders>
            <w:vAlign w:val="center"/>
          </w:tcPr>
          <w:p w14:paraId="68FEAA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219EF6F7">
        <w:tblPrEx>
          <w:tblCellMar>
            <w:top w:w="0" w:type="dxa"/>
            <w:left w:w="108" w:type="dxa"/>
            <w:bottom w:w="0" w:type="dxa"/>
            <w:right w:w="108" w:type="dxa"/>
          </w:tblCellMar>
        </w:tblPrEx>
        <w:trPr>
          <w:trHeight w:val="600" w:hRule="atLeast"/>
          <w:jc w:val="center"/>
        </w:trPr>
        <w:tc>
          <w:tcPr>
            <w:tcW w:w="413" w:type="pct"/>
            <w:tcBorders>
              <w:top w:val="nil"/>
              <w:left w:val="single" w:color="auto" w:sz="4" w:space="0"/>
              <w:bottom w:val="single" w:color="auto" w:sz="4" w:space="0"/>
              <w:right w:val="single" w:color="auto" w:sz="4" w:space="0"/>
            </w:tcBorders>
            <w:vAlign w:val="center"/>
          </w:tcPr>
          <w:p w14:paraId="7E60074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6</w:t>
            </w:r>
          </w:p>
        </w:tc>
        <w:tc>
          <w:tcPr>
            <w:tcW w:w="1260" w:type="pct"/>
            <w:tcBorders>
              <w:top w:val="nil"/>
              <w:left w:val="nil"/>
              <w:bottom w:val="single" w:color="auto" w:sz="4" w:space="0"/>
              <w:right w:val="single" w:color="auto" w:sz="4" w:space="0"/>
            </w:tcBorders>
            <w:vAlign w:val="center"/>
          </w:tcPr>
          <w:p w14:paraId="388B228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升降辊床</w:t>
            </w:r>
          </w:p>
        </w:tc>
        <w:tc>
          <w:tcPr>
            <w:tcW w:w="1076" w:type="pct"/>
            <w:tcBorders>
              <w:top w:val="nil"/>
              <w:left w:val="nil"/>
              <w:bottom w:val="single" w:color="auto" w:sz="4" w:space="0"/>
              <w:right w:val="single" w:color="auto" w:sz="4" w:space="0"/>
            </w:tcBorders>
            <w:vAlign w:val="center"/>
          </w:tcPr>
          <w:p w14:paraId="4D0F7C4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辊床使用变频器，升降使用变频器</w:t>
            </w:r>
          </w:p>
        </w:tc>
        <w:tc>
          <w:tcPr>
            <w:tcW w:w="999" w:type="pct"/>
            <w:tcBorders>
              <w:top w:val="nil"/>
              <w:left w:val="nil"/>
              <w:bottom w:val="single" w:color="auto" w:sz="4" w:space="0"/>
              <w:right w:val="single" w:color="auto" w:sz="4" w:space="0"/>
            </w:tcBorders>
            <w:vAlign w:val="center"/>
          </w:tcPr>
          <w:p w14:paraId="184976F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nil"/>
              <w:left w:val="nil"/>
              <w:bottom w:val="single" w:color="auto" w:sz="4" w:space="0"/>
              <w:right w:val="single" w:color="auto" w:sz="4" w:space="0"/>
            </w:tcBorders>
            <w:vAlign w:val="center"/>
          </w:tcPr>
          <w:p w14:paraId="5BEDB54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配合带式或链式移行机应用</w:t>
            </w:r>
          </w:p>
        </w:tc>
      </w:tr>
      <w:tr w14:paraId="4B5690F8">
        <w:tblPrEx>
          <w:tblCellMar>
            <w:top w:w="0" w:type="dxa"/>
            <w:left w:w="108" w:type="dxa"/>
            <w:bottom w:w="0" w:type="dxa"/>
            <w:right w:w="108" w:type="dxa"/>
          </w:tblCellMar>
        </w:tblPrEx>
        <w:trPr>
          <w:trHeight w:val="600" w:hRule="atLeast"/>
          <w:jc w:val="center"/>
        </w:trPr>
        <w:tc>
          <w:tcPr>
            <w:tcW w:w="413" w:type="pct"/>
            <w:tcBorders>
              <w:top w:val="nil"/>
              <w:left w:val="single" w:color="auto" w:sz="4" w:space="0"/>
              <w:bottom w:val="single" w:color="auto" w:sz="4" w:space="0"/>
              <w:right w:val="single" w:color="auto" w:sz="4" w:space="0"/>
            </w:tcBorders>
            <w:vAlign w:val="center"/>
          </w:tcPr>
          <w:p w14:paraId="4E3FE05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7</w:t>
            </w:r>
          </w:p>
        </w:tc>
        <w:tc>
          <w:tcPr>
            <w:tcW w:w="1260" w:type="pct"/>
            <w:tcBorders>
              <w:top w:val="nil"/>
              <w:left w:val="nil"/>
              <w:bottom w:val="single" w:color="auto" w:sz="4" w:space="0"/>
              <w:right w:val="single" w:color="auto" w:sz="4" w:space="0"/>
            </w:tcBorders>
            <w:vAlign w:val="center"/>
          </w:tcPr>
          <w:p w14:paraId="4A44A54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工艺皮带和链条</w:t>
            </w:r>
          </w:p>
        </w:tc>
        <w:tc>
          <w:tcPr>
            <w:tcW w:w="1076" w:type="pct"/>
            <w:tcBorders>
              <w:top w:val="nil"/>
              <w:left w:val="nil"/>
              <w:bottom w:val="single" w:color="auto" w:sz="4" w:space="0"/>
              <w:right w:val="single" w:color="auto" w:sz="4" w:space="0"/>
            </w:tcBorders>
            <w:vAlign w:val="center"/>
          </w:tcPr>
          <w:p w14:paraId="00E84C2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13F20F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nil"/>
              <w:left w:val="nil"/>
              <w:bottom w:val="single" w:color="auto" w:sz="4" w:space="0"/>
              <w:right w:val="single" w:color="auto" w:sz="4" w:space="0"/>
            </w:tcBorders>
            <w:vAlign w:val="center"/>
          </w:tcPr>
          <w:p w14:paraId="29F6E34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nil"/>
              <w:left w:val="nil"/>
              <w:bottom w:val="single" w:color="auto" w:sz="4" w:space="0"/>
              <w:right w:val="single" w:color="auto" w:sz="4" w:space="0"/>
            </w:tcBorders>
            <w:vAlign w:val="center"/>
          </w:tcPr>
          <w:p w14:paraId="0511E3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w:t>
            </w:r>
          </w:p>
        </w:tc>
      </w:tr>
      <w:tr w14:paraId="10EA7DF2">
        <w:tblPrEx>
          <w:tblCellMar>
            <w:top w:w="0" w:type="dxa"/>
            <w:left w:w="108" w:type="dxa"/>
            <w:bottom w:w="0" w:type="dxa"/>
            <w:right w:w="108" w:type="dxa"/>
          </w:tblCellMar>
        </w:tblPrEx>
        <w:trPr>
          <w:trHeight w:val="600"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3A54148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8</w:t>
            </w:r>
          </w:p>
        </w:tc>
        <w:tc>
          <w:tcPr>
            <w:tcW w:w="1260" w:type="pct"/>
            <w:tcBorders>
              <w:top w:val="single" w:color="auto" w:sz="4" w:space="0"/>
              <w:left w:val="nil"/>
              <w:bottom w:val="single" w:color="auto" w:sz="4" w:space="0"/>
              <w:right w:val="single" w:color="auto" w:sz="4" w:space="0"/>
            </w:tcBorders>
            <w:vAlign w:val="center"/>
          </w:tcPr>
          <w:p w14:paraId="2FD5DA6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喷漆双链</w:t>
            </w:r>
          </w:p>
        </w:tc>
        <w:tc>
          <w:tcPr>
            <w:tcW w:w="1076" w:type="pct"/>
            <w:tcBorders>
              <w:top w:val="single" w:color="auto" w:sz="4" w:space="0"/>
              <w:left w:val="nil"/>
              <w:bottom w:val="single" w:color="auto" w:sz="4" w:space="0"/>
              <w:right w:val="single" w:color="auto" w:sz="4" w:space="0"/>
            </w:tcBorders>
            <w:vAlign w:val="center"/>
          </w:tcPr>
          <w:p w14:paraId="01A9F4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341008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single" w:color="auto" w:sz="4" w:space="0"/>
              <w:left w:val="nil"/>
              <w:bottom w:val="single" w:color="auto" w:sz="4" w:space="0"/>
              <w:right w:val="single" w:color="auto" w:sz="4" w:space="0"/>
            </w:tcBorders>
            <w:vAlign w:val="center"/>
          </w:tcPr>
          <w:p w14:paraId="3008B38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本安型接近开关</w:t>
            </w:r>
          </w:p>
        </w:tc>
        <w:tc>
          <w:tcPr>
            <w:tcW w:w="1250" w:type="pct"/>
            <w:tcBorders>
              <w:top w:val="single" w:color="auto" w:sz="4" w:space="0"/>
              <w:left w:val="nil"/>
              <w:bottom w:val="single" w:color="auto" w:sz="4" w:space="0"/>
              <w:right w:val="single" w:color="auto" w:sz="4" w:space="0"/>
            </w:tcBorders>
            <w:vAlign w:val="center"/>
          </w:tcPr>
          <w:p w14:paraId="1330273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位于喷漆室内</w:t>
            </w:r>
          </w:p>
          <w:p w14:paraId="699A1ED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配隔离栅</w:t>
            </w:r>
          </w:p>
        </w:tc>
      </w:tr>
      <w:tr w14:paraId="6D30D733">
        <w:tblPrEx>
          <w:tblCellMar>
            <w:top w:w="0" w:type="dxa"/>
            <w:left w:w="108" w:type="dxa"/>
            <w:bottom w:w="0" w:type="dxa"/>
            <w:right w:w="108" w:type="dxa"/>
          </w:tblCellMar>
        </w:tblPrEx>
        <w:trPr>
          <w:trHeight w:val="600"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7A561D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9</w:t>
            </w:r>
          </w:p>
        </w:tc>
        <w:tc>
          <w:tcPr>
            <w:tcW w:w="1260" w:type="pct"/>
            <w:tcBorders>
              <w:top w:val="single" w:color="auto" w:sz="4" w:space="0"/>
              <w:left w:val="nil"/>
              <w:bottom w:val="single" w:color="auto" w:sz="4" w:space="0"/>
              <w:right w:val="single" w:color="auto" w:sz="4" w:space="0"/>
            </w:tcBorders>
            <w:vAlign w:val="center"/>
          </w:tcPr>
          <w:p w14:paraId="04D249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垂直升降机</w:t>
            </w:r>
          </w:p>
        </w:tc>
        <w:tc>
          <w:tcPr>
            <w:tcW w:w="1076" w:type="pct"/>
            <w:tcBorders>
              <w:top w:val="single" w:color="auto" w:sz="4" w:space="0"/>
              <w:left w:val="nil"/>
              <w:bottom w:val="single" w:color="auto" w:sz="4" w:space="0"/>
              <w:right w:val="single" w:color="auto" w:sz="4" w:space="0"/>
            </w:tcBorders>
            <w:vAlign w:val="center"/>
          </w:tcPr>
          <w:p w14:paraId="24A4278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08837B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single" w:color="auto" w:sz="4" w:space="0"/>
              <w:left w:val="nil"/>
              <w:bottom w:val="single" w:color="auto" w:sz="4" w:space="0"/>
              <w:right w:val="single" w:color="auto" w:sz="4" w:space="0"/>
            </w:tcBorders>
            <w:vAlign w:val="center"/>
          </w:tcPr>
          <w:p w14:paraId="2F4F4C0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single" w:color="auto" w:sz="4" w:space="0"/>
              <w:left w:val="nil"/>
              <w:bottom w:val="single" w:color="auto" w:sz="4" w:space="0"/>
              <w:right w:val="single" w:color="auto" w:sz="4" w:space="0"/>
            </w:tcBorders>
            <w:vAlign w:val="center"/>
          </w:tcPr>
          <w:p w14:paraId="07130F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配有光电开关做车间一层进出口安全防护</w:t>
            </w:r>
          </w:p>
        </w:tc>
      </w:tr>
      <w:tr w14:paraId="45B6480A">
        <w:tblPrEx>
          <w:tblCellMar>
            <w:top w:w="0" w:type="dxa"/>
            <w:left w:w="108" w:type="dxa"/>
            <w:bottom w:w="0" w:type="dxa"/>
            <w:right w:w="108" w:type="dxa"/>
          </w:tblCellMar>
        </w:tblPrEx>
        <w:trPr>
          <w:trHeight w:val="600"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5EBA1F9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10</w:t>
            </w:r>
          </w:p>
        </w:tc>
        <w:tc>
          <w:tcPr>
            <w:tcW w:w="1260" w:type="pct"/>
            <w:tcBorders>
              <w:top w:val="single" w:color="auto" w:sz="4" w:space="0"/>
              <w:left w:val="nil"/>
              <w:bottom w:val="single" w:color="auto" w:sz="4" w:space="0"/>
              <w:right w:val="single" w:color="auto" w:sz="4" w:space="0"/>
            </w:tcBorders>
            <w:vAlign w:val="center"/>
          </w:tcPr>
          <w:p w14:paraId="7A4D6B7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双向辊床（电泳车间、离线工位、喷涂车间存储区中间段除外）</w:t>
            </w:r>
          </w:p>
        </w:tc>
        <w:tc>
          <w:tcPr>
            <w:tcW w:w="1076" w:type="pct"/>
            <w:tcBorders>
              <w:top w:val="single" w:color="auto" w:sz="4" w:space="0"/>
              <w:left w:val="nil"/>
              <w:bottom w:val="single" w:color="auto" w:sz="4" w:space="0"/>
              <w:right w:val="single" w:color="auto" w:sz="4" w:space="0"/>
            </w:tcBorders>
            <w:vAlign w:val="center"/>
          </w:tcPr>
          <w:p w14:paraId="76DF53B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4A414F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single" w:color="auto" w:sz="4" w:space="0"/>
              <w:left w:val="nil"/>
              <w:bottom w:val="single" w:color="auto" w:sz="4" w:space="0"/>
              <w:right w:val="single" w:color="auto" w:sz="4" w:space="0"/>
            </w:tcBorders>
            <w:vAlign w:val="center"/>
          </w:tcPr>
          <w:p w14:paraId="4499B79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single" w:color="auto" w:sz="4" w:space="0"/>
              <w:left w:val="nil"/>
              <w:bottom w:val="single" w:color="auto" w:sz="4" w:space="0"/>
              <w:right w:val="single" w:color="auto" w:sz="4" w:space="0"/>
            </w:tcBorders>
            <w:vAlign w:val="center"/>
          </w:tcPr>
          <w:p w14:paraId="307518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完成双向传递功能</w:t>
            </w:r>
          </w:p>
        </w:tc>
      </w:tr>
      <w:tr w14:paraId="16DDB0FA">
        <w:tblPrEx>
          <w:tblCellMar>
            <w:top w:w="0" w:type="dxa"/>
            <w:left w:w="108" w:type="dxa"/>
            <w:bottom w:w="0" w:type="dxa"/>
            <w:right w:w="108" w:type="dxa"/>
          </w:tblCellMar>
        </w:tblPrEx>
        <w:trPr>
          <w:trHeight w:val="600"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6016C4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11</w:t>
            </w:r>
          </w:p>
        </w:tc>
        <w:tc>
          <w:tcPr>
            <w:tcW w:w="1260" w:type="pct"/>
            <w:tcBorders>
              <w:top w:val="single" w:color="auto" w:sz="4" w:space="0"/>
              <w:left w:val="nil"/>
              <w:bottom w:val="single" w:color="auto" w:sz="4" w:space="0"/>
              <w:right w:val="single" w:color="auto" w:sz="4" w:space="0"/>
            </w:tcBorders>
            <w:vAlign w:val="center"/>
          </w:tcPr>
          <w:p w14:paraId="232F1A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移载机</w:t>
            </w:r>
          </w:p>
        </w:tc>
        <w:tc>
          <w:tcPr>
            <w:tcW w:w="1076" w:type="pct"/>
            <w:tcBorders>
              <w:top w:val="single" w:color="auto" w:sz="4" w:space="0"/>
              <w:left w:val="nil"/>
              <w:bottom w:val="single" w:color="auto" w:sz="4" w:space="0"/>
              <w:right w:val="single" w:color="auto" w:sz="4" w:space="0"/>
            </w:tcBorders>
            <w:vAlign w:val="center"/>
          </w:tcPr>
          <w:p w14:paraId="35FA457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37C09F6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single" w:color="auto" w:sz="4" w:space="0"/>
              <w:left w:val="nil"/>
              <w:bottom w:val="single" w:color="auto" w:sz="4" w:space="0"/>
              <w:right w:val="single" w:color="auto" w:sz="4" w:space="0"/>
            </w:tcBorders>
            <w:vAlign w:val="center"/>
          </w:tcPr>
          <w:p w14:paraId="4930D3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普通接近开关</w:t>
            </w:r>
          </w:p>
        </w:tc>
        <w:tc>
          <w:tcPr>
            <w:tcW w:w="1250" w:type="pct"/>
            <w:tcBorders>
              <w:top w:val="single" w:color="auto" w:sz="4" w:space="0"/>
              <w:left w:val="nil"/>
              <w:bottom w:val="single" w:color="auto" w:sz="4" w:space="0"/>
              <w:right w:val="single" w:color="auto" w:sz="4" w:space="0"/>
            </w:tcBorders>
            <w:vAlign w:val="center"/>
          </w:tcPr>
          <w:p w14:paraId="3369D90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w:t>
            </w:r>
          </w:p>
        </w:tc>
      </w:tr>
      <w:tr w14:paraId="1086EAA6">
        <w:tblPrEx>
          <w:tblCellMar>
            <w:top w:w="0" w:type="dxa"/>
            <w:left w:w="108" w:type="dxa"/>
            <w:bottom w:w="0" w:type="dxa"/>
            <w:right w:w="108" w:type="dxa"/>
          </w:tblCellMar>
        </w:tblPrEx>
        <w:trPr>
          <w:trHeight w:val="600" w:hRule="atLeast"/>
          <w:jc w:val="center"/>
        </w:trPr>
        <w:tc>
          <w:tcPr>
            <w:tcW w:w="413" w:type="pct"/>
            <w:tcBorders>
              <w:top w:val="single" w:color="auto" w:sz="4" w:space="0"/>
              <w:left w:val="single" w:color="auto" w:sz="4" w:space="0"/>
              <w:bottom w:val="single" w:color="auto" w:sz="4" w:space="0"/>
              <w:right w:val="single" w:color="auto" w:sz="4" w:space="0"/>
            </w:tcBorders>
            <w:vAlign w:val="center"/>
          </w:tcPr>
          <w:p w14:paraId="1905258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12</w:t>
            </w:r>
          </w:p>
        </w:tc>
        <w:tc>
          <w:tcPr>
            <w:tcW w:w="1260" w:type="pct"/>
            <w:tcBorders>
              <w:top w:val="single" w:color="auto" w:sz="4" w:space="0"/>
              <w:left w:val="nil"/>
              <w:bottom w:val="single" w:color="auto" w:sz="4" w:space="0"/>
              <w:right w:val="single" w:color="auto" w:sz="4" w:space="0"/>
            </w:tcBorders>
            <w:vAlign w:val="center"/>
          </w:tcPr>
          <w:p w14:paraId="12BE686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高温链条</w:t>
            </w:r>
          </w:p>
        </w:tc>
        <w:tc>
          <w:tcPr>
            <w:tcW w:w="1076" w:type="pct"/>
            <w:tcBorders>
              <w:top w:val="single" w:color="auto" w:sz="4" w:space="0"/>
              <w:left w:val="nil"/>
              <w:bottom w:val="single" w:color="auto" w:sz="4" w:space="0"/>
              <w:right w:val="single" w:color="auto" w:sz="4" w:space="0"/>
            </w:tcBorders>
            <w:vAlign w:val="center"/>
          </w:tcPr>
          <w:p w14:paraId="12E6DA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变频器</w:t>
            </w:r>
          </w:p>
          <w:p w14:paraId="441A5C5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总线控制</w:t>
            </w:r>
          </w:p>
        </w:tc>
        <w:tc>
          <w:tcPr>
            <w:tcW w:w="999" w:type="pct"/>
            <w:tcBorders>
              <w:top w:val="single" w:color="auto" w:sz="4" w:space="0"/>
              <w:left w:val="nil"/>
              <w:bottom w:val="single" w:color="auto" w:sz="4" w:space="0"/>
              <w:right w:val="single" w:color="auto" w:sz="4" w:space="0"/>
            </w:tcBorders>
            <w:vAlign w:val="center"/>
          </w:tcPr>
          <w:p w14:paraId="1144B7A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高温接近开关</w:t>
            </w:r>
          </w:p>
        </w:tc>
        <w:tc>
          <w:tcPr>
            <w:tcW w:w="1250" w:type="pct"/>
            <w:tcBorders>
              <w:top w:val="single" w:color="auto" w:sz="4" w:space="0"/>
              <w:left w:val="nil"/>
              <w:bottom w:val="single" w:color="auto" w:sz="4" w:space="0"/>
              <w:right w:val="single" w:color="auto" w:sz="4" w:space="0"/>
            </w:tcBorders>
            <w:vAlign w:val="center"/>
          </w:tcPr>
          <w:p w14:paraId="4F9B781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高温链条</w:t>
            </w:r>
          </w:p>
        </w:tc>
      </w:tr>
    </w:tbl>
    <w:p w14:paraId="483E0955">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p>
    <w:p w14:paraId="39ABCE20">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安全防护与保护</w:t>
      </w:r>
    </w:p>
    <w:p w14:paraId="34DEC1BC">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机械化输送设备除在控制柜设紧急停止外，沿生产线布置有紧急停止开关，升降机、侧顶机上下限位、维修装置限位及围栏门安全开关，工艺链张紧限位，电泳线室体门限位，电泳入口、出口光栅，以上均接入I/O模块实现硬件、软件紧急停止设备功能。</w:t>
      </w:r>
    </w:p>
    <w:p w14:paraId="3E653CBB">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高温开关必须冗余，并且具有开关自检程序。</w:t>
      </w:r>
    </w:p>
    <w:p w14:paraId="78CFB6DF">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对于机械化系统中不同输送设备间的转挂点,将通过光电开关等传感器的辅助检测来保证可靠的交接.机械化系统中关键位置传感器具有故障检测报警以及设备传送超时报警等，同时对于驱动电机有相应的过载报警等。</w:t>
      </w:r>
    </w:p>
    <w:p w14:paraId="2A5D365B">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针对涂装车间特有的防爆区的施工和传感器接线，将采用具有防爆性能的传感器并配有本安隔离栅进行控制，完全达到国家有关防爆标准的要求。</w:t>
      </w:r>
    </w:p>
    <w:p w14:paraId="6FD1030E">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升降机有必备的安全人员和设备保护。</w:t>
      </w:r>
    </w:p>
    <w:p w14:paraId="2288320D">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驱动站、张紧站设过载保护开关，张紧站设张紧过紧、过松等检测开关，并在动作时自动声光报警。</w:t>
      </w:r>
    </w:p>
    <w:p w14:paraId="334F1EFE">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互锁保护：存在前后动作逻辑关系的各应用单元间具有可靠的互锁关系，无论自动或手动方式，各应用单元内部的前后动作顺序也有互锁；电机正、反转，高、低速设置有硬件软件互锁。</w:t>
      </w:r>
    </w:p>
    <w:p w14:paraId="2D8C1962">
      <w:pPr>
        <w:pStyle w:val="17"/>
        <w:pageBreakBefore w:val="0"/>
        <w:widowControl/>
        <w:numPr>
          <w:ilvl w:val="0"/>
          <w:numId w:val="311"/>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所有升降机辊床部位，必须设置安全防护网。</w:t>
      </w:r>
    </w:p>
    <w:p w14:paraId="145551EF">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机械化系统的联锁信号</w:t>
      </w:r>
    </w:p>
    <w:p w14:paraId="2A96BFF2">
      <w:pPr>
        <w:pStyle w:val="17"/>
        <w:pageBreakBefore w:val="0"/>
        <w:widowControl/>
        <w:numPr>
          <w:ilvl w:val="0"/>
          <w:numId w:val="312"/>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机械化控制系统之间的联锁信号将由各机械化PLC通过总线网桥来传送。机械化系统与机器人系统，工艺设备控制系统的联锁信号将通过硬线联锁方式来传送。</w:t>
      </w:r>
    </w:p>
    <w:p w14:paraId="7793C197">
      <w:pPr>
        <w:pStyle w:val="17"/>
        <w:pageBreakBefore w:val="0"/>
        <w:widowControl/>
        <w:numPr>
          <w:ilvl w:val="0"/>
          <w:numId w:val="312"/>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机械化与消防设备之间的联锁信号采用点对点硬连接方式，采集的信号无源触点连接。</w:t>
      </w:r>
    </w:p>
    <w:p w14:paraId="6B21A1AD">
      <w:pPr>
        <w:pStyle w:val="17"/>
        <w:pageBreakBefore w:val="0"/>
        <w:widowControl/>
        <w:numPr>
          <w:ilvl w:val="0"/>
          <w:numId w:val="312"/>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每台辊床安装接近开关，用于车身定位。</w:t>
      </w:r>
    </w:p>
    <w:p w14:paraId="5E894BCA">
      <w:pPr>
        <w:pStyle w:val="17"/>
        <w:pageBreakBefore w:val="0"/>
        <w:widowControl/>
        <w:numPr>
          <w:ilvl w:val="0"/>
          <w:numId w:val="312"/>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输送人工工位每20米安装1个急停按钮，对称安装。</w:t>
      </w:r>
    </w:p>
    <w:p w14:paraId="11838B0D">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电缆：升降机、移行机、旋转辊床等移动设动力电缆、控制电缆采用进口高柔性产品；高温区域采用高温高柔性产品。</w:t>
      </w:r>
    </w:p>
    <w:p w14:paraId="03DE84EB">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变频：所有涉及到调速工艺要求的机械化输送设备、转接用输送设备必须具有调速功能，如摆杆链、工艺链、旋转辊床、移行辊床、升降机、转接用辊床等。</w:t>
      </w:r>
    </w:p>
    <w:p w14:paraId="4C4E97A3">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人机界面上应显示：各分区动态工艺流程图；流程图上应显示车身位置；流程图上应显示机械化设备位置、状态；显示、记录各工艺段的每班、日生产数量等。</w:t>
      </w:r>
      <w:r>
        <w:rPr>
          <w:rFonts w:hint="eastAsia" w:ascii="宋体" w:hAnsi="宋体" w:cs="宋体"/>
          <w:sz w:val="24"/>
          <w:lang w:eastAsia="zh-CN"/>
        </w:rPr>
        <w:t>投标人</w:t>
      </w:r>
      <w:r>
        <w:rPr>
          <w:rFonts w:hint="eastAsia" w:ascii="宋体" w:hAnsi="宋体" w:eastAsia="宋体" w:cs="宋体"/>
          <w:sz w:val="24"/>
        </w:rPr>
        <w:t>负责将以上中央控制室所需信号、数据传递给中央控制室，实现上述功能。</w:t>
      </w:r>
    </w:p>
    <w:p w14:paraId="10D47DFD">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所有升降机必须有防坠落保护。</w:t>
      </w:r>
    </w:p>
    <w:p w14:paraId="141D7C56">
      <w:pPr>
        <w:pageBreakBefore w:val="0"/>
        <w:numPr>
          <w:ilvl w:val="0"/>
          <w:numId w:val="3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其他</w:t>
      </w:r>
    </w:p>
    <w:p w14:paraId="4A6FA3C8">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机械化传输设备应有排空控制功能。</w:t>
      </w:r>
    </w:p>
    <w:p w14:paraId="2DE83397">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控制组总柜内均设有数字式电度表，用于记录该控制组耗电总量，并同时将结果传给PLC。</w:t>
      </w:r>
    </w:p>
    <w:p w14:paraId="10B367FA">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在进入前处理线体进口处合适位置设锁紧自动检测系统，未锁紧时自动报警并停止输送机。</w:t>
      </w:r>
    </w:p>
    <w:p w14:paraId="3B23F040">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应有自动检测烘干室内带件橇体数量的措施，并能在人机界面和上位计算机显示烘干室内带件橇体的占位情况。</w:t>
      </w:r>
    </w:p>
    <w:p w14:paraId="07984D52">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烘干室内元器件必须满足250℃高温要求。</w:t>
      </w:r>
    </w:p>
    <w:p w14:paraId="3D496257">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rPr>
      </w:pPr>
      <w:r>
        <w:rPr>
          <w:rFonts w:hint="eastAsia" w:ascii="宋体" w:hAnsi="宋体" w:eastAsia="宋体" w:cs="宋体"/>
        </w:rPr>
        <w:t>人工作业线体每个工位配置暂停按钮盒，交叉布置，每条线体必须配置2-3个急停按钮盒（高工位必须配置一个），根据线体功能需要，出入口配置呼叫、放行按钮和路由按钮盒；单工位室体必须配置急停按钮盒，根据需要配置呼叫、放行按钮和路由按钮和；暂停按钮为黄色带灯按钮盒；急停按钮盒为红色带灯，并有声光报警功能；呼叫、放行按钮和路由按钮盒，为绿色带灯按钮盒；防爆区的按钮盒需配置防爆按钮盒。</w:t>
      </w:r>
    </w:p>
    <w:p w14:paraId="0A338FEE">
      <w:pPr>
        <w:pStyle w:val="17"/>
        <w:pageBreakBefore w:val="0"/>
        <w:widowControl/>
        <w:numPr>
          <w:ilvl w:val="0"/>
          <w:numId w:val="313"/>
        </w:numPr>
        <w:tabs>
          <w:tab w:val="clear" w:pos="420"/>
        </w:tabs>
        <w:kinsoku/>
        <w:wordWrap/>
        <w:topLinePunct w:val="0"/>
        <w:bidi w:val="0"/>
        <w:adjustRightInd w:val="0"/>
        <w:snapToGrid w:val="0"/>
        <w:spacing w:before="0" w:after="0" w:afterAutospacing="0" w:line="360" w:lineRule="auto"/>
        <w:ind w:left="0" w:leftChars="0" w:firstLine="0" w:firstLineChars="0"/>
        <w:jc w:val="left"/>
        <w:outlineLvl w:val="1"/>
        <w:rPr>
          <w:rFonts w:hint="eastAsia" w:ascii="宋体" w:hAnsi="宋体" w:eastAsia="宋体" w:cs="宋体"/>
          <w:lang w:val="de-DE"/>
        </w:rPr>
      </w:pPr>
      <w:r>
        <w:rPr>
          <w:rFonts w:hint="eastAsia" w:ascii="宋体" w:hAnsi="宋体" w:eastAsia="宋体" w:cs="宋体"/>
        </w:rPr>
        <w:t>机械化部分电控未详细进行规定，只列出一些原则性要求，详细需要</w:t>
      </w:r>
      <w:r>
        <w:rPr>
          <w:rFonts w:hint="eastAsia" w:ascii="宋体" w:hAnsi="宋体" w:cs="宋体"/>
          <w:lang w:eastAsia="zh-CN"/>
        </w:rPr>
        <w:t>投标人</w:t>
      </w:r>
      <w:r>
        <w:rPr>
          <w:rFonts w:hint="eastAsia" w:ascii="宋体" w:hAnsi="宋体" w:eastAsia="宋体" w:cs="宋体"/>
        </w:rPr>
        <w:t>进行设计，保证控制的可靠、完成性。未包括部分由</w:t>
      </w:r>
      <w:r>
        <w:rPr>
          <w:rFonts w:hint="eastAsia" w:ascii="宋体" w:hAnsi="宋体" w:cs="宋体"/>
          <w:lang w:eastAsia="zh-CN"/>
        </w:rPr>
        <w:t>投标人</w:t>
      </w:r>
      <w:r>
        <w:rPr>
          <w:rFonts w:hint="eastAsia" w:ascii="宋体" w:hAnsi="宋体" w:eastAsia="宋体" w:cs="宋体"/>
        </w:rPr>
        <w:t>提出。</w:t>
      </w:r>
    </w:p>
    <w:p w14:paraId="01807E86">
      <w:pPr>
        <w:pageBreakBefore w:val="0"/>
        <w:numPr>
          <w:ilvl w:val="0"/>
          <w:numId w:val="31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机械化输送设备电气控制分组：</w:t>
      </w:r>
    </w:p>
    <w:p w14:paraId="5216B469">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按照工作区域进行设计，设计完成后需经</w:t>
      </w:r>
      <w:r>
        <w:rPr>
          <w:rFonts w:hint="eastAsia" w:ascii="宋体" w:hAnsi="宋体" w:cs="宋体"/>
          <w:sz w:val="24"/>
          <w:lang w:eastAsia="zh-CN"/>
        </w:rPr>
        <w:t>招标人</w:t>
      </w:r>
      <w:r>
        <w:rPr>
          <w:rFonts w:hint="eastAsia" w:ascii="宋体" w:hAnsi="宋体" w:eastAsia="宋体" w:cs="宋体"/>
          <w:sz w:val="24"/>
        </w:rPr>
        <w:t>认可。</w:t>
      </w:r>
    </w:p>
    <w:p w14:paraId="71AD479A">
      <w:pPr>
        <w:pageBreakBefore w:val="0"/>
        <w:numPr>
          <w:ilvl w:val="0"/>
          <w:numId w:val="31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整个涂装机械化输送电控系统按照功能要求和工艺区域暂作上述划分，约3组控制系统，并设有约3个独立的PLC控制（PLC控制器选用故障安全型，配置标准以太网模块）。具体划分以图纸会签时为准。各组PLC控制器之间通过工业以太网通讯，实现相互间的联锁信号交互。PLC控制器通过交换机、通讯耦合器、工业以太网现场总线、远程分布式I/O，与系统内所属现场设备（电机启动器、接触器、继电器、开关、传感器、变频器、安全光幕、RFID读写站等）实现连接和控制。</w:t>
      </w:r>
    </w:p>
    <w:p w14:paraId="7669BE15">
      <w:pPr>
        <w:pageBreakBefore w:val="0"/>
        <w:numPr>
          <w:ilvl w:val="0"/>
          <w:numId w:val="31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继电器、开关、传感器、变频器、安全光幕、RFID读写站等）实现连接和控制。</w:t>
      </w:r>
    </w:p>
    <w:p w14:paraId="2E63ECD2">
      <w:pPr>
        <w:pageBreakBefore w:val="0"/>
        <w:numPr>
          <w:ilvl w:val="0"/>
          <w:numId w:val="31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49" w:name="OLE_LINK5"/>
      <w:r>
        <w:rPr>
          <w:rFonts w:hint="eastAsia" w:ascii="宋体" w:hAnsi="宋体" w:eastAsia="宋体" w:cs="宋体"/>
          <w:sz w:val="24"/>
        </w:rPr>
        <w:t>系统控制架构</w:t>
      </w:r>
      <w:bookmarkEnd w:id="249"/>
      <w:r>
        <w:rPr>
          <w:rFonts w:hint="eastAsia" w:ascii="宋体" w:hAnsi="宋体" w:eastAsia="宋体" w:cs="宋体"/>
          <w:sz w:val="24"/>
        </w:rPr>
        <w:t>如图所示，工业以太网通讯要求选用Ethernet/IP或ProfiNet同等系列。系统设计评审时，</w:t>
      </w:r>
      <w:r>
        <w:rPr>
          <w:rFonts w:hint="eastAsia" w:ascii="宋体" w:hAnsi="宋体" w:cs="宋体"/>
          <w:sz w:val="24"/>
          <w:lang w:eastAsia="zh-CN"/>
        </w:rPr>
        <w:t>投标人</w:t>
      </w:r>
      <w:r>
        <w:rPr>
          <w:rFonts w:hint="eastAsia" w:ascii="宋体" w:hAnsi="宋体" w:eastAsia="宋体" w:cs="宋体"/>
          <w:sz w:val="24"/>
        </w:rPr>
        <w:t>提交一份所有需要IP地址分配清单给</w:t>
      </w:r>
      <w:r>
        <w:rPr>
          <w:rFonts w:hint="eastAsia" w:ascii="宋体" w:hAnsi="宋体" w:cs="宋体"/>
          <w:sz w:val="24"/>
          <w:lang w:eastAsia="zh-CN"/>
        </w:rPr>
        <w:t>招标人</w:t>
      </w:r>
      <w:r>
        <w:rPr>
          <w:rFonts w:hint="eastAsia" w:ascii="宋体" w:hAnsi="宋体" w:eastAsia="宋体" w:cs="宋体"/>
          <w:sz w:val="24"/>
        </w:rPr>
        <w:t>确认，</w:t>
      </w:r>
      <w:r>
        <w:rPr>
          <w:rFonts w:hint="eastAsia" w:ascii="宋体" w:hAnsi="宋体" w:cs="宋体"/>
          <w:sz w:val="24"/>
          <w:lang w:eastAsia="zh-CN"/>
        </w:rPr>
        <w:t>投标人</w:t>
      </w:r>
      <w:r>
        <w:rPr>
          <w:rFonts w:hint="eastAsia" w:ascii="宋体" w:hAnsi="宋体" w:eastAsia="宋体" w:cs="宋体"/>
          <w:sz w:val="24"/>
        </w:rPr>
        <w:t>依据确认清单更新图纸。</w:t>
      </w:r>
    </w:p>
    <w:p w14:paraId="4D61B400">
      <w:pPr>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drawing>
          <wp:inline distT="0" distB="0" distL="0" distR="0">
            <wp:extent cx="4377690" cy="2557145"/>
            <wp:effectExtent l="0" t="0" r="11430" b="3175"/>
            <wp:docPr id="7" name="图片 7" descr="1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12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4377690" cy="2557145"/>
                    </a:xfrm>
                    <a:prstGeom prst="rect">
                      <a:avLst/>
                    </a:prstGeom>
                    <a:noFill/>
                    <a:ln>
                      <a:noFill/>
                    </a:ln>
                  </pic:spPr>
                </pic:pic>
              </a:graphicData>
            </a:graphic>
          </wp:inline>
        </w:drawing>
      </w:r>
    </w:p>
    <w:p w14:paraId="30B25F9A">
      <w:pPr>
        <w:pageBreakBefore w:val="0"/>
        <w:numPr>
          <w:ilvl w:val="0"/>
          <w:numId w:val="3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机械化设备控制方式：系统设计自动、手动和调试三种控制模式。</w:t>
      </w:r>
    </w:p>
    <w:p w14:paraId="1F68EA67">
      <w:pPr>
        <w:pageBreakBefore w:val="0"/>
        <w:widowControl/>
        <w:numPr>
          <w:ilvl w:val="0"/>
          <w:numId w:val="31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自动模式定义在正常生产状态下，设备无需人工干预，能够正确安全的全自动运行。一旦出现故障，设备应立即自动停止并报警，其他无关设备应正常运行。当故障被处理后，经人工确认复位，设备应继续自动开始运行。一旦系统被切换至其他模式，设备立即停止运行。</w:t>
      </w:r>
    </w:p>
    <w:p w14:paraId="6DBCFD4E">
      <w:pPr>
        <w:pageBreakBefore w:val="0"/>
        <w:widowControl/>
        <w:numPr>
          <w:ilvl w:val="0"/>
          <w:numId w:val="31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手动模式定义可操作动作应包含在自动模式下的所有动作，动作的条件应与自动情况时基本一致，唯一不同的是动作的发起不是来自于PLC，而是现场的维修操作人员。系统完全受自动运行模式下的基本动作条件约束，必须在不损坏物料和机械机构的前提下，符合控制联锁及安全信号互锁要求，允许人工手动操作设备自由动作。</w:t>
      </w:r>
    </w:p>
    <w:p w14:paraId="51BFBD3D">
      <w:pPr>
        <w:pageBreakBefore w:val="0"/>
        <w:widowControl/>
        <w:numPr>
          <w:ilvl w:val="0"/>
          <w:numId w:val="31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调试模式定义设备因开机前调试、故障或某些检修需求，需要进行一些带有一定危险因素的操作，将系统的操作切换至调试模式使用，该模式仅由设备工程师通过密钥获得控制权限。系统对一些通常的控制联锁信号进行屏蔽，允许人工手动操作设备机械机构自由动作，该模式下仍受设备自身安全检测信号保护控制。基于该模式下设备所有的运动速度必需使用慢速，并且所有操作必需为点动，即做到手离开操作面板或按钮设备运行即停止。</w:t>
      </w:r>
    </w:p>
    <w:p w14:paraId="322AC2F6">
      <w:pPr>
        <w:pageBreakBefore w:val="0"/>
        <w:numPr>
          <w:ilvl w:val="0"/>
          <w:numId w:val="31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身在输送系统中的升降、举升、水平移载、旋转、移行、道岔分合流、定位等工位，以及滑橇检修工位，必须要求设置现场手动操作箱/柜，其他输送设备手动操作盒按照现场布置、方便操作的原则进行设计，操作面板要求设置钥匙开关、操作按钮和状态指示灯等。</w:t>
      </w:r>
    </w:p>
    <w:p w14:paraId="044EF992">
      <w:pPr>
        <w:pageBreakBefore w:val="0"/>
        <w:numPr>
          <w:ilvl w:val="0"/>
          <w:numId w:val="31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PLC控制柜设置12寸HMI，用于显示系统设备状态信息和车间内各项生产信息。现场操作柜设置按钮和柱状指示灯，用于显示区域内设备状态信息。生产线各工艺段每个工艺装配工位均要求设置暂停按钮和工位状态信号灯，交叉布置。</w:t>
      </w:r>
    </w:p>
    <w:p w14:paraId="5412EC46">
      <w:pPr>
        <w:pageBreakBefore w:val="0"/>
        <w:numPr>
          <w:ilvl w:val="0"/>
          <w:numId w:val="31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械化设备调速变频控制：输送系统所有变频器通过工业以太网现场总线与PLC通讯连接。变频器要求配置操作面板，便于调试、监控、变更参数时的手动操作。当柜内变频器布置数量＞3台时，操作面板配置数量要求为3块/柜。涂装机械化输送系统包含但不限于以下设备要求：采用变频调速控制，工艺输送及升降等关键设备的驱动的变频器选型要求比电机选型功率大一级（选型合理）。</w:t>
      </w:r>
    </w:p>
    <w:p w14:paraId="71347748">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车身转接工位辊床、升降机、叉式移载机、举升设备、移行设备、旋转设备。</w:t>
      </w:r>
    </w:p>
    <w:p w14:paraId="0E1F416B">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各工艺段输送链和辊床。</w:t>
      </w:r>
    </w:p>
    <w:p w14:paraId="4E2EA5FB">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进入移行、旋转设备前的辊床，与升降机转接工位前后相交接工位的辊床。</w:t>
      </w:r>
    </w:p>
    <w:p w14:paraId="6F10BEE2">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存储区各进出口辊床。</w:t>
      </w:r>
    </w:p>
    <w:p w14:paraId="78CE00FE">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人工操作工位辊床。</w:t>
      </w:r>
    </w:p>
    <w:p w14:paraId="6953A429">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输送系统中条形码识别和RFID读写工位辊床或摩擦驱动。</w:t>
      </w:r>
    </w:p>
    <w:p w14:paraId="668CE96B">
      <w:pPr>
        <w:pageBreakBefore w:val="0"/>
        <w:widowControl/>
        <w:numPr>
          <w:ilvl w:val="0"/>
          <w:numId w:val="318"/>
        </w:numPr>
        <w:tabs>
          <w:tab w:val="left" w:pos="0"/>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滑橇检修工位辊床。</w:t>
      </w:r>
    </w:p>
    <w:p w14:paraId="6BE9182A">
      <w:pPr>
        <w:pageBreakBefore w:val="0"/>
        <w:numPr>
          <w:ilvl w:val="0"/>
          <w:numId w:val="3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人机界面HMI：涂装机械化输送系统各操作柜要求配置12寸HMI，具体布置方案由双方商定评审确认，以达到对全线机械化输送系统操作、状态信息及故障查询方便为准</w:t>
      </w:r>
      <w:bookmarkStart w:id="250" w:name="OLE_LINK17"/>
      <w:r>
        <w:rPr>
          <w:rFonts w:hint="eastAsia" w:ascii="宋体" w:hAnsi="宋体" w:eastAsia="宋体" w:cs="宋体"/>
          <w:sz w:val="24"/>
        </w:rPr>
        <w:t>，按实际数量配置到位</w:t>
      </w:r>
      <w:bookmarkEnd w:id="250"/>
      <w:r>
        <w:rPr>
          <w:rFonts w:hint="eastAsia" w:ascii="宋体" w:hAnsi="宋体" w:eastAsia="宋体" w:cs="宋体"/>
          <w:sz w:val="24"/>
        </w:rPr>
        <w:t>。HMI通过工业以太网现场总线与PLC通讯连接，具备对系统运行状态的监控、分布式设备的参数调整设定、数据载体中的车型信息显示，故障报警记录以及其他图形化数据监控的功能。并且通过设置操作口令，实现对系统相关特殊功能的管理（如数据载体信息写入和设备控制</w:t>
      </w:r>
      <w:bookmarkStart w:id="251" w:name="OLE_LINK14"/>
      <w:r>
        <w:rPr>
          <w:rFonts w:hint="eastAsia" w:ascii="宋体" w:hAnsi="宋体" w:eastAsia="宋体" w:cs="宋体"/>
          <w:sz w:val="24"/>
        </w:rPr>
        <w:t>旁通应急</w:t>
      </w:r>
      <w:bookmarkEnd w:id="251"/>
      <w:r>
        <w:rPr>
          <w:rFonts w:hint="eastAsia" w:ascii="宋体" w:hAnsi="宋体" w:eastAsia="宋体" w:cs="宋体"/>
          <w:sz w:val="24"/>
        </w:rPr>
        <w:t>功能，旁通应急可屏蔽联锁信号等）。HMI功能画面应包含以下具体内容：系统主页面、设备概况（包括区域总览、转挂等特殊工位设备的传感器位图及状态显示、设备节拍、系统交换信号）、设备控制操作、网络拓扑图及其节点设备通讯状态显示、重要事件显示、故障报警及故障原因（如设备超行程故障、设备运行超时、变频器故障、系统紧急停运）等。</w:t>
      </w:r>
    </w:p>
    <w:p w14:paraId="6005583D">
      <w:pPr>
        <w:pageBreakBefore w:val="0"/>
        <w:numPr>
          <w:ilvl w:val="0"/>
          <w:numId w:val="3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远程控制：系统各控制组按需设计现场远程控制箱，箱内设置分布式I/O模块、断路器、直流电源模块等。现场开关、传感器等需先接入分线盒（有LED信号指示功能，品牌与传感器保持一致），分线盒与设备就近布置，集线后接入远程控制箱。自动车身识别系统：依据工艺和生产使用及输送控制要求，系统设置使用相应数量的RFID硬件，目前暂定数量16套读写头和1个手持式读写设备（手持式读写设备只提供硬件），读写头具体布置方案由双方商定评审确认，按实际数量配置到位。读写头通过工业以太网现场总线与PLC控制器建立通讯连接，配合PLC控制和上位机系统实现车身信息物流跟踪、生产过程控制、状态信息管理等。电泳滑橇、面漆滑橇及PVC吊具均必须配置数据载体，数据载体中包含该车身物料信息和载具号等。</w:t>
      </w:r>
    </w:p>
    <w:p w14:paraId="46F74008">
      <w:pPr>
        <w:pageBreakBefore w:val="0"/>
        <w:numPr>
          <w:ilvl w:val="0"/>
          <w:numId w:val="31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52" w:name="_Toc226802304"/>
      <w:bookmarkStart w:id="253" w:name="_Toc242308918"/>
      <w:bookmarkStart w:id="254" w:name="_Toc242330583"/>
      <w:r>
        <w:rPr>
          <w:rFonts w:hint="eastAsia" w:ascii="宋体" w:hAnsi="宋体" w:eastAsia="宋体" w:cs="宋体"/>
          <w:sz w:val="24"/>
        </w:rPr>
        <w:t>涂装车间识别系统现场操作站</w:t>
      </w:r>
      <w:bookmarkEnd w:id="252"/>
      <w:bookmarkEnd w:id="253"/>
      <w:bookmarkEnd w:id="254"/>
    </w:p>
    <w:p w14:paraId="348687DA">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系统中现场</w:t>
      </w:r>
      <w:r>
        <w:rPr>
          <w:rFonts w:hint="eastAsia" w:ascii="宋体" w:hAnsi="宋体" w:eastAsia="宋体" w:cs="宋体"/>
          <w:sz w:val="24"/>
          <w:szCs w:val="24"/>
          <w:lang w:val="en-US"/>
        </w:rPr>
        <w:t>RFID数据交互</w:t>
      </w:r>
      <w:r>
        <w:rPr>
          <w:rFonts w:hint="eastAsia" w:ascii="宋体" w:hAnsi="宋体" w:eastAsia="宋体" w:cs="宋体"/>
          <w:sz w:val="24"/>
          <w:szCs w:val="24"/>
        </w:rPr>
        <w:t>操作站，配置独立的主机与显示器，对接MES数据（具体数量和安装位置根据现场情况</w:t>
      </w:r>
      <w:r>
        <w:rPr>
          <w:rFonts w:hint="eastAsia" w:ascii="宋体" w:hAnsi="宋体" w:cs="宋体"/>
          <w:sz w:val="24"/>
          <w:szCs w:val="24"/>
          <w:lang w:eastAsia="zh-CN"/>
        </w:rPr>
        <w:t>招标人</w:t>
      </w:r>
      <w:r>
        <w:rPr>
          <w:rFonts w:hint="eastAsia" w:ascii="宋体" w:hAnsi="宋体" w:eastAsia="宋体" w:cs="宋体"/>
          <w:sz w:val="24"/>
          <w:szCs w:val="24"/>
        </w:rPr>
        <w:t>确认，</w:t>
      </w:r>
      <w:r>
        <w:rPr>
          <w:rFonts w:hint="eastAsia" w:ascii="宋体" w:hAnsi="宋体" w:cs="宋体"/>
          <w:sz w:val="24"/>
          <w:szCs w:val="24"/>
          <w:lang w:eastAsia="zh-CN"/>
        </w:rPr>
        <w:t>投标人</w:t>
      </w:r>
      <w:r>
        <w:rPr>
          <w:rFonts w:hint="eastAsia" w:ascii="宋体" w:hAnsi="宋体" w:eastAsia="宋体" w:cs="宋体"/>
          <w:sz w:val="24"/>
          <w:szCs w:val="24"/>
        </w:rPr>
        <w:t>施工），为现场的操作人员提供人机交互操作的功能。现场工作站具有标准的以太网接口，通过以太网与其所属的识别系统PLC进行通讯。同时安装有按钮和指示灯等元件，给现场的操作和维护人员提供了自动监视系统运行情况和手工进行读写操作的功能。</w:t>
      </w:r>
      <w:r>
        <w:rPr>
          <w:rFonts w:hint="eastAsia" w:ascii="宋体" w:hAnsi="宋体" w:eastAsia="宋体" w:cs="宋体"/>
        </w:rPr>
        <w:t>（</w:t>
      </w:r>
      <w:r>
        <w:rPr>
          <w:rFonts w:hint="eastAsia" w:ascii="宋体" w:hAnsi="宋体" w:eastAsia="宋体" w:cs="宋体"/>
          <w:lang w:val="en-US"/>
        </w:rPr>
        <w:t>触摸屏及操作站利旧</w:t>
      </w:r>
      <w:r>
        <w:rPr>
          <w:rFonts w:hint="eastAsia" w:ascii="宋体" w:hAnsi="宋体" w:eastAsia="宋体" w:cs="宋体"/>
        </w:rPr>
        <w:t>）</w:t>
      </w:r>
    </w:p>
    <w:p w14:paraId="29F4D704">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通过现场工作站可实现的主要功能包括：</w:t>
      </w:r>
    </w:p>
    <w:p w14:paraId="1AFAF304">
      <w:pPr>
        <w:pageBreakBefore w:val="0"/>
        <w:numPr>
          <w:ilvl w:val="0"/>
          <w:numId w:val="32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车身信息显示</w:t>
      </w:r>
    </w:p>
    <w:p w14:paraId="59129D37">
      <w:pPr>
        <w:pageBreakBefore w:val="0"/>
        <w:numPr>
          <w:ilvl w:val="0"/>
          <w:numId w:val="32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运行监控</w:t>
      </w:r>
    </w:p>
    <w:p w14:paraId="6A0AAB96">
      <w:pPr>
        <w:pageBreakBefore w:val="0"/>
        <w:numPr>
          <w:ilvl w:val="0"/>
          <w:numId w:val="32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RFID 载码体格式化、清空、测试等手工操作</w:t>
      </w:r>
    </w:p>
    <w:p w14:paraId="344B4D05">
      <w:pPr>
        <w:pageBreakBefore w:val="0"/>
        <w:numPr>
          <w:ilvl w:val="0"/>
          <w:numId w:val="32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故障报警提示和故障维护</w:t>
      </w:r>
    </w:p>
    <w:p w14:paraId="3725CD6A">
      <w:pPr>
        <w:pageBreakBefore w:val="0"/>
        <w:numPr>
          <w:ilvl w:val="0"/>
          <w:numId w:val="32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RFID读写站配置及管理功能</w:t>
      </w:r>
      <w:bookmarkStart w:id="255" w:name="_Toc242308919"/>
      <w:bookmarkStart w:id="256" w:name="_Toc242330584"/>
      <w:bookmarkStart w:id="257" w:name="_Toc226802305"/>
    </w:p>
    <w:p w14:paraId="737F563B">
      <w:pPr>
        <w:pageBreakBefore w:val="0"/>
        <w:numPr>
          <w:ilvl w:val="0"/>
          <w:numId w:val="32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涂装车间识别系统上位监控和管理</w:t>
      </w:r>
      <w:bookmarkEnd w:id="255"/>
      <w:bookmarkEnd w:id="256"/>
      <w:bookmarkEnd w:id="257"/>
    </w:p>
    <w:p w14:paraId="4409386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上位系统包括服务器、不间断电源等设备，上位管理软件和报表操作功能主要包括：</w:t>
      </w:r>
    </w:p>
    <w:p w14:paraId="32F021F5">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车身信息查询</w:t>
      </w:r>
    </w:p>
    <w:p w14:paraId="3EB8DF55">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每个扫描站的信息记录及报表统计</w:t>
      </w:r>
    </w:p>
    <w:p w14:paraId="03C15294">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bCs/>
          <w:sz w:val="24"/>
        </w:rPr>
        <w:t>接受来自工厂MES系统的车身数据，能够自动写入滑橇RFID存储</w:t>
      </w:r>
    </w:p>
    <w:p w14:paraId="4A5C96AD">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生产信息的报表统计和查询</w:t>
      </w:r>
    </w:p>
    <w:p w14:paraId="04159D61">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 系统实时监控，图形化显示AVI系统的配置及运行情况</w:t>
      </w:r>
    </w:p>
    <w:p w14:paraId="371DD189">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AVI系统服务器中存储一定时间内的车身过点信息</w:t>
      </w:r>
    </w:p>
    <w:p w14:paraId="436015DC">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AVI与MES交互异常时，要有报警机制</w:t>
      </w:r>
    </w:p>
    <w:p w14:paraId="0CB531E8">
      <w:pPr>
        <w:pageBreakBefore w:val="0"/>
        <w:numPr>
          <w:ilvl w:val="0"/>
          <w:numId w:val="32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载码体及读写控制器要求</w:t>
      </w:r>
    </w:p>
    <w:p w14:paraId="6BDBB54E">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载码体的数量根据设计时确定。</w:t>
      </w:r>
    </w:p>
    <w:p w14:paraId="0D1EB715">
      <w:pPr>
        <w:pStyle w:val="210"/>
        <w:pageBreakBefore w:val="0"/>
        <w:numPr>
          <w:ilvl w:val="0"/>
          <w:numId w:val="3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工作环境温度0℃～200℃，要求载码体耐温220℃</w:t>
      </w:r>
    </w:p>
    <w:p w14:paraId="6CB0D7DE">
      <w:pPr>
        <w:pStyle w:val="210"/>
        <w:pageBreakBefore w:val="0"/>
        <w:numPr>
          <w:ilvl w:val="0"/>
          <w:numId w:val="3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写入次数不少于10万次</w:t>
      </w:r>
    </w:p>
    <w:p w14:paraId="005B4A83">
      <w:pPr>
        <w:pStyle w:val="210"/>
        <w:pageBreakBefore w:val="0"/>
        <w:numPr>
          <w:ilvl w:val="0"/>
          <w:numId w:val="3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 xml:space="preserve">防护等级要求为IP67 </w:t>
      </w:r>
    </w:p>
    <w:p w14:paraId="35D83A60">
      <w:pPr>
        <w:pStyle w:val="210"/>
        <w:pageBreakBefore w:val="0"/>
        <w:numPr>
          <w:ilvl w:val="0"/>
          <w:numId w:val="3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应能安装在滑橇上</w:t>
      </w:r>
    </w:p>
    <w:p w14:paraId="4238945D">
      <w:pPr>
        <w:pStyle w:val="210"/>
        <w:pageBreakBefore w:val="0"/>
        <w:numPr>
          <w:ilvl w:val="0"/>
          <w:numId w:val="3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存储容量不低于128byte</w:t>
      </w:r>
    </w:p>
    <w:p w14:paraId="346D2BF6">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2）、读写控制器：</w:t>
      </w:r>
    </w:p>
    <w:p w14:paraId="49A979F6">
      <w:pPr>
        <w:pStyle w:val="210"/>
        <w:pageBreakBefore w:val="0"/>
        <w:numPr>
          <w:ilvl w:val="0"/>
          <w:numId w:val="3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防护等级不低于IP66</w:t>
      </w:r>
    </w:p>
    <w:p w14:paraId="5EB07D67">
      <w:pPr>
        <w:pStyle w:val="210"/>
        <w:pageBreakBefore w:val="0"/>
        <w:numPr>
          <w:ilvl w:val="0"/>
          <w:numId w:val="3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集成网络模块</w:t>
      </w:r>
    </w:p>
    <w:p w14:paraId="5DC756A9">
      <w:pPr>
        <w:pStyle w:val="210"/>
        <w:pageBreakBefore w:val="0"/>
        <w:numPr>
          <w:ilvl w:val="0"/>
          <w:numId w:val="3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内置天线</w:t>
      </w:r>
    </w:p>
    <w:p w14:paraId="7EE25543">
      <w:pPr>
        <w:pStyle w:val="210"/>
        <w:pageBreakBefore w:val="0"/>
        <w:numPr>
          <w:ilvl w:val="0"/>
          <w:numId w:val="3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读写成功率99.9%以上</w:t>
      </w:r>
    </w:p>
    <w:p w14:paraId="34BBDB94">
      <w:pPr>
        <w:pStyle w:val="210"/>
        <w:pageBreakBefore w:val="0"/>
        <w:numPr>
          <w:ilvl w:val="0"/>
          <w:numId w:val="3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对读写要进行校验和报警</w:t>
      </w:r>
    </w:p>
    <w:p w14:paraId="72EB2FCF">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安全控制：</w:t>
      </w:r>
      <w:r>
        <w:rPr>
          <w:rFonts w:hint="eastAsia" w:ascii="宋体" w:hAnsi="宋体" w:cs="宋体"/>
          <w:sz w:val="24"/>
          <w:szCs w:val="24"/>
          <w:lang w:eastAsia="zh-CN"/>
        </w:rPr>
        <w:t>投标人</w:t>
      </w:r>
      <w:r>
        <w:rPr>
          <w:rFonts w:hint="eastAsia" w:ascii="宋体" w:hAnsi="宋体" w:eastAsia="宋体" w:cs="宋体"/>
          <w:sz w:val="24"/>
          <w:szCs w:val="24"/>
        </w:rPr>
        <w:t>必须负责在系统内所有危险区域提供并安装能够实现安全防护功能的硬件。升降转接工位安全检测：所有升降转接工位各层所属区域设置使用安全光幕、安全门锁和急停按钮，各工艺段间歇运行人工操作工位设置安全区域扫描设备，一旦检测人员进入上述区域，系统应立即激活设备停运功能，停止该区域内的所有设备以保证人员的生命安全，上述安全信号进入安全模块。</w:t>
      </w:r>
    </w:p>
    <w:p w14:paraId="6A1CD760">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急停：系统除在各控制柜和转接设备操作箱设置紧急停止开关外，沿生产线、转运线同样布置有紧急停止开关，生产线人工操作段每两个工位布置一个，转运输送线每个手动操作盒布置一个；急停开关信号通过常闭点的串联，直接控制车身转接工位设备或与之相关联生产线输送设备的动能关断，同时设计使用急停开关常开点，将生产线各急停开关信号接入安全模块，急停信号作为独立的输入点供PLC信号采集、程序编写使用。</w:t>
      </w:r>
    </w:p>
    <w:p w14:paraId="076F21D8">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超限位保护：升降、举升、旋转、随动、移行等关键设备，必须设计有机械和电气的超行程检测、限位和过载保护。车身转接工位需设计有车身到位检测功能，避免因车身未正常放置到位，导致车身转接定位不准、设备转接时与车身出现干涉等情况。</w:t>
      </w:r>
    </w:p>
    <w:p w14:paraId="4AAFF723">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升降机失速保护：输送系统升降机驱动要求配置编码器，设计有防失速保护功能，当检测到升降机失速坠落情况发生，应立即激活升降机失速停运功能。</w:t>
      </w:r>
    </w:p>
    <w:p w14:paraId="3111AB15">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PLC与PLC间交互：涂装车间内机械化输送设备各控制组之间通讯、机械化输送设备与工艺设备之间通讯采用以通信耦合器实现设备层现场总线网络连接，进行数据传递和联锁信号交换。涂装机械化和BDC之间通过通信耦合器实现数据传递和联锁信号交换。通信耦合器由涂装总包</w:t>
      </w:r>
      <w:r>
        <w:rPr>
          <w:rFonts w:hint="eastAsia" w:ascii="宋体" w:hAnsi="宋体" w:cs="宋体"/>
          <w:sz w:val="24"/>
          <w:szCs w:val="24"/>
          <w:lang w:eastAsia="zh-CN"/>
        </w:rPr>
        <w:t>投标人</w:t>
      </w:r>
      <w:r>
        <w:rPr>
          <w:rFonts w:hint="eastAsia" w:ascii="宋体" w:hAnsi="宋体" w:eastAsia="宋体" w:cs="宋体"/>
          <w:sz w:val="24"/>
          <w:szCs w:val="24"/>
        </w:rPr>
        <w:t>实施。</w:t>
      </w:r>
    </w:p>
    <w:p w14:paraId="1504E340">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柜设计：控制柜要求安装柱状声光报警装置，用于显示系统的运行状态，柜内设有照明装置。控制柜设有动能线路通断开关，控制线路上设置隔离变压器；控制柜内元器件组装顺序应由左至右，由上至下，分别是：</w:t>
      </w:r>
    </w:p>
    <w:p w14:paraId="686AB457">
      <w:pPr>
        <w:pageBreakBefore w:val="0"/>
        <w:widowControl/>
        <w:numPr>
          <w:ilvl w:val="0"/>
          <w:numId w:val="32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电力母线系统、隔离开关、断路器；</w:t>
      </w:r>
    </w:p>
    <w:p w14:paraId="2EC06CA4">
      <w:pPr>
        <w:pageBreakBefore w:val="0"/>
        <w:widowControl/>
        <w:numPr>
          <w:ilvl w:val="0"/>
          <w:numId w:val="32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中间继电器、辅助继电器；</w:t>
      </w:r>
    </w:p>
    <w:p w14:paraId="63CCFAE3">
      <w:pPr>
        <w:pageBreakBefore w:val="0"/>
        <w:widowControl/>
        <w:numPr>
          <w:ilvl w:val="0"/>
          <w:numId w:val="32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接触器、变频器</w:t>
      </w:r>
    </w:p>
    <w:p w14:paraId="716AC616">
      <w:pPr>
        <w:pageBreakBefore w:val="0"/>
        <w:widowControl/>
        <w:numPr>
          <w:ilvl w:val="0"/>
          <w:numId w:val="32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接线端子。</w:t>
      </w:r>
    </w:p>
    <w:p w14:paraId="3221A2CE">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元器件的接线方式要遵循上进下出原则。同一型号产品应保证组装的一致性，并充分满足维修及安装对空间的要求，且预留15％的安装空间。电控柜、接线箱面门上操作开关及指示灯的开孔需预留15％的备用，所有带PLC的控制柜和内置大功率变频器（≥7.5KW）或多个变频器（≥3 个）的控制柜必须安装挂壁式空调，且配备专用的冷凝水蒸发装器用于蒸发冷凝水。配置有PLC的电控柜需设置托架式台面，以便日常系统维护使用。</w:t>
      </w:r>
    </w:p>
    <w:p w14:paraId="1EB337DB">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现场有轻微震动与摩擦的场合应选用耐磨电缆。激光测距、编码器检测、条码位置识别等应用场合要求选用屏蔽电缆。在水平或垂直移动的场合应使用进口特柔电缆。所有移动电缆的两端要求使用快速接头和插座进行连接。现场各传感器元件包括接近开关，光电开关等的安装接线要求使用预制电缆，通过M12快接。插头进行连接，以便于故障维修时的检查和操作，选型与开关品牌保持一致。在容易产生摩擦和缠绕的场合必须使用拖链对电缆进行保护，拖链两端口应使用专用的压板，压紧电缆防止电缆在拖链中产生移动造成磨损。</w:t>
      </w:r>
    </w:p>
    <w:p w14:paraId="7C14EF8F">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系统备用预留：系统完全调试结束后，各控制柜、箱内I/O模块点数须各预留15%的余量。PLC存储卡空间预留20%的余量，为以后的程序扩展预留发展余地。HMI内存预留20%余量。</w:t>
      </w:r>
    </w:p>
    <w:p w14:paraId="1F5481A0">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一次电源，</w:t>
      </w:r>
      <w:r>
        <w:rPr>
          <w:rFonts w:hint="eastAsia" w:ascii="宋体" w:hAnsi="宋体" w:cs="宋体"/>
          <w:sz w:val="24"/>
          <w:szCs w:val="24"/>
          <w:lang w:eastAsia="zh-CN"/>
        </w:rPr>
        <w:t>投标人</w:t>
      </w:r>
      <w:r>
        <w:rPr>
          <w:rFonts w:hint="eastAsia" w:ascii="宋体" w:hAnsi="宋体" w:eastAsia="宋体" w:cs="宋体"/>
          <w:sz w:val="24"/>
          <w:szCs w:val="24"/>
        </w:rPr>
        <w:t>自行从</w:t>
      </w:r>
      <w:r>
        <w:rPr>
          <w:rFonts w:hint="eastAsia" w:ascii="宋体" w:hAnsi="宋体" w:cs="宋体"/>
          <w:sz w:val="24"/>
          <w:szCs w:val="24"/>
          <w:lang w:eastAsia="zh-CN"/>
        </w:rPr>
        <w:t>招标人</w:t>
      </w:r>
      <w:r>
        <w:rPr>
          <w:rFonts w:hint="eastAsia" w:ascii="宋体" w:hAnsi="宋体" w:eastAsia="宋体" w:cs="宋体"/>
          <w:sz w:val="24"/>
          <w:szCs w:val="24"/>
        </w:rPr>
        <w:t>动力电源预留点取电及安装。</w:t>
      </w:r>
    </w:p>
    <w:p w14:paraId="28D460DC">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控制电源：项目上所有网络电源与控制电源，模块输入和输出必须分开设计，单独控制。</w:t>
      </w:r>
    </w:p>
    <w:p w14:paraId="73B1367B">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项目使用的线槽、桥架、各开关支架，采用国优产品。</w:t>
      </w:r>
    </w:p>
    <w:p w14:paraId="3EB463CC">
      <w:pPr>
        <w:pageBreakBefore w:val="0"/>
        <w:numPr>
          <w:ilvl w:val="0"/>
          <w:numId w:val="32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电气控制系统施工要求：</w:t>
      </w:r>
    </w:p>
    <w:p w14:paraId="6EF64154">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本项目设备电气系统安装包括所有电柜、控制柜、操作柜的配制、以及各种电线、电缆、线槽、线管及支架、吊架等材料的铺设和安装连接。设计和安装时必须严格按照电控系统及各元器件设计、安装技术规范，确保满足实际使用效果及现场安全使用要求，在不满足</w:t>
      </w:r>
      <w:r>
        <w:rPr>
          <w:rFonts w:hint="eastAsia" w:ascii="宋体" w:hAnsi="宋体" w:cs="宋体"/>
          <w:sz w:val="24"/>
          <w:szCs w:val="24"/>
          <w:lang w:eastAsia="zh-CN"/>
        </w:rPr>
        <w:t>招标人</w:t>
      </w:r>
      <w:r>
        <w:rPr>
          <w:rFonts w:hint="eastAsia" w:ascii="宋体" w:hAnsi="宋体" w:eastAsia="宋体" w:cs="宋体"/>
          <w:sz w:val="24"/>
          <w:szCs w:val="24"/>
        </w:rPr>
        <w:t>技术要求的情况下</w:t>
      </w:r>
      <w:r>
        <w:rPr>
          <w:rFonts w:hint="eastAsia" w:ascii="宋体" w:hAnsi="宋体" w:cs="宋体"/>
          <w:sz w:val="24"/>
          <w:szCs w:val="24"/>
          <w:lang w:eastAsia="zh-CN"/>
        </w:rPr>
        <w:t>投标人</w:t>
      </w:r>
      <w:r>
        <w:rPr>
          <w:rFonts w:hint="eastAsia" w:ascii="宋体" w:hAnsi="宋体" w:eastAsia="宋体" w:cs="宋体"/>
          <w:sz w:val="24"/>
          <w:szCs w:val="24"/>
        </w:rPr>
        <w:t>需无条件整改。</w:t>
      </w:r>
    </w:p>
    <w:p w14:paraId="01D8010E">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地面主控电柜接线均采用下进下出方式，连接点全面保护，防止人接触。设备电控柜、箱发运前元器件安装和接线应完毕，布线要求横平竖直，整齐美观。电控柜、箱现场安装应当垂直固定在开放和可以进入的地点，并在工艺和物流区之外；放置固定后，面门打开至少应有135°的角度。</w:t>
      </w:r>
    </w:p>
    <w:p w14:paraId="2EC77647">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开关、传感器应当安装在远离潮湿、油污和铁屑掉落的地方；所有的开关和传感器应当安装在开阔地方，以便人员维修操作和检查；开关和传感器安装后其工作指示灯应当便于目视；接线应优先选用快插接头接线方式。</w:t>
      </w:r>
    </w:p>
    <w:p w14:paraId="4BB00447">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线路：动力线路布线应设计选用不小于1.5mm²线缆、220V控制线路布线应设计选用不小于1.0mm²线缆、24V控制线路布线应设计选用不小于0.75mm²线缆。对抗干扰要求的电缆线路，应采取抗干扰措施。其中动力电缆与控制电缆、信号电缆或不同使用部门的电缆间在线槽内应穿管或用隔板隔离，分开敷设，必要时信号电缆要穿管隔离放置于线槽内或单独走线槽，以防止干扰，现场施工严禁把控制电源与网络电源混接；线槽内线缆的填充率：电力电缆≤40%，控制电缆≤50%。线缆的固定应在首末两端及转弯、电缆接头的两端处。升降机、移行机、旋转辊床等移动设备，要求选用进口高柔性电缆进行控制信号和动力连接，实际网络布线必须与图纸网络图相一致。 </w:t>
      </w:r>
    </w:p>
    <w:p w14:paraId="4DEAE9A5">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线槽、线管：金属线槽及其附件的材质采用厚度≥2mm的钢板，表面镀白锌处理，其规格、型号应符合设计要求，并有合格证。线槽内外光滑平整、无棱刺，线槽无扭曲、翘边等变形现象，且设有可拆装方便的带锁扣盖板。弯头、三通、变径等过渡处必须采用标准件，不得切割、焊接。线槽接口应平整，接缝处应紧密平直。线槽盖装上后应平整，无翘角，出线口的位置准确。保护接地线应根据设计要求固定敷设在线槽同一侧，接地处螺丝直径不应小于6mm，并且需要加平垫和弹簧垫圈。线缆于线槽出口处应加橡胶垫圈，以防止摩擦损坏线缆绝缘层；金属电缆管不应有严重锈蚀，塑料电缆管应有满足电缆线路敷设条件所需保护性能的品质证明。在易受机械损伤的地方和在受力较大处，应选用足够强度的管材。电缆管不应有穿孔、裂缝和显著地凹凸不平，内壁应光滑，管口应无毛刺和尖锐棱角。电缆管弯制后，不应有裂缝和显著地凹瘪现象，其弯扁程度不宜大于管子外径的10%,电缆管的弯曲半径不应小于所穿入电缆的最小允许弯曲半径，无防腐措施的金属电缆管应在外表涂防腐漆。 </w:t>
      </w:r>
    </w:p>
    <w:p w14:paraId="52A30BB7">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线缆连接及线号：线缆连接在控制柜、箱中不允许有线接头；控制电缆终端头应有防潮绝缘措施，建议采用热缩型。所有的设备在安装接线过程中应当留有至少10%的备用线；当设备发运时，</w:t>
      </w:r>
      <w:r>
        <w:rPr>
          <w:rFonts w:hint="eastAsia" w:ascii="宋体" w:hAnsi="宋体" w:cs="宋体"/>
          <w:sz w:val="24"/>
          <w:szCs w:val="24"/>
          <w:lang w:eastAsia="zh-CN"/>
        </w:rPr>
        <w:t>投标人</w:t>
      </w:r>
      <w:r>
        <w:rPr>
          <w:rFonts w:hint="eastAsia" w:ascii="宋体" w:hAnsi="宋体" w:eastAsia="宋体" w:cs="宋体"/>
          <w:sz w:val="24"/>
          <w:szCs w:val="24"/>
        </w:rPr>
        <w:t>对于15m或更短的电缆至少提供5%的长度余量。所有没有屏蔽要求的电缆离开控制柜前必须先连接至端子排；电线在端子排上应当以数字顺序排列连接，同时所有备用的I/O 点也应当接至设备的端子排上；这些电缆连接线于端子排（或元器件）进出端必须使用线号标出其标识编号，线号管要求从线的起点到终点保持一致，不得使用手写标注，采用自动线号机制作，标记清楚不脱落。</w:t>
      </w:r>
    </w:p>
    <w:p w14:paraId="3411928E">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标识：电控柜、箱内元器件及系统所有的电磁阀、限位开关、接近开关等均要求设有标签，标签字母要求5—7mm高；选择开关、按钮、指示灯等标签应当包括I/O 地址，功能和手动操作的顺序号；电器、电缆外接端子也应当使用标线牌标明其编号、名称、用途及起始位置，其标签内容应当使用粗体且字体清晰，与设计图纸相符，不允许使用胶水粘接。</w:t>
      </w:r>
    </w:p>
    <w:p w14:paraId="11F73472">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主控柜、PLC主柜、操作柜等选型参照选型清单执行。箱门采用厚度为2mm，箱体采用厚度为1.5mm的钢板制作，安装板采用厚度为2.5mm的镀锌钢板制作，</w:t>
      </w:r>
      <w:r>
        <w:rPr>
          <w:rFonts w:hint="eastAsia" w:ascii="宋体" w:hAnsi="宋体" w:eastAsia="宋体" w:cs="宋体"/>
          <w:sz w:val="24"/>
          <w:szCs w:val="24"/>
          <w:lang w:val="en-US"/>
        </w:rPr>
        <w:t>800</w:t>
      </w:r>
      <w:r>
        <w:rPr>
          <w:rFonts w:hint="eastAsia" w:ascii="宋体" w:hAnsi="宋体" w:eastAsia="宋体" w:cs="宋体"/>
          <w:sz w:val="24"/>
          <w:szCs w:val="24"/>
        </w:rPr>
        <w:t>mm以内为单开门，大于500mm为双开门设计。</w:t>
      </w:r>
    </w:p>
    <w:p w14:paraId="50B05EF9">
      <w:pPr>
        <w:pStyle w:val="458"/>
        <w:pageBreakBefore w:val="0"/>
        <w:numPr>
          <w:ilvl w:val="0"/>
          <w:numId w:val="319"/>
        </w:numPr>
        <w:tabs>
          <w:tab w:val="clear" w:pos="42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现场所有电气元器件必须设置中文用途说明。</w:t>
      </w:r>
    </w:p>
    <w:p w14:paraId="3F433B3C">
      <w:pPr>
        <w:pageBreakBefore w:val="0"/>
        <w:numPr>
          <w:ilvl w:val="0"/>
          <w:numId w:val="32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程序设计及调试 </w:t>
      </w:r>
    </w:p>
    <w:p w14:paraId="1CD0C2BD">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程序设计要求，结构清晰，以模块化、标准化、程序块形式设计；可维护性强，便于阅读、理解。所有设备程序要求满足设备空运行验证试验要求，正式生产切换到正常程序运行。</w:t>
      </w:r>
    </w:p>
    <w:p w14:paraId="533D68A1">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所有I/O点及中间点必须注明便于理解的符号标识及中文说明。</w:t>
      </w:r>
    </w:p>
    <w:p w14:paraId="4D93FBBA">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每行程序要求有描述其实现功能的简要中文注释。</w:t>
      </w:r>
    </w:p>
    <w:p w14:paraId="4A60416D">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抗干扰信号通过具体程序模块可以有效地抵抗各种干扰信号，如：接触器动作迟缓、瞬时停电，避免系统误动作或误报警现象。</w:t>
      </w:r>
    </w:p>
    <w:p w14:paraId="6B8C4A60">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所有设备运行相关联动作程序，都必须设计联锁、互锁控制，前一动作经检测判断，确认完成后，下一动作才能开始，若出现异常则视为故障，输出报警记录。</w:t>
      </w:r>
    </w:p>
    <w:p w14:paraId="52B35918">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关键电气动作和隐蔽电气动作要求增加限时完成动作保护，保证系统可靠性。</w:t>
      </w:r>
    </w:p>
    <w:p w14:paraId="259CA18D">
      <w:pPr>
        <w:pageBreakBefore w:val="0"/>
        <w:numPr>
          <w:ilvl w:val="0"/>
          <w:numId w:val="3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与第三方厂家进行电气信号交接，由</w:t>
      </w:r>
      <w:r>
        <w:rPr>
          <w:rFonts w:hint="eastAsia" w:ascii="宋体" w:hAnsi="宋体" w:cs="宋体"/>
          <w:sz w:val="24"/>
          <w:lang w:eastAsia="zh-CN"/>
        </w:rPr>
        <w:t>投标人</w:t>
      </w:r>
      <w:r>
        <w:rPr>
          <w:rFonts w:hint="eastAsia" w:ascii="宋体" w:hAnsi="宋体" w:eastAsia="宋体" w:cs="宋体"/>
          <w:sz w:val="24"/>
        </w:rPr>
        <w:t>负责完成接取信号，</w:t>
      </w:r>
      <w:r>
        <w:rPr>
          <w:rFonts w:hint="eastAsia" w:ascii="宋体" w:hAnsi="宋体" w:cs="宋体"/>
          <w:sz w:val="24"/>
          <w:lang w:eastAsia="zh-CN"/>
        </w:rPr>
        <w:t>招标人</w:t>
      </w:r>
      <w:r>
        <w:rPr>
          <w:rFonts w:hint="eastAsia" w:ascii="宋体" w:hAnsi="宋体" w:eastAsia="宋体" w:cs="宋体"/>
          <w:sz w:val="24"/>
        </w:rPr>
        <w:t>协调第三方厂家进行必要技术配合。</w:t>
      </w:r>
    </w:p>
    <w:p w14:paraId="57A12C57">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bookmarkStart w:id="258" w:name="_Toc27006_WPSOffice_Level2"/>
      <w:r>
        <w:rPr>
          <w:rFonts w:hint="eastAsia" w:ascii="宋体" w:hAnsi="宋体" w:eastAsia="宋体" w:cs="宋体"/>
          <w:sz w:val="24"/>
          <w:szCs w:val="24"/>
        </w:rPr>
        <w:t>设备总体要求：</w:t>
      </w:r>
      <w:bookmarkEnd w:id="258"/>
    </w:p>
    <w:p w14:paraId="3EE76B16">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该项目为交钥匙工程，</w:t>
      </w:r>
      <w:r>
        <w:rPr>
          <w:rFonts w:hint="eastAsia" w:ascii="宋体" w:hAnsi="宋体" w:cs="宋体"/>
          <w:sz w:val="24"/>
          <w:lang w:eastAsia="zh-CN"/>
        </w:rPr>
        <w:t>投标人</w:t>
      </w:r>
      <w:r>
        <w:rPr>
          <w:rFonts w:hint="eastAsia" w:ascii="宋体" w:hAnsi="宋体" w:eastAsia="宋体" w:cs="宋体"/>
          <w:sz w:val="24"/>
        </w:rPr>
        <w:t>必须根据</w:t>
      </w:r>
      <w:r>
        <w:rPr>
          <w:rFonts w:hint="eastAsia" w:ascii="宋体" w:hAnsi="宋体" w:cs="宋体"/>
          <w:sz w:val="24"/>
          <w:lang w:eastAsia="zh-CN"/>
        </w:rPr>
        <w:t>招标人</w:t>
      </w:r>
      <w:r>
        <w:rPr>
          <w:rFonts w:hint="eastAsia" w:ascii="宋体" w:hAnsi="宋体" w:eastAsia="宋体" w:cs="宋体"/>
          <w:sz w:val="24"/>
        </w:rPr>
        <w:t>要求，按时、按质完成全套设备设计、制造、安装和调试，交与</w:t>
      </w:r>
      <w:r>
        <w:rPr>
          <w:rFonts w:hint="eastAsia" w:ascii="宋体" w:hAnsi="宋体" w:cs="宋体"/>
          <w:sz w:val="24"/>
          <w:lang w:eastAsia="zh-CN"/>
        </w:rPr>
        <w:t>招标人</w:t>
      </w:r>
      <w:r>
        <w:rPr>
          <w:rFonts w:hint="eastAsia" w:ascii="宋体" w:hAnsi="宋体" w:eastAsia="宋体" w:cs="宋体"/>
          <w:sz w:val="24"/>
        </w:rPr>
        <w:t>使用。项目实施过程中严格执行周计划、周总结。</w:t>
      </w:r>
    </w:p>
    <w:p w14:paraId="427496A0">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设计评审、图纸会签时需提供设备总图（含系统图，电柜布置图、电气原理图、安装接线图、现场电气平面布置图、升降机、摩擦驱动单元、双链摆杆系统、PVC吊具、小车组、轨道定位锁紧装置、检具等）和上述设备关键部件图、设备驱动电机选型计算说明书、以及转接工位设备节拍分析表，在</w:t>
      </w:r>
      <w:r>
        <w:rPr>
          <w:rFonts w:hint="eastAsia" w:ascii="宋体" w:hAnsi="宋体" w:cs="宋体"/>
          <w:sz w:val="24"/>
          <w:lang w:eastAsia="zh-CN"/>
        </w:rPr>
        <w:t>招标人</w:t>
      </w:r>
      <w:r>
        <w:rPr>
          <w:rFonts w:hint="eastAsia" w:ascii="宋体" w:hAnsi="宋体" w:eastAsia="宋体" w:cs="宋体"/>
          <w:sz w:val="24"/>
        </w:rPr>
        <w:t>对设备结构设计与技术参数确认后方可实施。同时</w:t>
      </w:r>
      <w:r>
        <w:rPr>
          <w:rFonts w:hint="eastAsia" w:ascii="宋体" w:hAnsi="宋体" w:cs="宋体"/>
          <w:sz w:val="24"/>
          <w:lang w:eastAsia="zh-CN"/>
        </w:rPr>
        <w:t>投标人</w:t>
      </w:r>
      <w:r>
        <w:rPr>
          <w:rFonts w:hint="eastAsia" w:ascii="宋体" w:hAnsi="宋体" w:eastAsia="宋体" w:cs="宋体"/>
          <w:sz w:val="24"/>
        </w:rPr>
        <w:t>须提供滑橇、PVC吊具制作方法、变形控制方法、变形校正方法及校正周期。</w:t>
      </w:r>
    </w:p>
    <w:p w14:paraId="42669C3D">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由于未进行施工设计，</w:t>
      </w:r>
      <w:r>
        <w:rPr>
          <w:rFonts w:hint="eastAsia" w:ascii="宋体" w:hAnsi="宋体" w:cs="宋体"/>
          <w:sz w:val="24"/>
          <w:lang w:eastAsia="zh-CN"/>
        </w:rPr>
        <w:t>投标人</w:t>
      </w:r>
      <w:r>
        <w:rPr>
          <w:rFonts w:hint="eastAsia" w:ascii="宋体" w:hAnsi="宋体" w:eastAsia="宋体" w:cs="宋体"/>
          <w:sz w:val="24"/>
        </w:rPr>
        <w:t>应以保证系统的正常运行和安全为原则提供具体的技术要求和清单，</w:t>
      </w:r>
      <w:r>
        <w:rPr>
          <w:rFonts w:hint="eastAsia" w:ascii="宋体" w:hAnsi="宋体" w:cs="宋体"/>
          <w:sz w:val="24"/>
          <w:lang w:eastAsia="zh-CN"/>
        </w:rPr>
        <w:t>投标人</w:t>
      </w:r>
      <w:r>
        <w:rPr>
          <w:rFonts w:hint="eastAsia" w:ascii="宋体" w:hAnsi="宋体" w:eastAsia="宋体" w:cs="宋体"/>
          <w:sz w:val="24"/>
        </w:rPr>
        <w:t>应对技术要求、清单的准确性负责。</w:t>
      </w:r>
    </w:p>
    <w:p w14:paraId="7D30EF2C">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设备出厂须附质量合格证书、《检验报告》及内容齐全的铭牌（中文）。设备必须从制造厂家发运，并附有生产厂家发货证明书，</w:t>
      </w:r>
      <w:r>
        <w:rPr>
          <w:rFonts w:hint="eastAsia" w:ascii="宋体" w:hAnsi="宋体" w:cs="宋体"/>
          <w:sz w:val="24"/>
          <w:lang w:eastAsia="zh-CN"/>
        </w:rPr>
        <w:t>投标人</w:t>
      </w:r>
      <w:r>
        <w:rPr>
          <w:rFonts w:hint="eastAsia" w:ascii="宋体" w:hAnsi="宋体" w:eastAsia="宋体" w:cs="宋体"/>
          <w:sz w:val="24"/>
        </w:rPr>
        <w:t>负责设备商检工作。</w:t>
      </w:r>
    </w:p>
    <w:p w14:paraId="7D63B18F">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所有设备在安装调试后必须符合</w:t>
      </w:r>
      <w:r>
        <w:rPr>
          <w:rFonts w:hint="eastAsia" w:ascii="宋体" w:hAnsi="宋体" w:cs="宋体"/>
          <w:sz w:val="24"/>
          <w:lang w:eastAsia="zh-CN"/>
        </w:rPr>
        <w:t>招标人</w:t>
      </w:r>
      <w:r>
        <w:rPr>
          <w:rFonts w:hint="eastAsia" w:ascii="宋体" w:hAnsi="宋体" w:eastAsia="宋体" w:cs="宋体"/>
          <w:sz w:val="24"/>
        </w:rPr>
        <w:t>提出的质量、规格和性能要求。</w:t>
      </w:r>
    </w:p>
    <w:p w14:paraId="27846FA2">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负责接线到</w:t>
      </w:r>
      <w:r>
        <w:rPr>
          <w:rFonts w:hint="eastAsia" w:ascii="宋体" w:hAnsi="宋体" w:cs="宋体"/>
          <w:sz w:val="24"/>
          <w:lang w:eastAsia="zh-CN"/>
        </w:rPr>
        <w:t>招标人</w:t>
      </w:r>
      <w:r>
        <w:rPr>
          <w:rFonts w:hint="eastAsia" w:ascii="宋体" w:hAnsi="宋体" w:eastAsia="宋体" w:cs="宋体"/>
          <w:sz w:val="24"/>
        </w:rPr>
        <w:t>指定的电源接入点（母线插接箱或配电柜）。</w:t>
      </w:r>
    </w:p>
    <w:p w14:paraId="0DC5235B">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在进行现场施工阶段，应对现场设备及物资（本项目中所涉及）进行看管并负全责；在厂房封闭</w:t>
      </w:r>
      <w:r>
        <w:rPr>
          <w:rFonts w:hint="eastAsia" w:ascii="宋体" w:hAnsi="宋体" w:cs="宋体"/>
          <w:sz w:val="24"/>
          <w:lang w:eastAsia="zh-CN"/>
        </w:rPr>
        <w:t>招标人</w:t>
      </w:r>
      <w:r>
        <w:rPr>
          <w:rFonts w:hint="eastAsia" w:ascii="宋体" w:hAnsi="宋体" w:eastAsia="宋体" w:cs="宋体"/>
          <w:sz w:val="24"/>
        </w:rPr>
        <w:t>提供门卫值班时，允许持证人员进出，</w:t>
      </w:r>
      <w:r>
        <w:rPr>
          <w:rFonts w:hint="eastAsia" w:ascii="宋体" w:hAnsi="宋体" w:cs="宋体"/>
          <w:sz w:val="24"/>
          <w:lang w:eastAsia="zh-CN"/>
        </w:rPr>
        <w:t>投标人</w:t>
      </w:r>
      <w:r>
        <w:rPr>
          <w:rFonts w:hint="eastAsia" w:ascii="宋体" w:hAnsi="宋体" w:eastAsia="宋体" w:cs="宋体"/>
          <w:sz w:val="24"/>
        </w:rPr>
        <w:t>仍需对安装物资进行看管，</w:t>
      </w:r>
      <w:r>
        <w:rPr>
          <w:rFonts w:hint="eastAsia" w:ascii="宋体" w:hAnsi="宋体" w:cs="宋体"/>
          <w:sz w:val="24"/>
          <w:lang w:eastAsia="zh-CN"/>
        </w:rPr>
        <w:t>招标人</w:t>
      </w:r>
      <w:r>
        <w:rPr>
          <w:rFonts w:hint="eastAsia" w:ascii="宋体" w:hAnsi="宋体" w:eastAsia="宋体" w:cs="宋体"/>
          <w:sz w:val="24"/>
        </w:rPr>
        <w:t>不对</w:t>
      </w:r>
      <w:r>
        <w:rPr>
          <w:rFonts w:hint="eastAsia" w:ascii="宋体" w:hAnsi="宋体" w:cs="宋体"/>
          <w:sz w:val="24"/>
          <w:lang w:eastAsia="zh-CN"/>
        </w:rPr>
        <w:t>投标人</w:t>
      </w:r>
      <w:r>
        <w:rPr>
          <w:rFonts w:hint="eastAsia" w:ascii="宋体" w:hAnsi="宋体" w:eastAsia="宋体" w:cs="宋体"/>
          <w:sz w:val="24"/>
        </w:rPr>
        <w:t>的物资、财产丢失负责。</w:t>
      </w:r>
    </w:p>
    <w:p w14:paraId="2ED4A37B">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在设计、采购、制造、安装和调试等过程中应遵循国家相关规范要求。设备与钢结构色标颜色按照需</w:t>
      </w:r>
      <w:r>
        <w:rPr>
          <w:rFonts w:hint="eastAsia" w:ascii="宋体" w:hAnsi="宋体" w:cs="宋体"/>
          <w:sz w:val="24"/>
          <w:lang w:eastAsia="zh-CN"/>
        </w:rPr>
        <w:t>招标人</w:t>
      </w:r>
      <w:r>
        <w:rPr>
          <w:rFonts w:hint="eastAsia" w:ascii="宋体" w:hAnsi="宋体" w:eastAsia="宋体" w:cs="宋体"/>
          <w:sz w:val="24"/>
        </w:rPr>
        <w:t>确认。外层涂料要求采用聚氨酯油漆，颜色由</w:t>
      </w:r>
      <w:r>
        <w:rPr>
          <w:rFonts w:hint="eastAsia" w:ascii="宋体" w:hAnsi="宋体" w:cs="宋体"/>
          <w:sz w:val="24"/>
          <w:lang w:eastAsia="zh-CN"/>
        </w:rPr>
        <w:t>招标人</w:t>
      </w:r>
      <w:r>
        <w:rPr>
          <w:rFonts w:hint="eastAsia" w:ascii="宋体" w:hAnsi="宋体" w:eastAsia="宋体" w:cs="宋体"/>
          <w:sz w:val="24"/>
        </w:rPr>
        <w:t>确认后进行喷涂并首样评审；所有的漆层应平整均匀，色彩鲜明，无色差，分界齐，不允许有气泡、橘皮、脱漆、不盖底、污痕、流挂等缺陷。。</w:t>
      </w:r>
    </w:p>
    <w:p w14:paraId="460972F1">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对项目信息现场目视化、施工现场清洁，施工人员安全和设备安全负全责。</w:t>
      </w:r>
    </w:p>
    <w:p w14:paraId="3E52FFD0">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应严格按照</w:t>
      </w:r>
      <w:r>
        <w:rPr>
          <w:rFonts w:hint="eastAsia" w:ascii="宋体" w:hAnsi="宋体" w:cs="宋体"/>
          <w:sz w:val="24"/>
          <w:lang w:eastAsia="zh-CN"/>
        </w:rPr>
        <w:t>招标人</w:t>
      </w:r>
      <w:r>
        <w:rPr>
          <w:rFonts w:hint="eastAsia" w:ascii="宋体" w:hAnsi="宋体" w:eastAsia="宋体" w:cs="宋体"/>
          <w:sz w:val="24"/>
        </w:rPr>
        <w:t>安全检查部门要求，配合并服从</w:t>
      </w:r>
      <w:r>
        <w:rPr>
          <w:rFonts w:hint="eastAsia" w:ascii="宋体" w:hAnsi="宋体" w:cs="宋体"/>
          <w:sz w:val="24"/>
          <w:lang w:eastAsia="zh-CN"/>
        </w:rPr>
        <w:t>招标人</w:t>
      </w:r>
      <w:r>
        <w:rPr>
          <w:rFonts w:hint="eastAsia" w:ascii="宋体" w:hAnsi="宋体" w:eastAsia="宋体" w:cs="宋体"/>
          <w:sz w:val="24"/>
        </w:rPr>
        <w:t>相关安全部门的管理。质保期12 个月内，若出现</w:t>
      </w:r>
      <w:r>
        <w:rPr>
          <w:rFonts w:hint="eastAsia" w:ascii="宋体" w:hAnsi="宋体" w:cs="宋体"/>
          <w:sz w:val="24"/>
          <w:lang w:eastAsia="zh-CN"/>
        </w:rPr>
        <w:t>招标人</w:t>
      </w:r>
      <w:r>
        <w:rPr>
          <w:rFonts w:hint="eastAsia" w:ascii="宋体" w:hAnsi="宋体" w:eastAsia="宋体" w:cs="宋体"/>
          <w:sz w:val="24"/>
        </w:rPr>
        <w:t>不能解决的问题，要求</w:t>
      </w:r>
      <w:r>
        <w:rPr>
          <w:rFonts w:hint="eastAsia" w:ascii="宋体" w:hAnsi="宋体" w:cs="宋体"/>
          <w:sz w:val="24"/>
          <w:lang w:eastAsia="zh-CN"/>
        </w:rPr>
        <w:t>投标人</w:t>
      </w:r>
      <w:r>
        <w:rPr>
          <w:rFonts w:hint="eastAsia" w:ascii="宋体" w:hAnsi="宋体" w:eastAsia="宋体" w:cs="宋体"/>
          <w:sz w:val="24"/>
        </w:rPr>
        <w:t>24小时内赴工厂解决问题。</w:t>
      </w:r>
    </w:p>
    <w:p w14:paraId="19721564">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全涂装车间所有设备部件均不得含有硅铜。</w:t>
      </w:r>
    </w:p>
    <w:p w14:paraId="232B51FB">
      <w:pPr>
        <w:pageBreakBefore w:val="0"/>
        <w:numPr>
          <w:ilvl w:val="0"/>
          <w:numId w:val="3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提供PLC编程软件、触摸屏编程软件、变频器调试软件、上位机组态软件最新版本各1套。</w:t>
      </w:r>
    </w:p>
    <w:p w14:paraId="183535E3">
      <w:pPr>
        <w:pStyle w:val="3"/>
        <w:pageBreakBefore w:val="0"/>
        <w:numPr>
          <w:ilvl w:val="0"/>
          <w:numId w:val="276"/>
        </w:numPr>
        <w:kinsoku/>
        <w:wordWrap/>
        <w:topLinePunct w:val="0"/>
        <w:bidi w:val="0"/>
        <w:adjustRightInd w:val="0"/>
        <w:snapToGrid w:val="0"/>
        <w:spacing w:before="0" w:afterAutospacing="0" w:line="360" w:lineRule="auto"/>
        <w:ind w:left="0" w:leftChars="0" w:firstLine="0" w:firstLineChars="0"/>
        <w:rPr>
          <w:rFonts w:hint="eastAsia" w:ascii="宋体" w:hAnsi="宋体" w:eastAsia="宋体" w:cs="宋体"/>
          <w:sz w:val="24"/>
          <w:szCs w:val="24"/>
        </w:rPr>
      </w:pPr>
      <w:bookmarkStart w:id="259" w:name="_Toc4164023"/>
      <w:r>
        <w:rPr>
          <w:rFonts w:hint="eastAsia" w:ascii="宋体" w:hAnsi="宋体" w:eastAsia="宋体" w:cs="宋体"/>
          <w:sz w:val="24"/>
          <w:szCs w:val="24"/>
        </w:rPr>
        <w:t>特殊要求</w:t>
      </w:r>
      <w:bookmarkEnd w:id="259"/>
      <w:bookmarkStart w:id="260" w:name="_Toc2071590"/>
      <w:bookmarkEnd w:id="260"/>
      <w:bookmarkStart w:id="261" w:name="_Toc2155472"/>
      <w:bookmarkEnd w:id="261"/>
      <w:bookmarkStart w:id="262" w:name="_Toc4164024"/>
      <w:bookmarkEnd w:id="262"/>
      <w:bookmarkStart w:id="263" w:name="_Toc2071775"/>
      <w:bookmarkEnd w:id="263"/>
      <w:bookmarkStart w:id="264" w:name="_Toc2086653"/>
      <w:bookmarkEnd w:id="264"/>
      <w:bookmarkStart w:id="265" w:name="_Toc2071714"/>
      <w:bookmarkEnd w:id="265"/>
      <w:bookmarkStart w:id="266" w:name="_Toc2087129"/>
      <w:bookmarkEnd w:id="266"/>
      <w:bookmarkStart w:id="267" w:name="_Toc2071836"/>
      <w:bookmarkEnd w:id="267"/>
      <w:bookmarkStart w:id="268" w:name="_Toc536223210"/>
      <w:bookmarkEnd w:id="268"/>
      <w:bookmarkStart w:id="269" w:name="_Toc536223519"/>
      <w:bookmarkEnd w:id="269"/>
      <w:bookmarkStart w:id="270" w:name="_Toc2071652"/>
      <w:bookmarkEnd w:id="270"/>
      <w:bookmarkStart w:id="271" w:name="_Toc1564534"/>
      <w:bookmarkEnd w:id="271"/>
      <w:r>
        <w:rPr>
          <w:rFonts w:hint="eastAsia" w:ascii="宋体" w:hAnsi="宋体" w:eastAsia="宋体" w:cs="宋体"/>
          <w:sz w:val="24"/>
          <w:szCs w:val="24"/>
        </w:rPr>
        <w:t>:</w:t>
      </w:r>
    </w:p>
    <w:p w14:paraId="6B730D2E">
      <w:pPr>
        <w:pStyle w:val="210"/>
        <w:pageBreakBefore w:val="0"/>
        <w:numPr>
          <w:ilvl w:val="0"/>
          <w:numId w:val="328"/>
        </w:numPr>
        <w:kinsoku/>
        <w:wordWrap/>
        <w:topLinePunct w:val="0"/>
        <w:bidi w:val="0"/>
        <w:adjustRightInd w:val="0"/>
        <w:snapToGrid w:val="0"/>
        <w:spacing w:afterAutospacing="0" w:line="360" w:lineRule="auto"/>
        <w:ind w:left="0" w:leftChars="0" w:firstLine="0" w:firstLineChars="0"/>
        <w:outlineLvl w:val="3"/>
        <w:rPr>
          <w:rFonts w:hint="eastAsia" w:ascii="宋体" w:hAnsi="宋体" w:eastAsia="宋体" w:cs="宋体"/>
          <w:color w:val="auto"/>
          <w:kern w:val="2"/>
        </w:rPr>
      </w:pPr>
      <w:bookmarkStart w:id="272" w:name="_Toc4164025"/>
      <w:r>
        <w:rPr>
          <w:rFonts w:hint="eastAsia" w:ascii="宋体" w:hAnsi="宋体" w:eastAsia="宋体" w:cs="宋体"/>
          <w:color w:val="auto"/>
          <w:kern w:val="2"/>
        </w:rPr>
        <w:t>防爆要求</w:t>
      </w:r>
      <w:bookmarkEnd w:id="272"/>
    </w:p>
    <w:p w14:paraId="1CC9AEAC">
      <w:pPr>
        <w:pStyle w:val="15"/>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73" w:name="_Toc4164026"/>
      <w:r>
        <w:rPr>
          <w:rFonts w:hint="eastAsia" w:ascii="宋体" w:hAnsi="宋体" w:eastAsia="宋体" w:cs="宋体"/>
          <w:sz w:val="24"/>
        </w:rPr>
        <w:t>现场条件满足的情况下尽可能采用电机外置方式，若置于室内采用防爆电机。</w:t>
      </w:r>
    </w:p>
    <w:p w14:paraId="2B80E82C">
      <w:pPr>
        <w:pStyle w:val="210"/>
        <w:pageBreakBefore w:val="0"/>
        <w:numPr>
          <w:ilvl w:val="0"/>
          <w:numId w:val="328"/>
        </w:numPr>
        <w:kinsoku/>
        <w:wordWrap/>
        <w:topLinePunct w:val="0"/>
        <w:bidi w:val="0"/>
        <w:adjustRightInd w:val="0"/>
        <w:snapToGrid w:val="0"/>
        <w:spacing w:afterAutospacing="0" w:line="360" w:lineRule="auto"/>
        <w:ind w:left="0" w:leftChars="0" w:firstLine="0" w:firstLineChars="0"/>
        <w:outlineLvl w:val="3"/>
        <w:rPr>
          <w:rFonts w:hint="eastAsia" w:ascii="宋体" w:hAnsi="宋体" w:eastAsia="宋体" w:cs="宋体"/>
          <w:color w:val="auto"/>
          <w:kern w:val="2"/>
        </w:rPr>
      </w:pPr>
      <w:r>
        <w:rPr>
          <w:rFonts w:hint="eastAsia" w:ascii="宋体" w:hAnsi="宋体" w:eastAsia="宋体" w:cs="宋体"/>
          <w:color w:val="auto"/>
          <w:kern w:val="2"/>
        </w:rPr>
        <w:t>防腐要求</w:t>
      </w:r>
      <w:bookmarkEnd w:id="273"/>
      <w:r>
        <w:rPr>
          <w:rFonts w:hint="eastAsia" w:ascii="宋体" w:hAnsi="宋体" w:eastAsia="宋体" w:cs="宋体"/>
          <w:color w:val="auto"/>
          <w:kern w:val="2"/>
        </w:rPr>
        <w:t>:</w:t>
      </w:r>
    </w:p>
    <w:p w14:paraId="64A24306">
      <w:pPr>
        <w:pageBreakBefore w:val="0"/>
        <w:numPr>
          <w:ilvl w:val="0"/>
          <w:numId w:val="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泳出口到电泳烘干链入口的辊床使用不锈钢辊床，辊床框架、支腿、盖板、辊子组件中的套筒均采用SUS304不锈钢制作，包含移行机、转台等其他输送设备也采用不锈钢制作。色漆到清漆之间的水性漆热闪干段使用的不锈钢辊床，辊床支腿、盖板、辊子组件中的套筒采用SUS304不锈钢，辊床盖板能有效防止液体滴落到同步带上。</w:t>
      </w:r>
    </w:p>
    <w:p w14:paraId="18352F24">
      <w:pPr>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b/>
          <w:sz w:val="30"/>
          <w:szCs w:val="30"/>
        </w:rPr>
      </w:pPr>
      <w:r>
        <w:rPr>
          <w:rFonts w:hint="eastAsia" w:ascii="宋体" w:hAnsi="宋体" w:eastAsia="宋体" w:cs="宋体"/>
          <w:b/>
          <w:sz w:val="30"/>
          <w:szCs w:val="30"/>
        </w:rPr>
        <w:t>附件六</w:t>
      </w:r>
      <w:r>
        <w:rPr>
          <w:rFonts w:hint="eastAsia" w:ascii="宋体" w:hAnsi="宋体" w:cs="宋体"/>
          <w:b/>
          <w:sz w:val="30"/>
          <w:szCs w:val="30"/>
          <w:lang w:eastAsia="zh-CN"/>
        </w:rPr>
        <w:t>、</w:t>
      </w:r>
      <w:r>
        <w:rPr>
          <w:rFonts w:hint="eastAsia" w:ascii="宋体" w:hAnsi="宋体" w:eastAsia="宋体" w:cs="宋体"/>
          <w:b/>
          <w:sz w:val="30"/>
          <w:szCs w:val="30"/>
        </w:rPr>
        <w:t>涂装车间电气设备技术要求</w:t>
      </w:r>
    </w:p>
    <w:p w14:paraId="7D49E6CF">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bCs/>
          <w:sz w:val="24"/>
        </w:rPr>
      </w:pPr>
      <w:r>
        <w:rPr>
          <w:rFonts w:hint="eastAsia" w:ascii="宋体" w:hAnsi="宋体" w:eastAsia="宋体" w:cs="宋体"/>
          <w:b/>
          <w:bCs/>
          <w:sz w:val="24"/>
        </w:rPr>
        <w:t>一、供货范围</w:t>
      </w:r>
    </w:p>
    <w:p w14:paraId="1B822BA5">
      <w:pPr>
        <w:pageBreakBefore w:val="0"/>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1.1 工程范围</w:t>
      </w:r>
    </w:p>
    <w:p w14:paraId="2A6FEBDF">
      <w:pPr>
        <w:pStyle w:val="263"/>
        <w:pageBreakBefore w:val="0"/>
        <w:numPr>
          <w:ilvl w:val="0"/>
          <w:numId w:val="329"/>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本工程为交钥匙工程；</w:t>
      </w:r>
      <w:r>
        <w:rPr>
          <w:rFonts w:hint="eastAsia" w:ascii="宋体" w:hAnsi="宋体" w:cs="宋体"/>
          <w:sz w:val="24"/>
          <w:lang w:eastAsia="zh-CN"/>
        </w:rPr>
        <w:t>投标人</w:t>
      </w:r>
      <w:r>
        <w:rPr>
          <w:rFonts w:hint="eastAsia" w:ascii="宋体" w:hAnsi="宋体" w:eastAsia="宋体" w:cs="宋体"/>
          <w:sz w:val="24"/>
        </w:rPr>
        <w:t>负责所有设备区域，对所承制工程负全面责任，包括设计优化、制造、包装、运输、装卸、就位、安装、调试、人员培训、售后服务、生产陪伴以及技术资料的提交等项目项下所有内容。</w:t>
      </w:r>
    </w:p>
    <w:p w14:paraId="4D7A4FB8">
      <w:pPr>
        <w:pageBreakBefore w:val="0"/>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1.2 本系统范围</w:t>
      </w:r>
    </w:p>
    <w:p w14:paraId="2DBDA268">
      <w:pPr>
        <w:pStyle w:val="263"/>
        <w:pageBreakBefore w:val="0"/>
        <w:numPr>
          <w:ilvl w:val="0"/>
          <w:numId w:val="330"/>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主要包括前处理电泳及附属设备电控系统（含电泳整流器设备）、工位室体、滑橇清洗间风淋室、电控系统、喷漆室及附属设备电控系统、烘干室体及附属设备电控系统等，车间中央监控系统及必需设备联锁等。送排风系统电控（空调电控系统是独立控制系统）。</w:t>
      </w:r>
    </w:p>
    <w:p w14:paraId="7443134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bCs/>
          <w:sz w:val="24"/>
        </w:rPr>
      </w:pPr>
      <w:r>
        <w:rPr>
          <w:rFonts w:hint="eastAsia" w:ascii="宋体" w:hAnsi="宋体" w:eastAsia="宋体" w:cs="宋体"/>
          <w:b/>
          <w:bCs/>
          <w:sz w:val="24"/>
        </w:rPr>
        <w:t>二、技术参数及技术要求</w:t>
      </w:r>
    </w:p>
    <w:p w14:paraId="4B274B0D">
      <w:pPr>
        <w:pStyle w:val="458"/>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2.1总体要求</w:t>
      </w:r>
    </w:p>
    <w:p w14:paraId="30ACAE79">
      <w:pPr>
        <w:pStyle w:val="458"/>
        <w:pageBreakBefore w:val="0"/>
        <w:numPr>
          <w:ilvl w:val="0"/>
          <w:numId w:val="3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电控设备材料的选择，本着“可靠、实用、经济”的原则，所选元件的品牌皆采用一线品牌产品。涂装车间非标电气控制功能必须依据涂装工艺、涂装设备、生产管理、涂层质量、安全消防、环境保护、设备运行、设备维修、设备管理等要求进行，确保自动控制、自动调整和手动调整工艺参数，适应多种车型柔性生产需要，便于生产组织管理，便于质量控制、便于设备操作维护。整个电控系统的设计优化、制造、安装、调试水平不得低于行业合资品牌涂装线的水准。</w:t>
      </w:r>
    </w:p>
    <w:p w14:paraId="3B381310">
      <w:pPr>
        <w:pStyle w:val="458"/>
        <w:pageBreakBefore w:val="0"/>
        <w:numPr>
          <w:ilvl w:val="0"/>
          <w:numId w:val="3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整个电控系统必须采用国外主流技术和软件，最先进、最可靠的电气元器件，并力图经济实用，</w:t>
      </w:r>
      <w:r>
        <w:rPr>
          <w:rFonts w:hint="eastAsia" w:ascii="宋体" w:hAnsi="宋体" w:cs="宋体"/>
          <w:sz w:val="24"/>
          <w:szCs w:val="24"/>
          <w:lang w:eastAsia="zh-CN"/>
        </w:rPr>
        <w:t>投标人</w:t>
      </w:r>
      <w:r>
        <w:rPr>
          <w:rFonts w:hint="eastAsia" w:ascii="宋体" w:hAnsi="宋体" w:eastAsia="宋体" w:cs="宋体"/>
          <w:sz w:val="24"/>
          <w:szCs w:val="24"/>
        </w:rPr>
        <w:t>必须确保整个电控系统高度自动化和智能化、高度的可靠性，高度的灵敏性及稳定性。</w:t>
      </w:r>
    </w:p>
    <w:p w14:paraId="1F0D866F">
      <w:pPr>
        <w:pStyle w:val="458"/>
        <w:pageBreakBefore w:val="0"/>
        <w:numPr>
          <w:ilvl w:val="0"/>
          <w:numId w:val="3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val="en-GB"/>
        </w:rPr>
      </w:pPr>
      <w:r>
        <w:rPr>
          <w:rFonts w:hint="eastAsia" w:ascii="宋体" w:hAnsi="宋体" w:eastAsia="宋体" w:cs="宋体"/>
          <w:sz w:val="24"/>
          <w:szCs w:val="24"/>
          <w:lang w:val="en-GB"/>
        </w:rPr>
        <w:t>电控系统满足车间工艺要求，结合目前国际、国内自动化水平和汽车行业的实际运作方式，选择在业内应用成熟，技术先进可靠，功能实用的控制方式与控制设备。</w:t>
      </w:r>
    </w:p>
    <w:p w14:paraId="0F3AA0E9">
      <w:pPr>
        <w:pStyle w:val="458"/>
        <w:pageBreakBefore w:val="0"/>
        <w:numPr>
          <w:ilvl w:val="0"/>
          <w:numId w:val="3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val="en-GB"/>
        </w:rPr>
      </w:pPr>
      <w:r>
        <w:rPr>
          <w:rFonts w:hint="eastAsia" w:ascii="宋体" w:hAnsi="宋体" w:eastAsia="宋体" w:cs="宋体"/>
          <w:sz w:val="24"/>
          <w:szCs w:val="24"/>
          <w:lang w:val="en-GB"/>
        </w:rPr>
        <w:t>整个电控系统稳定可靠，反应迅速，能够及时提供生产线状况和设备运行状态，能够快速提供故障信息，提示检修。</w:t>
      </w:r>
    </w:p>
    <w:p w14:paraId="3047E6C9">
      <w:pPr>
        <w:pStyle w:val="458"/>
        <w:pageBreakBefore w:val="0"/>
        <w:numPr>
          <w:ilvl w:val="0"/>
          <w:numId w:val="3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val="en-GB"/>
        </w:rPr>
      </w:pPr>
      <w:r>
        <w:rPr>
          <w:rFonts w:hint="eastAsia" w:ascii="宋体" w:hAnsi="宋体" w:eastAsia="宋体" w:cs="宋体"/>
          <w:sz w:val="24"/>
          <w:szCs w:val="24"/>
          <w:lang w:val="en-GB"/>
        </w:rPr>
        <w:t>每个电控子系统都对自己的系统保持独立性，完整性，工艺符合性。</w:t>
      </w:r>
    </w:p>
    <w:p w14:paraId="36C1828F">
      <w:pPr>
        <w:pStyle w:val="458"/>
        <w:pageBreakBefore w:val="0"/>
        <w:numPr>
          <w:ilvl w:val="0"/>
          <w:numId w:val="3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val="en-GB"/>
        </w:rPr>
      </w:pPr>
      <w:r>
        <w:rPr>
          <w:rFonts w:hint="eastAsia" w:ascii="宋体" w:hAnsi="宋体" w:eastAsia="宋体" w:cs="宋体"/>
          <w:sz w:val="24"/>
          <w:szCs w:val="24"/>
          <w:lang w:val="en-GB"/>
        </w:rPr>
        <w:t>在涂装车间生产设备的自动化控制系统中，采用“集中监测，分散控制”的典型控制模式，依据这一原则，将整个涂装车间生产设备的控制系统分为二层网络（工业以太网、现场总线），三个层次（监控层、控制层和设备层）。每个层次中使用不同的网络结构及软硬件配置，以实现不同的功能。</w:t>
      </w:r>
    </w:p>
    <w:p w14:paraId="3AABCBD4">
      <w:pPr>
        <w:pStyle w:val="98"/>
        <w:pageBreakBefore w:val="0"/>
        <w:numPr>
          <w:ilvl w:val="0"/>
          <w:numId w:val="331"/>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控制网路架构的总体构成，其主要的部分如下： </w:t>
      </w:r>
    </w:p>
    <w:p w14:paraId="64725B0E">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网络；</w:t>
      </w:r>
    </w:p>
    <w:p w14:paraId="26A224F5">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安全；</w:t>
      </w:r>
    </w:p>
    <w:p w14:paraId="2509E571">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PLC / HMI（人机界面）； </w:t>
      </w:r>
    </w:p>
    <w:p w14:paraId="107B066A">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硬件控制和通讯架构；</w:t>
      </w:r>
    </w:p>
    <w:p w14:paraId="490B66B9">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主要部件（输送等等）； </w:t>
      </w:r>
    </w:p>
    <w:p w14:paraId="378DB552">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通用元器件（驱动、开关、阀等）； </w:t>
      </w:r>
    </w:p>
    <w:p w14:paraId="7F082920">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通用设备；</w:t>
      </w:r>
    </w:p>
    <w:p w14:paraId="6942D4E3">
      <w:pPr>
        <w:pStyle w:val="98"/>
        <w:pageBreakBefore w:val="0"/>
        <w:numPr>
          <w:ilvl w:val="0"/>
          <w:numId w:val="33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车间辅助系统。 </w:t>
      </w:r>
    </w:p>
    <w:p w14:paraId="237F42CE">
      <w:pPr>
        <w:pStyle w:val="458"/>
        <w:pageBreakBefore w:val="0"/>
        <w:numPr>
          <w:ilvl w:val="0"/>
          <w:numId w:val="3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通讯网络架构形式：采用单光纤环网下挂交换器，交换机通过工业以太网下挂本地系统交换机，本系统交换机下挂PLC和人机界面。</w:t>
      </w:r>
    </w:p>
    <w:p w14:paraId="2261876D">
      <w:pPr>
        <w:pStyle w:val="458"/>
        <w:pageBreakBefore w:val="0"/>
        <w:numPr>
          <w:ilvl w:val="0"/>
          <w:numId w:val="3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控制网路架构形式： PLC+ </w:t>
      </w:r>
      <w:r>
        <w:rPr>
          <w:rFonts w:hint="eastAsia" w:ascii="宋体" w:hAnsi="宋体" w:eastAsia="宋体" w:cs="宋体"/>
          <w:iCs/>
          <w:sz w:val="24"/>
          <w:szCs w:val="24"/>
        </w:rPr>
        <w:t>现场总线</w:t>
      </w:r>
      <w:r>
        <w:rPr>
          <w:rFonts w:hint="eastAsia" w:ascii="宋体" w:hAnsi="宋体" w:eastAsia="宋体" w:cs="宋体"/>
          <w:sz w:val="24"/>
          <w:szCs w:val="24"/>
        </w:rPr>
        <w:t>网络下挂网络交换机、变频器及其他网络驱动装置。</w:t>
      </w:r>
    </w:p>
    <w:p w14:paraId="453869A3">
      <w:pPr>
        <w:pStyle w:val="458"/>
        <w:pageBreakBefore w:val="0"/>
        <w:numPr>
          <w:ilvl w:val="0"/>
          <w:numId w:val="3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每个控制网路上的节点的数量必须满足相应系统的要求，每个控制网路上的节点的数量根据控制范围进行合理分配，节点数量应与</w:t>
      </w:r>
      <w:r>
        <w:rPr>
          <w:rFonts w:hint="eastAsia" w:ascii="宋体" w:hAnsi="宋体" w:cs="宋体"/>
          <w:sz w:val="24"/>
          <w:szCs w:val="24"/>
          <w:lang w:eastAsia="zh-CN"/>
        </w:rPr>
        <w:t>招标人</w:t>
      </w:r>
      <w:r>
        <w:rPr>
          <w:rFonts w:hint="eastAsia" w:ascii="宋体" w:hAnsi="宋体" w:eastAsia="宋体" w:cs="宋体"/>
          <w:sz w:val="24"/>
          <w:szCs w:val="24"/>
        </w:rPr>
        <w:t>一同评审和调整。</w:t>
      </w:r>
    </w:p>
    <w:p w14:paraId="4FE030D5">
      <w:pPr>
        <w:pStyle w:val="458"/>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2.2  设备供货范围及主要控制方式,包括但不限于</w:t>
      </w:r>
    </w:p>
    <w:tbl>
      <w:tblPr>
        <w:tblStyle w:val="44"/>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36"/>
        <w:gridCol w:w="3218"/>
        <w:gridCol w:w="5600"/>
      </w:tblGrid>
      <w:tr w14:paraId="64E1CD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blHeader/>
          <w:jc w:val="center"/>
        </w:trPr>
        <w:tc>
          <w:tcPr>
            <w:tcW w:w="433" w:type="pct"/>
            <w:tcBorders>
              <w:top w:val="single" w:color="auto" w:sz="2" w:space="0"/>
              <w:left w:val="single" w:color="auto" w:sz="2" w:space="0"/>
              <w:bottom w:val="single" w:color="auto" w:sz="2" w:space="0"/>
              <w:right w:val="single" w:color="auto" w:sz="6" w:space="0"/>
            </w:tcBorders>
            <w:vAlign w:val="center"/>
          </w:tcPr>
          <w:p w14:paraId="764345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序号</w:t>
            </w:r>
          </w:p>
        </w:tc>
        <w:tc>
          <w:tcPr>
            <w:tcW w:w="1666" w:type="pct"/>
            <w:tcBorders>
              <w:top w:val="single" w:color="auto" w:sz="2" w:space="0"/>
              <w:left w:val="single" w:color="auto" w:sz="6" w:space="0"/>
              <w:bottom w:val="single" w:color="auto" w:sz="2" w:space="0"/>
              <w:right w:val="single" w:color="auto" w:sz="6" w:space="0"/>
            </w:tcBorders>
            <w:vAlign w:val="center"/>
          </w:tcPr>
          <w:p w14:paraId="6D55010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 备 名 称</w:t>
            </w:r>
          </w:p>
        </w:tc>
        <w:tc>
          <w:tcPr>
            <w:tcW w:w="2899" w:type="pct"/>
            <w:tcBorders>
              <w:top w:val="single" w:color="auto" w:sz="2" w:space="0"/>
              <w:left w:val="single" w:color="auto" w:sz="6" w:space="0"/>
              <w:bottom w:val="single" w:color="auto" w:sz="2" w:space="0"/>
              <w:right w:val="single" w:color="auto" w:sz="2" w:space="0"/>
            </w:tcBorders>
            <w:vAlign w:val="center"/>
          </w:tcPr>
          <w:p w14:paraId="78AF79B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控 制 方 式</w:t>
            </w:r>
          </w:p>
        </w:tc>
      </w:tr>
      <w:tr w14:paraId="73FB46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335729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1666" w:type="pct"/>
            <w:tcBorders>
              <w:top w:val="single" w:color="auto" w:sz="6" w:space="0"/>
              <w:left w:val="single" w:color="auto" w:sz="2" w:space="0"/>
              <w:bottom w:val="single" w:color="auto" w:sz="6" w:space="0"/>
              <w:right w:val="single" w:color="auto" w:sz="6" w:space="0"/>
            </w:tcBorders>
            <w:vAlign w:val="center"/>
          </w:tcPr>
          <w:p w14:paraId="094CD6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电泳烘干室及强冷设备电控</w:t>
            </w:r>
          </w:p>
        </w:tc>
        <w:tc>
          <w:tcPr>
            <w:tcW w:w="2899" w:type="pct"/>
            <w:tcBorders>
              <w:top w:val="single" w:color="auto" w:sz="6" w:space="0"/>
              <w:left w:val="single" w:color="auto" w:sz="6" w:space="0"/>
              <w:bottom w:val="single" w:color="auto" w:sz="6" w:space="0"/>
              <w:right w:val="single" w:color="auto" w:sz="2" w:space="0"/>
            </w:tcBorders>
            <w:vAlign w:val="center"/>
          </w:tcPr>
          <w:p w14:paraId="3EA0C9F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PLC＋HMI+（燃烧机自带电控）+现场总线</w:t>
            </w:r>
          </w:p>
        </w:tc>
      </w:tr>
      <w:tr w14:paraId="51F2CA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130C423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1666" w:type="pct"/>
            <w:tcBorders>
              <w:top w:val="single" w:color="auto" w:sz="6" w:space="0"/>
              <w:left w:val="single" w:color="auto" w:sz="2" w:space="0"/>
              <w:bottom w:val="single" w:color="auto" w:sz="6" w:space="0"/>
              <w:right w:val="single" w:color="auto" w:sz="6" w:space="0"/>
            </w:tcBorders>
            <w:vAlign w:val="center"/>
          </w:tcPr>
          <w:p w14:paraId="405779E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胶烘干室及强冷设备电控</w:t>
            </w:r>
          </w:p>
        </w:tc>
        <w:tc>
          <w:tcPr>
            <w:tcW w:w="2899" w:type="pct"/>
            <w:tcBorders>
              <w:top w:val="single" w:color="auto" w:sz="6" w:space="0"/>
              <w:left w:val="single" w:color="auto" w:sz="6" w:space="0"/>
              <w:bottom w:val="single" w:color="auto" w:sz="6" w:space="0"/>
              <w:right w:val="single" w:color="auto" w:sz="2" w:space="0"/>
            </w:tcBorders>
            <w:vAlign w:val="center"/>
          </w:tcPr>
          <w:p w14:paraId="07ACF04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PLC＋HMI+（燃烧机自带电控）+现场总线</w:t>
            </w:r>
          </w:p>
        </w:tc>
      </w:tr>
      <w:tr w14:paraId="2A19B1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4F41B3D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1666" w:type="pct"/>
            <w:tcBorders>
              <w:top w:val="single" w:color="auto" w:sz="6" w:space="0"/>
              <w:left w:val="single" w:color="auto" w:sz="2" w:space="0"/>
              <w:bottom w:val="single" w:color="auto" w:sz="6" w:space="0"/>
              <w:right w:val="single" w:color="auto" w:sz="6" w:space="0"/>
            </w:tcBorders>
            <w:vAlign w:val="center"/>
          </w:tcPr>
          <w:p w14:paraId="237D52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面漆烘干室及强冷设备电控</w:t>
            </w:r>
          </w:p>
        </w:tc>
        <w:tc>
          <w:tcPr>
            <w:tcW w:w="2899" w:type="pct"/>
            <w:tcBorders>
              <w:top w:val="single" w:color="auto" w:sz="6" w:space="0"/>
              <w:left w:val="single" w:color="auto" w:sz="6" w:space="0"/>
              <w:bottom w:val="single" w:color="auto" w:sz="6" w:space="0"/>
              <w:right w:val="single" w:color="auto" w:sz="2" w:space="0"/>
            </w:tcBorders>
            <w:vAlign w:val="center"/>
          </w:tcPr>
          <w:p w14:paraId="35DA824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PLC＋HMI+（燃烧机自带电控）+现场总线</w:t>
            </w:r>
          </w:p>
        </w:tc>
      </w:tr>
      <w:tr w14:paraId="4FB30F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6CB5E4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1666" w:type="pct"/>
            <w:tcBorders>
              <w:top w:val="single" w:color="auto" w:sz="6" w:space="0"/>
              <w:left w:val="single" w:color="auto" w:sz="2" w:space="0"/>
              <w:bottom w:val="single" w:color="auto" w:sz="6" w:space="0"/>
              <w:right w:val="single" w:color="auto" w:sz="6" w:space="0"/>
            </w:tcBorders>
            <w:vAlign w:val="center"/>
          </w:tcPr>
          <w:p w14:paraId="3A4E204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B1色漆喷漆线电控</w:t>
            </w:r>
          </w:p>
        </w:tc>
        <w:tc>
          <w:tcPr>
            <w:tcW w:w="2899" w:type="pct"/>
            <w:tcBorders>
              <w:top w:val="single" w:color="auto" w:sz="6" w:space="0"/>
              <w:left w:val="single" w:color="auto" w:sz="6" w:space="0"/>
              <w:bottom w:val="single" w:color="auto" w:sz="6" w:space="0"/>
              <w:right w:val="single" w:color="auto" w:sz="2" w:space="0"/>
            </w:tcBorders>
            <w:vAlign w:val="center"/>
          </w:tcPr>
          <w:p w14:paraId="5137A5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PLC＋HMI＋分站（新风空调、循环风空调、排风系统、干式小车）+现场总线</w:t>
            </w:r>
          </w:p>
        </w:tc>
      </w:tr>
      <w:tr w14:paraId="3D702A2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30E9720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1666" w:type="pct"/>
            <w:tcBorders>
              <w:top w:val="single" w:color="auto" w:sz="6" w:space="0"/>
              <w:left w:val="single" w:color="auto" w:sz="2" w:space="0"/>
              <w:bottom w:val="single" w:color="auto" w:sz="6" w:space="0"/>
              <w:right w:val="single" w:color="auto" w:sz="6" w:space="0"/>
            </w:tcBorders>
            <w:vAlign w:val="center"/>
          </w:tcPr>
          <w:p w14:paraId="78F7515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B2色漆喷漆线电控</w:t>
            </w:r>
          </w:p>
        </w:tc>
        <w:tc>
          <w:tcPr>
            <w:tcW w:w="2899" w:type="pct"/>
            <w:tcBorders>
              <w:top w:val="single" w:color="auto" w:sz="6" w:space="0"/>
              <w:left w:val="single" w:color="auto" w:sz="6" w:space="0"/>
              <w:bottom w:val="single" w:color="auto" w:sz="6" w:space="0"/>
              <w:right w:val="single" w:color="auto" w:sz="2" w:space="0"/>
            </w:tcBorders>
            <w:vAlign w:val="center"/>
          </w:tcPr>
          <w:p w14:paraId="1B5465C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PLC＋HMI＋分站（新风空调、循环风空调、排风系统、干式小车、闪干）+现场总线</w:t>
            </w:r>
          </w:p>
        </w:tc>
      </w:tr>
      <w:tr w14:paraId="730B79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08E7AA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1666" w:type="pct"/>
            <w:tcBorders>
              <w:top w:val="single" w:color="auto" w:sz="6" w:space="0"/>
              <w:left w:val="single" w:color="auto" w:sz="2" w:space="0"/>
              <w:bottom w:val="single" w:color="auto" w:sz="6" w:space="0"/>
              <w:right w:val="single" w:color="auto" w:sz="6" w:space="0"/>
            </w:tcBorders>
            <w:vAlign w:val="center"/>
          </w:tcPr>
          <w:p w14:paraId="4E7E3BF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清漆喷漆线电控</w:t>
            </w:r>
          </w:p>
        </w:tc>
        <w:tc>
          <w:tcPr>
            <w:tcW w:w="2899" w:type="pct"/>
            <w:tcBorders>
              <w:top w:val="single" w:color="auto" w:sz="6" w:space="0"/>
              <w:left w:val="single" w:color="auto" w:sz="6" w:space="0"/>
              <w:bottom w:val="single" w:color="auto" w:sz="6" w:space="0"/>
              <w:right w:val="single" w:color="auto" w:sz="2" w:space="0"/>
            </w:tcBorders>
            <w:vAlign w:val="center"/>
          </w:tcPr>
          <w:p w14:paraId="45366AD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PLC＋HMI＋分站（新风空调、循环风空调、排风系统、干式小车）+现场总线</w:t>
            </w:r>
          </w:p>
        </w:tc>
      </w:tr>
      <w:tr w14:paraId="539EB6E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21644D0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1666" w:type="pct"/>
            <w:tcBorders>
              <w:top w:val="single" w:color="auto" w:sz="6" w:space="0"/>
              <w:left w:val="single" w:color="auto" w:sz="2" w:space="0"/>
              <w:bottom w:val="single" w:color="auto" w:sz="6" w:space="0"/>
              <w:right w:val="single" w:color="auto" w:sz="6" w:space="0"/>
            </w:tcBorders>
            <w:vAlign w:val="center"/>
          </w:tcPr>
          <w:p w14:paraId="1D25A19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工位送风空调</w:t>
            </w:r>
          </w:p>
        </w:tc>
        <w:tc>
          <w:tcPr>
            <w:tcW w:w="2899" w:type="pct"/>
            <w:tcBorders>
              <w:top w:val="single" w:color="auto" w:sz="6" w:space="0"/>
              <w:left w:val="single" w:color="auto" w:sz="6" w:space="0"/>
              <w:bottom w:val="single" w:color="auto" w:sz="6" w:space="0"/>
              <w:right w:val="single" w:color="auto" w:sz="2" w:space="0"/>
            </w:tcBorders>
            <w:vAlign w:val="center"/>
          </w:tcPr>
          <w:p w14:paraId="39AE38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PLC（送风空调）块＋HMI+远程开启按钮和指示+现场总线</w:t>
            </w:r>
          </w:p>
        </w:tc>
      </w:tr>
      <w:tr w14:paraId="4519C8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2EE054F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w:t>
            </w:r>
          </w:p>
        </w:tc>
        <w:tc>
          <w:tcPr>
            <w:tcW w:w="1666" w:type="pct"/>
            <w:tcBorders>
              <w:top w:val="single" w:color="auto" w:sz="6" w:space="0"/>
              <w:left w:val="single" w:color="auto" w:sz="2" w:space="0"/>
              <w:bottom w:val="single" w:color="auto" w:sz="6" w:space="0"/>
              <w:right w:val="single" w:color="auto" w:sz="6" w:space="0"/>
            </w:tcBorders>
            <w:vAlign w:val="center"/>
          </w:tcPr>
          <w:p w14:paraId="43F9294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输调漆间送排风空调</w:t>
            </w:r>
          </w:p>
        </w:tc>
        <w:tc>
          <w:tcPr>
            <w:tcW w:w="2899" w:type="pct"/>
            <w:tcBorders>
              <w:top w:val="single" w:color="auto" w:sz="6" w:space="0"/>
              <w:left w:val="single" w:color="auto" w:sz="6" w:space="0"/>
              <w:bottom w:val="single" w:color="auto" w:sz="6" w:space="0"/>
              <w:right w:val="single" w:color="auto" w:sz="2" w:space="0"/>
            </w:tcBorders>
            <w:vAlign w:val="center"/>
          </w:tcPr>
          <w:p w14:paraId="6F023C0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PLC＋HMI＋现场总线+分站（排风）+现场总线</w:t>
            </w:r>
          </w:p>
        </w:tc>
      </w:tr>
      <w:tr w14:paraId="2D607B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43A13E4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w:t>
            </w:r>
          </w:p>
        </w:tc>
        <w:tc>
          <w:tcPr>
            <w:tcW w:w="1666" w:type="pct"/>
            <w:tcBorders>
              <w:top w:val="single" w:color="auto" w:sz="6" w:space="0"/>
              <w:left w:val="single" w:color="auto" w:sz="2" w:space="0"/>
              <w:bottom w:val="single" w:color="auto" w:sz="6" w:space="0"/>
              <w:right w:val="single" w:color="auto" w:sz="6" w:space="0"/>
            </w:tcBorders>
            <w:vAlign w:val="center"/>
          </w:tcPr>
          <w:p w14:paraId="791D033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室体工位设备电控</w:t>
            </w:r>
          </w:p>
        </w:tc>
        <w:tc>
          <w:tcPr>
            <w:tcW w:w="2899" w:type="pct"/>
            <w:tcBorders>
              <w:top w:val="single" w:color="auto" w:sz="6" w:space="0"/>
              <w:left w:val="single" w:color="auto" w:sz="6" w:space="0"/>
              <w:bottom w:val="single" w:color="auto" w:sz="6" w:space="0"/>
              <w:right w:val="single" w:color="auto" w:sz="2" w:space="0"/>
            </w:tcBorders>
            <w:vAlign w:val="center"/>
          </w:tcPr>
          <w:p w14:paraId="238888E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常规控制，点修补烤灯自带电控+现场总线</w:t>
            </w:r>
          </w:p>
        </w:tc>
      </w:tr>
      <w:tr w14:paraId="59441C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27DEEF2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10</w:t>
            </w:r>
          </w:p>
        </w:tc>
        <w:tc>
          <w:tcPr>
            <w:tcW w:w="1666" w:type="pct"/>
            <w:tcBorders>
              <w:top w:val="single" w:color="auto" w:sz="6" w:space="0"/>
              <w:left w:val="single" w:color="auto" w:sz="2" w:space="0"/>
              <w:bottom w:val="single" w:color="auto" w:sz="6" w:space="0"/>
              <w:right w:val="single" w:color="auto" w:sz="6" w:space="0"/>
            </w:tcBorders>
            <w:vAlign w:val="center"/>
          </w:tcPr>
          <w:p w14:paraId="542F074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新增输送系统</w:t>
            </w:r>
          </w:p>
        </w:tc>
        <w:tc>
          <w:tcPr>
            <w:tcW w:w="2899" w:type="pct"/>
            <w:tcBorders>
              <w:top w:val="single" w:color="auto" w:sz="6" w:space="0"/>
              <w:left w:val="single" w:color="auto" w:sz="6" w:space="0"/>
              <w:bottom w:val="single" w:color="auto" w:sz="6" w:space="0"/>
              <w:right w:val="single" w:color="auto" w:sz="2" w:space="0"/>
            </w:tcBorders>
            <w:vAlign w:val="center"/>
          </w:tcPr>
          <w:p w14:paraId="3A2B08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安全PLC＋HMI＋现场总线+分站，分区控制，不小于3个区，含自行小车+现场总线+PLC（每个分区独立的PLC）。</w:t>
            </w:r>
          </w:p>
        </w:tc>
      </w:tr>
      <w:tr w14:paraId="6B4B6E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0D6D059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11</w:t>
            </w:r>
          </w:p>
        </w:tc>
        <w:tc>
          <w:tcPr>
            <w:tcW w:w="1666" w:type="pct"/>
            <w:tcBorders>
              <w:top w:val="single" w:color="auto" w:sz="4" w:space="0"/>
              <w:left w:val="single" w:color="auto" w:sz="2" w:space="0"/>
              <w:bottom w:val="single" w:color="auto" w:sz="4" w:space="0"/>
              <w:right w:val="single" w:color="auto" w:sz="6" w:space="0"/>
            </w:tcBorders>
            <w:vAlign w:val="center"/>
          </w:tcPr>
          <w:p w14:paraId="753EA56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中控室（利旧）</w:t>
            </w:r>
          </w:p>
        </w:tc>
        <w:tc>
          <w:tcPr>
            <w:tcW w:w="2899" w:type="pct"/>
            <w:tcBorders>
              <w:top w:val="single" w:color="auto" w:sz="4" w:space="0"/>
              <w:left w:val="single" w:color="auto" w:sz="6" w:space="0"/>
              <w:bottom w:val="single" w:color="auto" w:sz="4" w:space="0"/>
              <w:right w:val="single" w:color="auto" w:sz="2" w:space="0"/>
            </w:tcBorders>
            <w:vAlign w:val="center"/>
          </w:tcPr>
          <w:p w14:paraId="2840BC7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kern w:val="0"/>
                <w:sz w:val="24"/>
                <w:lang w:val="de-DE"/>
              </w:rPr>
              <w:t>服务器+上位</w:t>
            </w:r>
            <w:r>
              <w:rPr>
                <w:rFonts w:hint="eastAsia" w:ascii="宋体" w:hAnsi="宋体" w:eastAsia="宋体" w:cs="宋体"/>
                <w:kern w:val="0"/>
                <w:sz w:val="24"/>
              </w:rPr>
              <w:t>机+</w:t>
            </w:r>
            <w:r>
              <w:rPr>
                <w:rFonts w:hint="eastAsia" w:ascii="宋体" w:hAnsi="宋体" w:eastAsia="宋体" w:cs="宋体"/>
                <w:kern w:val="0"/>
                <w:sz w:val="24"/>
                <w:lang w:val="de-DE"/>
              </w:rPr>
              <w:t>软件</w:t>
            </w:r>
          </w:p>
        </w:tc>
      </w:tr>
      <w:tr w14:paraId="10075F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1AAC9C0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w:t>
            </w:r>
          </w:p>
        </w:tc>
        <w:tc>
          <w:tcPr>
            <w:tcW w:w="1666" w:type="pct"/>
            <w:tcBorders>
              <w:top w:val="single" w:color="auto" w:sz="4" w:space="0"/>
              <w:left w:val="single" w:color="auto" w:sz="2" w:space="0"/>
              <w:bottom w:val="single" w:color="auto" w:sz="4" w:space="0"/>
              <w:right w:val="single" w:color="auto" w:sz="6" w:space="0"/>
            </w:tcBorders>
            <w:vAlign w:val="center"/>
          </w:tcPr>
          <w:p w14:paraId="1FAD460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kern w:val="0"/>
                <w:sz w:val="24"/>
              </w:rPr>
              <w:t>新增</w:t>
            </w:r>
            <w:r>
              <w:rPr>
                <w:rFonts w:hint="eastAsia" w:ascii="宋体" w:hAnsi="宋体" w:eastAsia="宋体" w:cs="宋体"/>
                <w:kern w:val="0"/>
                <w:sz w:val="24"/>
                <w:lang w:val="de-DE"/>
              </w:rPr>
              <w:t>AVI</w:t>
            </w:r>
          </w:p>
        </w:tc>
        <w:tc>
          <w:tcPr>
            <w:tcW w:w="2899" w:type="pct"/>
            <w:tcBorders>
              <w:top w:val="single" w:color="auto" w:sz="4" w:space="0"/>
              <w:left w:val="single" w:color="auto" w:sz="6" w:space="0"/>
              <w:bottom w:val="single" w:color="auto" w:sz="4" w:space="0"/>
              <w:right w:val="single" w:color="auto" w:sz="2" w:space="0"/>
            </w:tcBorders>
            <w:vAlign w:val="center"/>
          </w:tcPr>
          <w:p w14:paraId="11D56AE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kern w:val="0"/>
                <w:sz w:val="24"/>
              </w:rPr>
              <w:t>现场模块+载码体\扫描站</w:t>
            </w:r>
          </w:p>
        </w:tc>
      </w:tr>
      <w:tr w14:paraId="2E98E41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433" w:type="pct"/>
            <w:tcBorders>
              <w:top w:val="single" w:color="auto" w:sz="6" w:space="0"/>
              <w:left w:val="single" w:color="auto" w:sz="2" w:space="0"/>
              <w:bottom w:val="single" w:color="auto" w:sz="6" w:space="0"/>
              <w:right w:val="single" w:color="auto" w:sz="2" w:space="0"/>
            </w:tcBorders>
            <w:vAlign w:val="center"/>
          </w:tcPr>
          <w:p w14:paraId="47029B2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13</w:t>
            </w:r>
          </w:p>
        </w:tc>
        <w:tc>
          <w:tcPr>
            <w:tcW w:w="1666" w:type="pct"/>
            <w:tcBorders>
              <w:top w:val="single" w:color="auto" w:sz="4" w:space="0"/>
              <w:left w:val="single" w:color="auto" w:sz="2" w:space="0"/>
              <w:bottom w:val="single" w:color="auto" w:sz="4" w:space="0"/>
              <w:right w:val="single" w:color="auto" w:sz="6" w:space="0"/>
            </w:tcBorders>
            <w:vAlign w:val="center"/>
          </w:tcPr>
          <w:p w14:paraId="62653E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新增能源计量</w:t>
            </w:r>
          </w:p>
        </w:tc>
        <w:tc>
          <w:tcPr>
            <w:tcW w:w="2899" w:type="pct"/>
            <w:tcBorders>
              <w:top w:val="single" w:color="auto" w:sz="4" w:space="0"/>
              <w:left w:val="single" w:color="auto" w:sz="6" w:space="0"/>
              <w:bottom w:val="single" w:color="auto" w:sz="4" w:space="0"/>
              <w:right w:val="single" w:color="auto" w:sz="2" w:space="0"/>
            </w:tcBorders>
            <w:vAlign w:val="center"/>
          </w:tcPr>
          <w:p w14:paraId="402B32A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计量仪表连接到中控系统</w:t>
            </w:r>
          </w:p>
        </w:tc>
      </w:tr>
    </w:tbl>
    <w:p w14:paraId="08A18A55">
      <w:pPr>
        <w:pStyle w:val="17"/>
        <w:pageBreakBefore w:val="0"/>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注：</w:t>
      </w:r>
    </w:p>
    <w:p w14:paraId="565B4199">
      <w:pPr>
        <w:pStyle w:val="17"/>
        <w:pageBreakBefore w:val="0"/>
        <w:numPr>
          <w:ilvl w:val="0"/>
          <w:numId w:val="3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控制方式在取得</w:t>
      </w:r>
      <w:r>
        <w:rPr>
          <w:rFonts w:hint="eastAsia" w:ascii="宋体" w:hAnsi="宋体" w:cs="宋体"/>
          <w:lang w:eastAsia="zh-CN"/>
        </w:rPr>
        <w:t>招标人</w:t>
      </w:r>
      <w:r>
        <w:rPr>
          <w:rFonts w:hint="eastAsia" w:ascii="宋体" w:hAnsi="宋体" w:eastAsia="宋体" w:cs="宋体"/>
        </w:rPr>
        <w:t>同意后可</w:t>
      </w:r>
      <w:r>
        <w:rPr>
          <w:rFonts w:hint="eastAsia" w:ascii="宋体" w:hAnsi="宋体" w:eastAsia="宋体" w:cs="宋体"/>
          <w:bCs/>
        </w:rPr>
        <w:t>予以优化，</w:t>
      </w:r>
      <w:r>
        <w:rPr>
          <w:rFonts w:hint="eastAsia" w:ascii="宋体" w:hAnsi="宋体" w:cs="宋体"/>
          <w:bCs/>
          <w:lang w:eastAsia="zh-CN"/>
        </w:rPr>
        <w:t>投标人</w:t>
      </w:r>
      <w:r>
        <w:rPr>
          <w:rFonts w:hint="eastAsia" w:ascii="宋体" w:hAnsi="宋体" w:eastAsia="宋体" w:cs="宋体"/>
          <w:bCs/>
        </w:rPr>
        <w:t>须在招标前和招标过程中提出自己的控制方式。</w:t>
      </w:r>
    </w:p>
    <w:p w14:paraId="7E0FDBDE">
      <w:pPr>
        <w:pStyle w:val="17"/>
        <w:pageBreakBefore w:val="0"/>
        <w:numPr>
          <w:ilvl w:val="0"/>
          <w:numId w:val="3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通用技术要求通用适用于输调漆、供胶控制系统、机器人、RTO、所有整体外购设备中，</w:t>
      </w:r>
      <w:r>
        <w:rPr>
          <w:rFonts w:hint="eastAsia" w:ascii="宋体" w:hAnsi="宋体" w:cs="宋体"/>
          <w:lang w:eastAsia="zh-CN"/>
        </w:rPr>
        <w:t>投标人</w:t>
      </w:r>
      <w:r>
        <w:rPr>
          <w:rFonts w:hint="eastAsia" w:ascii="宋体" w:hAnsi="宋体" w:eastAsia="宋体" w:cs="宋体"/>
        </w:rPr>
        <w:t>需从预留相关接口将信息采集到至中控室。</w:t>
      </w:r>
    </w:p>
    <w:p w14:paraId="2D50A217">
      <w:pPr>
        <w:pStyle w:val="17"/>
        <w:pageBreakBefore w:val="0"/>
        <w:numPr>
          <w:ilvl w:val="0"/>
          <w:numId w:val="334"/>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color w:val="FFFFFF" w:themeColor="background1"/>
          <w14:textFill>
            <w14:solidFill>
              <w14:schemeClr w14:val="bg1"/>
            </w14:solidFill>
          </w14:textFill>
        </w:rPr>
      </w:pPr>
      <w:r>
        <w:rPr>
          <w:rFonts w:hint="eastAsia" w:ascii="宋体" w:hAnsi="宋体" w:eastAsia="宋体" w:cs="宋体"/>
          <w:kern w:val="0"/>
        </w:rPr>
        <w:t>控制系统CPU非标设备（前处理、电泳、空调、输调漆、烘干、整流）采用非安全型PLC，</w:t>
      </w:r>
      <w:r>
        <w:rPr>
          <w:rFonts w:hint="eastAsia" w:ascii="宋体" w:hAnsi="宋体" w:eastAsia="宋体" w:cs="宋体"/>
          <w:color w:val="FFFFFF" w:themeColor="background1"/>
          <w:kern w:val="0"/>
          <w14:textFill>
            <w14:solidFill>
              <w14:schemeClr w14:val="bg1"/>
            </w14:solidFill>
          </w14:textFill>
        </w:rPr>
        <w:t>机械化输</w:t>
      </w:r>
    </w:p>
    <w:p w14:paraId="537D4786">
      <w:pPr>
        <w:pStyle w:val="458"/>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2.3  电气系统方案设计说明</w:t>
      </w:r>
    </w:p>
    <w:p w14:paraId="4F9153A7">
      <w:pPr>
        <w:pStyle w:val="458"/>
        <w:pageBreakBefore w:val="0"/>
        <w:numPr>
          <w:ilvl w:val="0"/>
          <w:numId w:val="3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涂装车间电气设计必须遵循国际、国内的涂装行业的电气、安全消防、防爆、防腐、环保等标准和规范，以及中国的法律、法规及相关规范。</w:t>
      </w:r>
    </w:p>
    <w:p w14:paraId="67826C56">
      <w:pPr>
        <w:pStyle w:val="458"/>
        <w:pageBreakBefore w:val="0"/>
        <w:numPr>
          <w:ilvl w:val="0"/>
          <w:numId w:val="3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所有电机均采用可满足高效节能电机。</w:t>
      </w:r>
    </w:p>
    <w:p w14:paraId="33EF722A">
      <w:pPr>
        <w:pStyle w:val="458"/>
        <w:pageBreakBefore w:val="0"/>
        <w:numPr>
          <w:ilvl w:val="0"/>
          <w:numId w:val="3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涂装车间电气设计必须依据涂装工艺，涂装设备、机械化运输控制和生产节拍等要求进行；电气设计必须实现工艺参数的自动控制、自动调节；电气设计必须满足多种车型柔性生产的需要，能够自动识别，自动连接MES系统。</w:t>
      </w:r>
    </w:p>
    <w:p w14:paraId="5115D197">
      <w:pPr>
        <w:pStyle w:val="458"/>
        <w:pageBreakBefore w:val="0"/>
        <w:numPr>
          <w:ilvl w:val="0"/>
          <w:numId w:val="3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val="en-US"/>
        </w:rPr>
        <w:t>新增设备</w:t>
      </w:r>
      <w:r>
        <w:rPr>
          <w:rFonts w:hint="eastAsia" w:ascii="宋体" w:hAnsi="宋体" w:eastAsia="宋体" w:cs="宋体"/>
          <w:sz w:val="24"/>
          <w:szCs w:val="24"/>
        </w:rPr>
        <w:t>电气控制必须能实现工艺方面的要求（对温度、液位、压力，流量、湿度等进行控制，自动准确控制）；电气控制必须保证设备安全运行，保护可靠；电气控制必须能保证安全消防联锁可靠；电气控制元件必须考虑特殊环境的要求（防爆、防腐、防湿、耐高温）；电气控制元件必须采用灵敏可靠，经久耐用，质量优秀的知名品牌产品。</w:t>
      </w:r>
    </w:p>
    <w:p w14:paraId="551D29D3">
      <w:pPr>
        <w:pStyle w:val="458"/>
        <w:pageBreakBefore w:val="0"/>
        <w:numPr>
          <w:ilvl w:val="0"/>
          <w:numId w:val="3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电气控制系统的设计、控制元器件的选择必须保证节能要求，达到最好的节能效果。 </w:t>
      </w:r>
    </w:p>
    <w:p w14:paraId="0027BD12">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停电时不应发生任何危险，不会出现误操作、短路、控制程序紊乱、控制数据丢失等问题。恢复供电时，机械设备不能自动起动，安全保护电路应通过复位操作才能起动。 </w:t>
      </w:r>
    </w:p>
    <w:p w14:paraId="1E217BE1">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所有的存储设备要保证其数据安全，所有的存储设备安全管理级别如浏览、拷贝、编辑等</w:t>
      </w:r>
    </w:p>
    <w:p w14:paraId="06DD33DB">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点预留：PLC 本地输入输出不少于20%；控制柜预留20 ％安装空间。控制柜及操作箱门面预留盲孔，以便扩展。</w:t>
      </w:r>
    </w:p>
    <w:p w14:paraId="2A78C86B">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同级别的PLC型号尽量统一，以方便维护及更换。</w:t>
      </w:r>
    </w:p>
    <w:p w14:paraId="5574EAA8">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升降机、旋转设备等电机设置维修开关。</w:t>
      </w:r>
    </w:p>
    <w:p w14:paraId="634B1D1D">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联锁信号采集遵行谁用谁取谁放线原则，与消防联锁信号采用点对点接线，信号采用中间继电器进行硬接线方式。所有与消防联锁信号线由设备放。</w:t>
      </w:r>
    </w:p>
    <w:p w14:paraId="47AF6B56">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PLC与PLC之间的连锁信号采用通信耦合器的形式实现。</w:t>
      </w:r>
    </w:p>
    <w:p w14:paraId="0AEEF4A5">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val="en-US"/>
        </w:rPr>
        <w:t>带PLC、变频器的所有</w:t>
      </w:r>
      <w:r>
        <w:rPr>
          <w:rFonts w:hint="eastAsia" w:ascii="宋体" w:hAnsi="宋体" w:eastAsia="宋体" w:cs="宋体"/>
          <w:sz w:val="24"/>
          <w:szCs w:val="24"/>
        </w:rPr>
        <w:t>电控柜均需安装空调，空调要求具备数显、温度可调、自蒸发功能。</w:t>
      </w:r>
    </w:p>
    <w:p w14:paraId="78AFBECC">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所有PLC控制柜均需要通过以太网上传到中控室对整个系统的信号，参数，设备状态，故障，报警，各种参数的实时曲线，趋势以及工艺流程图进行显示和记录。</w:t>
      </w:r>
    </w:p>
    <w:p w14:paraId="6D398B91">
      <w:pPr>
        <w:pStyle w:val="458"/>
        <w:pageBreakBefore w:val="0"/>
        <w:numPr>
          <w:ilvl w:val="0"/>
          <w:numId w:val="33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iCs/>
          <w:sz w:val="24"/>
          <w:szCs w:val="24"/>
        </w:rPr>
        <w:t>电机回路配有带热保护的低压断路器组成短路保护和过载、断相保护线路。</w:t>
      </w:r>
    </w:p>
    <w:p w14:paraId="34939D89">
      <w:pPr>
        <w:pStyle w:val="210"/>
        <w:pageBreakBefore w:val="0"/>
        <w:numPr>
          <w:ilvl w:val="0"/>
          <w:numId w:val="3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根据工艺要求设置电机变频器进行启动，重载类设备的变频器选择变频器功率比电机功率大一档。</w:t>
      </w:r>
    </w:p>
    <w:p w14:paraId="68904539">
      <w:pPr>
        <w:pStyle w:val="210"/>
        <w:pageBreakBefore w:val="0"/>
        <w:numPr>
          <w:ilvl w:val="0"/>
          <w:numId w:val="3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变频器驱动的电机电流值需要在工控机上显示。</w:t>
      </w:r>
    </w:p>
    <w:p w14:paraId="2F833FE2">
      <w:pPr>
        <w:pStyle w:val="17"/>
        <w:pageBreakBefore w:val="0"/>
        <w:numPr>
          <w:ilvl w:val="0"/>
          <w:numId w:val="338"/>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kern w:val="0"/>
        </w:rPr>
        <w:t>所</w:t>
      </w:r>
      <w:r>
        <w:rPr>
          <w:rFonts w:hint="eastAsia" w:ascii="宋体" w:hAnsi="宋体" w:eastAsia="宋体" w:cs="宋体"/>
          <w:iCs/>
        </w:rPr>
        <w:t>有输送的过渡段驱动电机均采用变频调速，过渡段电机杜绝直接启动方式。</w:t>
      </w:r>
    </w:p>
    <w:p w14:paraId="26D9CC28">
      <w:pPr>
        <w:pStyle w:val="458"/>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2.4 喷漆室及喷漆空调送风控制系统</w:t>
      </w:r>
    </w:p>
    <w:p w14:paraId="524D101B">
      <w:pPr>
        <w:pageBreakBefore w:val="0"/>
        <w:numPr>
          <w:ilvl w:val="0"/>
          <w:numId w:val="3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配置方案</w:t>
      </w:r>
    </w:p>
    <w:p w14:paraId="52979B23">
      <w:pPr>
        <w:pStyle w:val="458"/>
        <w:pageBreakBefore w:val="0"/>
        <w:numPr>
          <w:ilvl w:val="0"/>
          <w:numId w:val="34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色漆喷漆室、清漆喷漆室分别设置，每个喷漆室及相应的附属设施做为一套控制系统，本项目喷漆室共有3套控制系统（B1 B2 罩光漆）。</w:t>
      </w:r>
    </w:p>
    <w:p w14:paraId="28EB7206">
      <w:pPr>
        <w:pStyle w:val="458"/>
        <w:pageBreakBefore w:val="0"/>
        <w:numPr>
          <w:ilvl w:val="0"/>
          <w:numId w:val="34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喷漆室及喷漆空调送风控制系统包含喷漆室新风送风空调、喷漆室循环风送风空调、循环风控制、制冷机组、喷漆室排风、废气处理系统信号及室体照明系统控制。</w:t>
      </w:r>
    </w:p>
    <w:p w14:paraId="292FF316">
      <w:pPr>
        <w:pStyle w:val="458"/>
        <w:pageBreakBefore w:val="0"/>
        <w:numPr>
          <w:ilvl w:val="0"/>
          <w:numId w:val="34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PLC点数根据控制温度可靠设置，设分主控柜和远控柜。主控柜设置在喷漆室洁净间（安装PLC和触摸屏）能监控新风空调、，远控柜中设置总线模块和PLC，通过网络总线和以太网与主PLC柜及中控室进行数据交换。PLC控制柜设置人机界面，可以集中监视本区域的各种数据（如运行状况、故障信息等）。所有的操作及参数设定均可在人机界面上操作、显示。</w:t>
      </w:r>
    </w:p>
    <w:p w14:paraId="32742531">
      <w:pPr>
        <w:pStyle w:val="458"/>
        <w:pageBreakBefore w:val="0"/>
        <w:numPr>
          <w:ilvl w:val="0"/>
          <w:numId w:val="34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新风喷漆送风空调、循环风空调由于控制点较多，各有一组电控柜中设置有PLC和人机界面；喷漆室排风、I/O现场模块。</w:t>
      </w:r>
    </w:p>
    <w:p w14:paraId="167499FB">
      <w:pPr>
        <w:pStyle w:val="263"/>
        <w:pageBreakBefore w:val="0"/>
        <w:numPr>
          <w:ilvl w:val="0"/>
          <w:numId w:val="34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喷漆室输送系统应与送排风系统联锁，并且只有在送排风系统开启之后方能启动输送系统。</w:t>
      </w:r>
    </w:p>
    <w:p w14:paraId="0533818B">
      <w:pPr>
        <w:pStyle w:val="458"/>
        <w:pageBreakBefore w:val="0"/>
        <w:numPr>
          <w:ilvl w:val="0"/>
          <w:numId w:val="34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rPr>
        <w:t>喷漆室</w:t>
      </w:r>
      <w:r>
        <w:rPr>
          <w:rFonts w:hint="eastAsia" w:ascii="宋体" w:hAnsi="宋体" w:eastAsia="宋体" w:cs="宋体"/>
          <w:sz w:val="24"/>
          <w:lang w:val="en-US"/>
        </w:rPr>
        <w:t>干式漆雾捕捉系统</w:t>
      </w:r>
      <w:r>
        <w:rPr>
          <w:rFonts w:hint="eastAsia" w:ascii="宋体" w:hAnsi="宋体" w:eastAsia="宋体" w:cs="宋体"/>
          <w:sz w:val="24"/>
        </w:rPr>
        <w:t>设置独立的PLC控制。</w:t>
      </w:r>
    </w:p>
    <w:p w14:paraId="063BF22D">
      <w:pPr>
        <w:pStyle w:val="210"/>
        <w:pageBreakBefore w:val="0"/>
        <w:numPr>
          <w:ilvl w:val="0"/>
          <w:numId w:val="34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采用干式小车漆雾捕捉系统，BC1、BC2、CC各喷漆段电控系统独立，配置单独PLC。</w:t>
      </w:r>
    </w:p>
    <w:p w14:paraId="19E06AD9">
      <w:pPr>
        <w:pStyle w:val="210"/>
        <w:pageBreakBefore w:val="0"/>
        <w:numPr>
          <w:ilvl w:val="0"/>
          <w:numId w:val="34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每套干式小车纸箱堵塞实现在线更换。</w:t>
      </w:r>
    </w:p>
    <w:p w14:paraId="7953CA3B">
      <w:pPr>
        <w:pStyle w:val="210"/>
        <w:pageBreakBefore w:val="0"/>
        <w:numPr>
          <w:ilvl w:val="0"/>
          <w:numId w:val="34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色漆喷漆室、色漆流平室、清漆喷漆室、清漆流平室废气采用活性炭吸附+催化燃烧处理后排放（含调漆间）。网络连接中控室，中控室能监控设备运行状态。</w:t>
      </w:r>
    </w:p>
    <w:p w14:paraId="34FACDAC">
      <w:pPr>
        <w:pageBreakBefore w:val="0"/>
        <w:widowControl/>
        <w:numPr>
          <w:ilvl w:val="0"/>
          <w:numId w:val="340"/>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喷漆室各个晾干室的供排风系统根据工艺要求能手动调节。</w:t>
      </w:r>
    </w:p>
    <w:p w14:paraId="5B3D5FE2">
      <w:pPr>
        <w:pageBreakBefore w:val="0"/>
        <w:widowControl/>
        <w:numPr>
          <w:ilvl w:val="0"/>
          <w:numId w:val="340"/>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供排风管带有调节风量分配的分配风阀，风阀手动调节开口大小，满足工艺。</w:t>
      </w:r>
    </w:p>
    <w:p w14:paraId="12B3483D">
      <w:pPr>
        <w:pageBreakBefore w:val="0"/>
        <w:numPr>
          <w:ilvl w:val="0"/>
          <w:numId w:val="3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控制方式</w:t>
      </w:r>
    </w:p>
    <w:p w14:paraId="249A64AA">
      <w:pPr>
        <w:pStyle w:val="458"/>
        <w:pageBreakBefore w:val="0"/>
        <w:numPr>
          <w:ilvl w:val="0"/>
          <w:numId w:val="34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操作方式有手动和自动方式。自动方式下有本地/远程选择开关，可实现顺序启动空调送风机、排风机和漆雾处理控制。所有功能在手动方式下均可独立操作。</w:t>
      </w:r>
    </w:p>
    <w:p w14:paraId="095B4B37">
      <w:pPr>
        <w:pStyle w:val="458"/>
        <w:pageBreakBefore w:val="0"/>
        <w:numPr>
          <w:ilvl w:val="0"/>
          <w:numId w:val="34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喷漆设备送、排风系统在自动或手动状态下都联动启停运行。一方出现故障停机，发出报警信号，相应方设备也停机。</w:t>
      </w:r>
    </w:p>
    <w:p w14:paraId="3BD3DFB2">
      <w:pPr>
        <w:pStyle w:val="458"/>
        <w:pageBreakBefore w:val="0"/>
        <w:numPr>
          <w:ilvl w:val="0"/>
          <w:numId w:val="34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电气设计上，应使各喷漆室的供风与其相应的排风相互联锁，按照一定的顺序进行起停，喷漆室微正压启动和停止，以保证喷漆室内的清洁。</w:t>
      </w:r>
    </w:p>
    <w:p w14:paraId="2F540B14">
      <w:pPr>
        <w:pStyle w:val="458"/>
        <w:pageBreakBefore w:val="0"/>
        <w:numPr>
          <w:ilvl w:val="0"/>
          <w:numId w:val="3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喷漆室</w:t>
      </w:r>
    </w:p>
    <w:p w14:paraId="6FA79FF0">
      <w:pPr>
        <w:pStyle w:val="458"/>
        <w:pageBreakBefore w:val="0"/>
        <w:numPr>
          <w:ilvl w:val="0"/>
          <w:numId w:val="3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在喷漆室内应设温湿度检测，检测精度±0.5℃。在人机界面上显示。</w:t>
      </w:r>
    </w:p>
    <w:p w14:paraId="482D37A8">
      <w:pPr>
        <w:pStyle w:val="458"/>
        <w:pageBreakBefore w:val="0"/>
        <w:numPr>
          <w:ilvl w:val="0"/>
          <w:numId w:val="3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喷漆室内电器元件应为防爆型。</w:t>
      </w:r>
    </w:p>
    <w:p w14:paraId="7A99E6AA">
      <w:pPr>
        <w:pStyle w:val="458"/>
        <w:pageBreakBefore w:val="0"/>
        <w:numPr>
          <w:ilvl w:val="0"/>
          <w:numId w:val="3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卷帘门应该与喷房和输送系统联锁，具体联锁内容现场确定。</w:t>
      </w:r>
    </w:p>
    <w:p w14:paraId="67E8DB1D">
      <w:pPr>
        <w:pStyle w:val="458"/>
        <w:pageBreakBefore w:val="0"/>
        <w:numPr>
          <w:ilvl w:val="0"/>
          <w:numId w:val="3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设车型、颜色指示信息，具体位置现场确定。</w:t>
      </w:r>
    </w:p>
    <w:p w14:paraId="49EFD53A">
      <w:pPr>
        <w:pStyle w:val="458"/>
        <w:pageBreakBefore w:val="0"/>
        <w:numPr>
          <w:ilvl w:val="0"/>
          <w:numId w:val="3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送风空调、平台下，喷漆室（含洁净间的室体内设照明，照明分段、分区域控制。喷漆室至少分成3段控制，控制开关B1、B2、CC、入口、出口分别设置断路器、漏电保护器、控制开关、控制箱等。</w:t>
      </w:r>
    </w:p>
    <w:p w14:paraId="1A662ADD">
      <w:pPr>
        <w:pStyle w:val="458"/>
        <w:pageBreakBefore w:val="0"/>
        <w:numPr>
          <w:ilvl w:val="0"/>
          <w:numId w:val="34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洁净间入口风淋室自带控制，电源由</w:t>
      </w:r>
      <w:r>
        <w:rPr>
          <w:rFonts w:hint="eastAsia" w:ascii="宋体" w:hAnsi="宋体" w:cs="宋体"/>
          <w:sz w:val="24"/>
          <w:szCs w:val="24"/>
          <w:lang w:eastAsia="zh-CN"/>
        </w:rPr>
        <w:t>投标人</w:t>
      </w:r>
      <w:r>
        <w:rPr>
          <w:rFonts w:hint="eastAsia" w:ascii="宋体" w:hAnsi="宋体" w:eastAsia="宋体" w:cs="宋体"/>
          <w:sz w:val="24"/>
          <w:szCs w:val="24"/>
        </w:rPr>
        <w:t>负责。</w:t>
      </w:r>
    </w:p>
    <w:p w14:paraId="41E9B1E5">
      <w:pPr>
        <w:pageBreakBefore w:val="0"/>
        <w:numPr>
          <w:ilvl w:val="0"/>
          <w:numId w:val="34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排风机控制</w:t>
      </w:r>
    </w:p>
    <w:p w14:paraId="277FD9CD">
      <w:pPr>
        <w:pStyle w:val="263"/>
        <w:pageBreakBefore w:val="0"/>
        <w:numPr>
          <w:ilvl w:val="0"/>
          <w:numId w:val="34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设控制柜，内设I/O总线模块。</w:t>
      </w:r>
    </w:p>
    <w:p w14:paraId="5A6C37B0">
      <w:pPr>
        <w:pStyle w:val="263"/>
        <w:pageBreakBefore w:val="0"/>
        <w:numPr>
          <w:ilvl w:val="0"/>
          <w:numId w:val="34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喷漆室喷漆段排风机采用变频控制，根据系统的要求条件风量；其他段排风机常规控制。</w:t>
      </w:r>
    </w:p>
    <w:p w14:paraId="2FD66332">
      <w:pPr>
        <w:pStyle w:val="263"/>
        <w:pageBreakBefore w:val="0"/>
        <w:numPr>
          <w:ilvl w:val="0"/>
          <w:numId w:val="34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风机入口设消防阀，分别于空调启动信号和消防信号联锁。</w:t>
      </w:r>
    </w:p>
    <w:p w14:paraId="68F3C7FC">
      <w:pPr>
        <w:pageBreakBefore w:val="0"/>
        <w:numPr>
          <w:ilvl w:val="0"/>
          <w:numId w:val="34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联锁</w:t>
      </w:r>
    </w:p>
    <w:p w14:paraId="31730C5F">
      <w:pPr>
        <w:pStyle w:val="263"/>
        <w:pageBreakBefore w:val="0"/>
        <w:numPr>
          <w:ilvl w:val="0"/>
          <w:numId w:val="34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喷漆室空调系统与消防系统相互联锁。</w:t>
      </w:r>
    </w:p>
    <w:p w14:paraId="24EBA21A">
      <w:pPr>
        <w:pStyle w:val="263"/>
        <w:pageBreakBefore w:val="0"/>
        <w:numPr>
          <w:ilvl w:val="0"/>
          <w:numId w:val="34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排风机与消防系统相互联锁。</w:t>
      </w:r>
    </w:p>
    <w:p w14:paraId="29DB8D9E">
      <w:pPr>
        <w:pStyle w:val="263"/>
        <w:pageBreakBefore w:val="0"/>
        <w:numPr>
          <w:ilvl w:val="0"/>
          <w:numId w:val="34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喷漆室系统与机械化相互联锁。</w:t>
      </w:r>
    </w:p>
    <w:p w14:paraId="676C20E3">
      <w:pPr>
        <w:pStyle w:val="263"/>
        <w:pageBreakBefore w:val="0"/>
        <w:numPr>
          <w:ilvl w:val="0"/>
          <w:numId w:val="34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喷漆室与机器人、输送、输调漆相互联锁。</w:t>
      </w:r>
    </w:p>
    <w:p w14:paraId="68428B7B">
      <w:pPr>
        <w:pStyle w:val="263"/>
        <w:pageBreakBefore w:val="0"/>
        <w:numPr>
          <w:ilvl w:val="0"/>
          <w:numId w:val="34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各联锁信号要求图纸会签时讨论确定。</w:t>
      </w:r>
    </w:p>
    <w:p w14:paraId="22A464B0">
      <w:pPr>
        <w:pageBreakBefore w:val="0"/>
        <w:numPr>
          <w:ilvl w:val="0"/>
          <w:numId w:val="34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其他控制：未包括部分由</w:t>
      </w:r>
      <w:r>
        <w:rPr>
          <w:rFonts w:hint="eastAsia" w:ascii="宋体" w:hAnsi="宋体" w:cs="宋体"/>
          <w:sz w:val="24"/>
          <w:lang w:eastAsia="zh-CN"/>
        </w:rPr>
        <w:t>投标人</w:t>
      </w:r>
      <w:r>
        <w:rPr>
          <w:rFonts w:hint="eastAsia" w:ascii="宋体" w:hAnsi="宋体" w:eastAsia="宋体" w:cs="宋体"/>
          <w:sz w:val="24"/>
        </w:rPr>
        <w:t>提出。</w:t>
      </w:r>
      <w:r>
        <w:rPr>
          <w:rFonts w:hint="eastAsia" w:ascii="宋体" w:hAnsi="宋体" w:eastAsia="宋体" w:cs="宋体"/>
          <w:sz w:val="24"/>
        </w:rPr>
        <w:tab/>
      </w:r>
    </w:p>
    <w:p w14:paraId="655F86FB">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2.5工作区空调及调漆间空调送风控制系统</w:t>
      </w:r>
    </w:p>
    <w:p w14:paraId="1F868C02">
      <w:pPr>
        <w:pageBreakBefore w:val="0"/>
        <w:numPr>
          <w:ilvl w:val="0"/>
          <w:numId w:val="34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控制模式</w:t>
      </w:r>
    </w:p>
    <w:p w14:paraId="45712945">
      <w:pPr>
        <w:pStyle w:val="263"/>
        <w:pageBreakBefore w:val="0"/>
        <w:numPr>
          <w:ilvl w:val="0"/>
          <w:numId w:val="34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工作区空调送风、调漆间空调各配置一台PLC及人机界面。</w:t>
      </w:r>
    </w:p>
    <w:p w14:paraId="0191EA1D">
      <w:pPr>
        <w:pStyle w:val="263"/>
        <w:pageBreakBefore w:val="0"/>
        <w:numPr>
          <w:ilvl w:val="0"/>
          <w:numId w:val="34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主站和从站之间通过网络总线进行数据交换，并可上传到中控室。</w:t>
      </w:r>
    </w:p>
    <w:p w14:paraId="6C3885A8">
      <w:pPr>
        <w:pageBreakBefore w:val="0"/>
        <w:numPr>
          <w:ilvl w:val="0"/>
          <w:numId w:val="34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控制方式</w:t>
      </w:r>
    </w:p>
    <w:p w14:paraId="77696B69">
      <w:pPr>
        <w:pStyle w:val="263"/>
        <w:pageBreakBefore w:val="0"/>
        <w:numPr>
          <w:ilvl w:val="0"/>
          <w:numId w:val="35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操作方式有手动和自动方式。自动方式下有本地/远程选择开关，可实现顺序启动空调送风机控制。所有功能在手动方式下均可独立操作。空调送风机系统中设置有PLC，所有的操作及参数设定均可在人机界面上操作。</w:t>
      </w:r>
    </w:p>
    <w:p w14:paraId="1B4DC1A5">
      <w:pPr>
        <w:pStyle w:val="263"/>
        <w:pageBreakBefore w:val="0"/>
        <w:numPr>
          <w:ilvl w:val="0"/>
          <w:numId w:val="35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空调机组放在二楼，在对应工作间合适位置设远程操作站，可对对应空调进行一键启动，停止，故障显示等。</w:t>
      </w:r>
    </w:p>
    <w:p w14:paraId="562DB56F">
      <w:pPr>
        <w:pStyle w:val="263"/>
        <w:pageBreakBefore w:val="0"/>
        <w:numPr>
          <w:ilvl w:val="0"/>
          <w:numId w:val="35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电气设计上，应使各喷漆室的供风与其相应的排风相互联锁，按照一定的顺序进行起停，微正压启动和停止。</w:t>
      </w:r>
    </w:p>
    <w:p w14:paraId="144EEA2C">
      <w:pPr>
        <w:pageBreakBefore w:val="0"/>
        <w:numPr>
          <w:ilvl w:val="0"/>
          <w:numId w:val="34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空调的控制</w:t>
      </w:r>
    </w:p>
    <w:p w14:paraId="1220E121">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设置PLC与人机界面，可以集中监视本区域的各种数据（如运行状况、故障信息等）。所有的操作及参数设定均可在人机界面上操作、显示。</w:t>
      </w:r>
    </w:p>
    <w:p w14:paraId="09C5505D">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风机设风压开关，对风机电流和风压进行监控。</w:t>
      </w:r>
    </w:p>
    <w:p w14:paraId="42EDD1D6">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加湿泵采用变频器控制。加湿可根据湿度变送器检测信号自动闭环控制。加湿槽设浮球式液位变送器，能够根据液位开启补水和停泵，并报警。</w:t>
      </w:r>
    </w:p>
    <w:p w14:paraId="6E6DA545">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过滤袋处设置差压检测，并能上传到人机界面，达到压差报警显示。</w:t>
      </w:r>
    </w:p>
    <w:p w14:paraId="3F134884">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空调入口设置电动阀，出口设消防阀，分别于空调启动信号和消防信号联锁。</w:t>
      </w:r>
    </w:p>
    <w:p w14:paraId="1999A660">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根据工艺要求，对温湿度根据焓熵图进行准确控制，并能够根据不同的模式如夏季模式，冬季模式，春秋季模式，切换控制，尽可能的节约能源。</w:t>
      </w:r>
    </w:p>
    <w:p w14:paraId="49977C7F">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天燃气阀组外泄露检测仪表信号与燃烧机联锁。</w:t>
      </w:r>
    </w:p>
    <w:p w14:paraId="33167CBC">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根据温湿度的控制模式，分别对燃烧机，加湿泵，冷冻水调节阀，热水水调节阀控制，各控制合理，可靠，有效，尽可能的节省能源。</w:t>
      </w:r>
    </w:p>
    <w:p w14:paraId="31F1A4A6">
      <w:pPr>
        <w:pStyle w:val="263"/>
        <w:pageBreakBefore w:val="0"/>
        <w:numPr>
          <w:ilvl w:val="0"/>
          <w:numId w:val="35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压差信号（开关量）、温度信号、湿度信号等传递到实时监控系统记录、统计。</w:t>
      </w:r>
    </w:p>
    <w:p w14:paraId="7F0C4718">
      <w:pPr>
        <w:pageBreakBefore w:val="0"/>
        <w:numPr>
          <w:ilvl w:val="0"/>
          <w:numId w:val="34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工作区、输调漆间排风控制系统</w:t>
      </w:r>
    </w:p>
    <w:p w14:paraId="5CED4080">
      <w:pPr>
        <w:pStyle w:val="263"/>
        <w:pageBreakBefore w:val="0"/>
        <w:numPr>
          <w:ilvl w:val="0"/>
          <w:numId w:val="35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设控制柜，内设I/O总线模块。</w:t>
      </w:r>
    </w:p>
    <w:p w14:paraId="4C04D65E">
      <w:pPr>
        <w:pStyle w:val="263"/>
        <w:pageBreakBefore w:val="0"/>
        <w:numPr>
          <w:ilvl w:val="0"/>
          <w:numId w:val="35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排风机采用常规控制。</w:t>
      </w:r>
    </w:p>
    <w:p w14:paraId="72FB51BF">
      <w:pPr>
        <w:pageBreakBefore w:val="0"/>
        <w:numPr>
          <w:ilvl w:val="0"/>
          <w:numId w:val="34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联锁</w:t>
      </w:r>
    </w:p>
    <w:p w14:paraId="641EB970">
      <w:pPr>
        <w:pStyle w:val="263"/>
        <w:pageBreakBefore w:val="0"/>
        <w:numPr>
          <w:ilvl w:val="0"/>
          <w:numId w:val="35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空调系统与消防系统相互联锁。</w:t>
      </w:r>
    </w:p>
    <w:p w14:paraId="0EEACCA0">
      <w:pPr>
        <w:pStyle w:val="263"/>
        <w:pageBreakBefore w:val="0"/>
        <w:numPr>
          <w:ilvl w:val="0"/>
          <w:numId w:val="35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排风机与消防系统相互联锁。</w:t>
      </w:r>
    </w:p>
    <w:p w14:paraId="56BC40E7">
      <w:pPr>
        <w:pStyle w:val="263"/>
        <w:pageBreakBefore w:val="0"/>
        <w:numPr>
          <w:ilvl w:val="0"/>
          <w:numId w:val="35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各联锁信号使用在图纸会签时讨论。</w:t>
      </w:r>
    </w:p>
    <w:p w14:paraId="54C58B69">
      <w:pPr>
        <w:pageBreakBefore w:val="0"/>
        <w:numPr>
          <w:ilvl w:val="0"/>
          <w:numId w:val="34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其他控制:未包括部分由</w:t>
      </w:r>
      <w:r>
        <w:rPr>
          <w:rFonts w:hint="eastAsia" w:ascii="宋体" w:hAnsi="宋体" w:cs="宋体"/>
          <w:sz w:val="24"/>
          <w:lang w:eastAsia="zh-CN"/>
        </w:rPr>
        <w:t>投标人</w:t>
      </w:r>
      <w:r>
        <w:rPr>
          <w:rFonts w:hint="eastAsia" w:ascii="宋体" w:hAnsi="宋体" w:eastAsia="宋体" w:cs="宋体"/>
          <w:sz w:val="24"/>
        </w:rPr>
        <w:t>提出。</w:t>
      </w:r>
    </w:p>
    <w:p w14:paraId="6D2822AF">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2.6</w:t>
      </w:r>
      <w:r>
        <w:rPr>
          <w:rFonts w:hint="eastAsia" w:ascii="宋体" w:hAnsi="宋体" w:eastAsia="宋体" w:cs="宋体"/>
          <w:sz w:val="24"/>
        </w:rPr>
        <w:t>工作区系统</w:t>
      </w:r>
    </w:p>
    <w:p w14:paraId="2BA2E1B5">
      <w:pPr>
        <w:pStyle w:val="263"/>
        <w:pageBreakBefore w:val="0"/>
        <w:numPr>
          <w:ilvl w:val="0"/>
          <w:numId w:val="35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工作区域新增照明采用LED灯；照明灯分段控制，总控制箱设在室体的入口处，具体位置现场确定，分控制箱，位置现场确定。</w:t>
      </w:r>
    </w:p>
    <w:p w14:paraId="530B525B">
      <w:pPr>
        <w:pStyle w:val="263"/>
        <w:pageBreakBefore w:val="0"/>
        <w:numPr>
          <w:ilvl w:val="0"/>
          <w:numId w:val="35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有卷帘门的室体需要与机械化联锁。</w:t>
      </w:r>
    </w:p>
    <w:p w14:paraId="51645CE3">
      <w:pPr>
        <w:pStyle w:val="263"/>
        <w:pageBreakBefore w:val="0"/>
        <w:numPr>
          <w:ilvl w:val="0"/>
          <w:numId w:val="35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各个工位室体两侧壁板下部需要根据工艺要求配置防水或防爆多功能插座（3孔+2孔）。</w:t>
      </w:r>
    </w:p>
    <w:p w14:paraId="3EA63E7A">
      <w:pPr>
        <w:pStyle w:val="263"/>
        <w:pageBreakBefore w:val="0"/>
        <w:numPr>
          <w:ilvl w:val="0"/>
          <w:numId w:val="35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照明控制系统采用按钮箱继电器控制方式（无PLC），工位室体照明要求设置有“非工作模式”，在不进行生产的情况下，在室体两边分别设一个开关，通过此开关可以点亮室体内部分照明，用于人员检修等工作。控制盒沿照明室体均匀分布，采取段分级控制方式。</w:t>
      </w:r>
    </w:p>
    <w:p w14:paraId="59ECAB2B">
      <w:pPr>
        <w:pStyle w:val="263"/>
        <w:pageBreakBefore w:val="0"/>
        <w:numPr>
          <w:ilvl w:val="0"/>
          <w:numId w:val="35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烤灯、车间风淋室自带控制系统，</w:t>
      </w:r>
      <w:r>
        <w:rPr>
          <w:rFonts w:hint="eastAsia" w:ascii="宋体" w:hAnsi="宋体" w:cs="宋体"/>
          <w:sz w:val="24"/>
          <w:lang w:eastAsia="zh-CN"/>
        </w:rPr>
        <w:t>投标人</w:t>
      </w:r>
      <w:r>
        <w:rPr>
          <w:rFonts w:hint="eastAsia" w:ascii="宋体" w:hAnsi="宋体" w:eastAsia="宋体" w:cs="宋体"/>
          <w:sz w:val="24"/>
        </w:rPr>
        <w:t>负责供电等。</w:t>
      </w:r>
    </w:p>
    <w:p w14:paraId="0D2DCBCC">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2.7烘干及强冷控制系统</w:t>
      </w:r>
    </w:p>
    <w:p w14:paraId="3C45E680">
      <w:pPr>
        <w:pageBreakBefore w:val="0"/>
        <w:numPr>
          <w:ilvl w:val="0"/>
          <w:numId w:val="35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控制模式</w:t>
      </w:r>
    </w:p>
    <w:p w14:paraId="52E25D53">
      <w:pPr>
        <w:pStyle w:val="263"/>
        <w:pageBreakBefore w:val="0"/>
        <w:numPr>
          <w:ilvl w:val="0"/>
          <w:numId w:val="35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设备包括电泳烘干及强冷、面漆烘干及强冷、胶烘干及强冷、色漆闪干及强冷。</w:t>
      </w:r>
    </w:p>
    <w:p w14:paraId="4008B686">
      <w:pPr>
        <w:pStyle w:val="263"/>
        <w:pageBreakBefore w:val="0"/>
        <w:numPr>
          <w:ilvl w:val="0"/>
          <w:numId w:val="35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燃烧机自带电控系统。</w:t>
      </w:r>
    </w:p>
    <w:p w14:paraId="4CF2C27D">
      <w:pPr>
        <w:pStyle w:val="263"/>
        <w:pageBreakBefore w:val="0"/>
        <w:numPr>
          <w:ilvl w:val="0"/>
          <w:numId w:val="35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每套系统设置一台PLC， PLC控制柜设置人机界面，可以集中监视本区域的各种数据（如运行状况、故障信息等）。所有的操作及参数设定均可在人机界面上操作、显示。中控室联网显示，可监控。</w:t>
      </w:r>
    </w:p>
    <w:p w14:paraId="673DFE30">
      <w:pPr>
        <w:pageBreakBefore w:val="0"/>
        <w:numPr>
          <w:ilvl w:val="0"/>
          <w:numId w:val="35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控制方式</w:t>
      </w:r>
    </w:p>
    <w:p w14:paraId="0895CEB0">
      <w:pPr>
        <w:pStyle w:val="263"/>
        <w:pageBreakBefore w:val="0"/>
        <w:numPr>
          <w:ilvl w:val="0"/>
          <w:numId w:val="35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操作方式为手动和自动方式。自动方式下通过自动/手动转换开关选择，可实现顺序启动和停止控制。所有功能在手动方式下均可独立操作。所有参数设定均可在人机界面上操作。</w:t>
      </w:r>
    </w:p>
    <w:p w14:paraId="19B9F3EF">
      <w:pPr>
        <w:pStyle w:val="263"/>
        <w:pageBreakBefore w:val="0"/>
        <w:numPr>
          <w:ilvl w:val="0"/>
          <w:numId w:val="35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无论是手动或是自动方式，一但出现应急和故障状态，均应自动停止。</w:t>
      </w:r>
    </w:p>
    <w:p w14:paraId="7136113E">
      <w:pPr>
        <w:pageBreakBefore w:val="0"/>
        <w:numPr>
          <w:ilvl w:val="0"/>
          <w:numId w:val="35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烘干室控制</w:t>
      </w:r>
    </w:p>
    <w:p w14:paraId="46A411D1">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高温风机设置压力开关，当风压过低或没有风压信号而有风机启动信号，或有风压信号而没有风机启动信号，均产生报警信号并在人机界面上显示。</w:t>
      </w:r>
    </w:p>
    <w:p w14:paraId="5319D553">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废气风机采用变频控制。</w:t>
      </w:r>
    </w:p>
    <w:p w14:paraId="7F63EFA6">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74" w:name="_Toc395800077"/>
      <w:bookmarkStart w:id="275" w:name="_Toc395812026"/>
      <w:bookmarkStart w:id="276" w:name="_Toc394406251"/>
      <w:r>
        <w:rPr>
          <w:rFonts w:hint="eastAsia" w:ascii="宋体" w:hAnsi="宋体" w:eastAsia="宋体" w:cs="宋体"/>
          <w:sz w:val="24"/>
        </w:rPr>
        <w:t>烘干室入口设卷帘门（色漆闪干除外），与机械化联锁。</w:t>
      </w:r>
      <w:bookmarkEnd w:id="274"/>
      <w:bookmarkEnd w:id="275"/>
      <w:bookmarkEnd w:id="276"/>
      <w:bookmarkStart w:id="277" w:name="_Toc395812027"/>
      <w:bookmarkStart w:id="278" w:name="_Toc394471416"/>
      <w:bookmarkStart w:id="279" w:name="_Toc395800078"/>
    </w:p>
    <w:p w14:paraId="67F8DB2A">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温度控制必须在PLC中采用PID环路自动控制</w:t>
      </w:r>
      <w:bookmarkEnd w:id="277"/>
      <w:bookmarkEnd w:id="278"/>
      <w:bookmarkEnd w:id="279"/>
      <w:r>
        <w:rPr>
          <w:rFonts w:hint="eastAsia" w:ascii="宋体" w:hAnsi="宋体" w:eastAsia="宋体" w:cs="宋体"/>
          <w:sz w:val="24"/>
        </w:rPr>
        <w:t>，控制精度为设定值±5℃之内。热风温度控制的响应时间小于5min。</w:t>
      </w:r>
    </w:p>
    <w:p w14:paraId="0AEB48EB">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当烘炉停止（如停产、故障或维修停止），燃烧器须关闭。所有风机必须持续运转，直到所有区域冷却至设定的温度。</w:t>
      </w:r>
    </w:p>
    <w:p w14:paraId="63635FC9">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烘干室控制系统的联锁功能应满足：开机时应使循环风机及排气风机启动，然后继续启动加热系统及机械化传输系统；相反，停机时应使加热系统和机械化传输系统关闭，然后停止风机运行。</w:t>
      </w:r>
    </w:p>
    <w:p w14:paraId="0EFCB46B">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对温度可进行监测显示、记录、控制，控制的范围可任意设定。在循环空气装置、新鲜空气装置以及废气焚烧装置上设超温保险装置。</w:t>
      </w:r>
    </w:p>
    <w:p w14:paraId="7A5116FF">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天燃气阀组外泄露检测仪表信号与燃烧机联锁。</w:t>
      </w:r>
    </w:p>
    <w:p w14:paraId="129EE012">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对每台燃烧机前设置天然气计量装置，并将其流量信号的瞬时量通过PLC 和网络，传送给中控进行显示和记录。</w:t>
      </w:r>
    </w:p>
    <w:p w14:paraId="2B2C6EB3">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对每个加热区，保温区设置维修电源的插座。</w:t>
      </w:r>
    </w:p>
    <w:p w14:paraId="1E7BF12A">
      <w:pPr>
        <w:pStyle w:val="263"/>
        <w:pageBreakBefore w:val="0"/>
        <w:numPr>
          <w:ilvl w:val="0"/>
          <w:numId w:val="35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对各个工艺段的检修门，应设置维修转壁照明灯。</w:t>
      </w:r>
    </w:p>
    <w:p w14:paraId="5C20CF33">
      <w:pPr>
        <w:pageBreakBefore w:val="0"/>
        <w:numPr>
          <w:ilvl w:val="0"/>
          <w:numId w:val="35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强冷室控制</w:t>
      </w:r>
    </w:p>
    <w:p w14:paraId="2A0FECCE">
      <w:pPr>
        <w:pStyle w:val="263"/>
        <w:pageBreakBefore w:val="0"/>
        <w:numPr>
          <w:ilvl w:val="0"/>
          <w:numId w:val="3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在供风风机启动和关闭之前，新风进气阀必须完全开启，当供风风机停止时，才可以关闭。强冷区必须能够在要求的时间和温度条件下运行。 </w:t>
      </w:r>
    </w:p>
    <w:p w14:paraId="4EF49C41">
      <w:pPr>
        <w:pStyle w:val="263"/>
        <w:pageBreakBefore w:val="0"/>
        <w:numPr>
          <w:ilvl w:val="0"/>
          <w:numId w:val="3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送排风机控制使用风压开关来监测风机的运行状态。</w:t>
      </w:r>
    </w:p>
    <w:p w14:paraId="23BA23ED">
      <w:pPr>
        <w:pStyle w:val="263"/>
        <w:pageBreakBefore w:val="0"/>
        <w:numPr>
          <w:ilvl w:val="0"/>
          <w:numId w:val="3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自动卷帘门，并有手动开闭功能，需要与输送联锁。</w:t>
      </w:r>
    </w:p>
    <w:p w14:paraId="5DB98031">
      <w:pPr>
        <w:pStyle w:val="263"/>
        <w:pageBreakBefore w:val="0"/>
        <w:numPr>
          <w:ilvl w:val="0"/>
          <w:numId w:val="35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要设密封检修门，并配有室体检修照明。</w:t>
      </w:r>
    </w:p>
    <w:p w14:paraId="09A12631">
      <w:pPr>
        <w:pageBreakBefore w:val="0"/>
        <w:numPr>
          <w:ilvl w:val="0"/>
          <w:numId w:val="35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色漆闪干强冷室</w:t>
      </w:r>
    </w:p>
    <w:p w14:paraId="5CD010AC">
      <w:pPr>
        <w:pStyle w:val="263"/>
        <w:pageBreakBefore w:val="0"/>
        <w:numPr>
          <w:ilvl w:val="0"/>
          <w:numId w:val="36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温度、风机控制等同其他烘干室、强冷室。</w:t>
      </w:r>
    </w:p>
    <w:p w14:paraId="04B3C98C">
      <w:pPr>
        <w:pStyle w:val="263"/>
        <w:pageBreakBefore w:val="0"/>
        <w:numPr>
          <w:ilvl w:val="0"/>
          <w:numId w:val="36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设有湿度的检测、控制；能够调节冷冻水电动阀对色漆闪干新风进行除湿。</w:t>
      </w:r>
    </w:p>
    <w:p w14:paraId="5DF7B19D">
      <w:pPr>
        <w:pStyle w:val="263"/>
        <w:pageBreakBefore w:val="0"/>
        <w:numPr>
          <w:ilvl w:val="0"/>
          <w:numId w:val="36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强冷采用冷冻水换热，通过调节电动阀对强冷循环风进行控制。</w:t>
      </w:r>
    </w:p>
    <w:p w14:paraId="397C91D9">
      <w:pPr>
        <w:pageBreakBefore w:val="0"/>
        <w:numPr>
          <w:ilvl w:val="0"/>
          <w:numId w:val="35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iCs/>
          <w:sz w:val="24"/>
        </w:rPr>
      </w:pPr>
      <w:r>
        <w:rPr>
          <w:rFonts w:hint="eastAsia" w:ascii="宋体" w:hAnsi="宋体" w:eastAsia="宋体" w:cs="宋体"/>
          <w:iCs/>
          <w:sz w:val="24"/>
        </w:rPr>
        <w:t>联锁:</w:t>
      </w:r>
      <w:r>
        <w:rPr>
          <w:rFonts w:hint="eastAsia" w:ascii="宋体" w:hAnsi="宋体" w:eastAsia="宋体" w:cs="宋体"/>
          <w:sz w:val="24"/>
        </w:rPr>
        <w:t>烘干室所有风机、燃烧机、烘干室和强冷室卷帘门等应与输送机及消防系统互锁。</w:t>
      </w:r>
    </w:p>
    <w:p w14:paraId="7D51821B">
      <w:pPr>
        <w:pageBreakBefore w:val="0"/>
        <w:tabs>
          <w:tab w:val="left" w:pos="70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rPr>
      </w:pPr>
      <w:r>
        <w:rPr>
          <w:rFonts w:hint="eastAsia" w:ascii="宋体" w:hAnsi="宋体" w:eastAsia="宋体" w:cs="宋体"/>
          <w:bCs/>
          <w:sz w:val="24"/>
        </w:rPr>
        <w:t>2.8 中控室</w:t>
      </w:r>
      <w:r>
        <w:rPr>
          <w:rFonts w:hint="eastAsia" w:ascii="宋体" w:hAnsi="宋体" w:eastAsia="宋体" w:cs="宋体"/>
        </w:rPr>
        <w:t>（硬件全部利旧）</w:t>
      </w:r>
    </w:p>
    <w:p w14:paraId="41C048D4">
      <w:pPr>
        <w:pStyle w:val="458"/>
        <w:pageBreakBefore w:val="0"/>
        <w:numPr>
          <w:ilvl w:val="0"/>
          <w:numId w:val="36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bookmarkStart w:id="280" w:name="_Toc229713817"/>
      <w:bookmarkStart w:id="281" w:name="_Toc242298124"/>
      <w:bookmarkStart w:id="282" w:name="_Toc242298363"/>
      <w:bookmarkStart w:id="283" w:name="_Toc242298623"/>
      <w:bookmarkStart w:id="284" w:name="_Toc242297949"/>
      <w:bookmarkStart w:id="285" w:name="_Toc242298470"/>
      <w:r>
        <w:rPr>
          <w:rFonts w:hint="eastAsia" w:ascii="宋体" w:hAnsi="宋体" w:eastAsia="宋体" w:cs="宋体"/>
          <w:sz w:val="24"/>
          <w:szCs w:val="24"/>
        </w:rPr>
        <w:t>系统概述</w:t>
      </w:r>
      <w:bookmarkEnd w:id="280"/>
      <w:bookmarkEnd w:id="281"/>
      <w:bookmarkEnd w:id="282"/>
      <w:bookmarkEnd w:id="283"/>
      <w:bookmarkEnd w:id="284"/>
      <w:bookmarkEnd w:id="285"/>
    </w:p>
    <w:p w14:paraId="696FEE22">
      <w:pPr>
        <w:pStyle w:val="263"/>
        <w:pageBreakBefore w:val="0"/>
        <w:numPr>
          <w:ilvl w:val="0"/>
          <w:numId w:val="36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中控系统包括生产管理系统和设备监控系统，中控室设置1台监控电脑主机；用于生产、设备、工艺工位监控；控制通过设在中控室的1台计算机实现对车间生产状况、设备运行状态、工艺参数、设备报警等数据的监视，从而帮助现场操作人员和维修人员及时找出设备的问题，达到快速解决的目的，提高设备及生产过程正常运行率。同时还可以提供故障历史记录。</w:t>
      </w:r>
    </w:p>
    <w:p w14:paraId="46B7C50B">
      <w:pPr>
        <w:pStyle w:val="263"/>
        <w:pageBreakBefore w:val="0"/>
        <w:numPr>
          <w:ilvl w:val="0"/>
          <w:numId w:val="36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中控系统能够自动采集生产过程中的生产数据，并通过监控图形、数据查询、数据报表、数据曲线等形式，呈现给生产管理者，使得生产过程更加透明，为科学有效进行生产管理提供客观的依据，从而提高生产效率，增加产品质量和生产产量。</w:t>
      </w:r>
      <w:bookmarkStart w:id="286" w:name="_Toc242298125"/>
      <w:bookmarkStart w:id="287" w:name="_Toc229713819"/>
      <w:bookmarkStart w:id="288" w:name="_Toc242297950"/>
      <w:bookmarkStart w:id="289" w:name="_Toc242298364"/>
      <w:bookmarkStart w:id="290" w:name="_Toc242298471"/>
      <w:bookmarkStart w:id="291" w:name="_Toc242298624"/>
    </w:p>
    <w:p w14:paraId="0FD2FA46">
      <w:pPr>
        <w:pStyle w:val="263"/>
        <w:pageBreakBefore w:val="0"/>
        <w:numPr>
          <w:ilvl w:val="0"/>
          <w:numId w:val="362"/>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中控室内配置服务器、客户机、交换机、打印机、办公设备、投影仪，电脑一体桌椅、资料柜及文件柜若干，规格样式需经设计确认。</w:t>
      </w:r>
    </w:p>
    <w:p w14:paraId="14111A3C">
      <w:pPr>
        <w:pStyle w:val="210"/>
        <w:pageBreakBefore w:val="0"/>
        <w:numPr>
          <w:ilvl w:val="0"/>
          <w:numId w:val="36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中控室安装一台7.5kW柜式空调，保持中控设备运行质量；中控室地板做防静电处理。</w:t>
      </w:r>
    </w:p>
    <w:p w14:paraId="07229A4D">
      <w:pPr>
        <w:pStyle w:val="263"/>
        <w:pageBreakBefore w:val="0"/>
        <w:numPr>
          <w:ilvl w:val="0"/>
          <w:numId w:val="36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cs="宋体"/>
          <w:sz w:val="24"/>
          <w:lang w:eastAsia="zh-CN"/>
        </w:rPr>
        <w:t>投标人</w:t>
      </w:r>
      <w:r>
        <w:rPr>
          <w:rFonts w:hint="eastAsia" w:ascii="宋体" w:hAnsi="宋体" w:eastAsia="宋体" w:cs="宋体"/>
          <w:sz w:val="24"/>
        </w:rPr>
        <w:t>可以提出自己的配置方案，在技术交流和投标时体现。</w:t>
      </w:r>
    </w:p>
    <w:p w14:paraId="0811E53F">
      <w:pPr>
        <w:pageBreakBefore w:val="0"/>
        <w:numPr>
          <w:ilvl w:val="0"/>
          <w:numId w:val="36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中央控制室硬件配置</w:t>
      </w:r>
      <w:bookmarkEnd w:id="286"/>
      <w:bookmarkEnd w:id="287"/>
      <w:bookmarkEnd w:id="288"/>
      <w:bookmarkEnd w:id="289"/>
      <w:bookmarkEnd w:id="290"/>
      <w:bookmarkEnd w:id="291"/>
    </w:p>
    <w:p w14:paraId="03B4F137">
      <w:pPr>
        <w:pStyle w:val="15"/>
        <w:pageBreakBefore w:val="0"/>
        <w:numPr>
          <w:ilvl w:val="0"/>
          <w:numId w:val="36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sz w:val="24"/>
          <w:lang w:val="en-GB"/>
        </w:rPr>
      </w:pPr>
      <w:r>
        <w:rPr>
          <w:rFonts w:hint="eastAsia" w:ascii="宋体" w:hAnsi="宋体" w:eastAsia="宋体" w:cs="宋体"/>
          <w:kern w:val="0"/>
          <w:sz w:val="24"/>
          <w:lang w:val="zh-CN"/>
        </w:rPr>
        <w:t>监控服务器为输送系统和设备监控服务器，</w:t>
      </w:r>
      <w:r>
        <w:rPr>
          <w:rFonts w:hint="eastAsia" w:ascii="宋体" w:hAnsi="宋体" w:eastAsia="宋体" w:cs="宋体"/>
          <w:bCs/>
          <w:sz w:val="24"/>
          <w:lang w:val="en-GB"/>
        </w:rPr>
        <w:t>使用硬盘阵列，硬盘数据有镜像功能。双硬盘备份。</w:t>
      </w:r>
    </w:p>
    <w:p w14:paraId="2D6A27B9">
      <w:pPr>
        <w:pStyle w:val="263"/>
        <w:pageBreakBefore w:val="0"/>
        <w:numPr>
          <w:ilvl w:val="0"/>
          <w:numId w:val="36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设置数据服务器 1台(AVI、能源管理系统、PMC合用)，预留MES对接口。</w:t>
      </w:r>
    </w:p>
    <w:p w14:paraId="1D057190">
      <w:pPr>
        <w:pageBreakBefore w:val="0"/>
        <w:numPr>
          <w:ilvl w:val="0"/>
          <w:numId w:val="36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sz w:val="24"/>
        </w:rPr>
        <w:t>历史数据服务器做为数据存储中心，以实现历史数据的存储、管理、记录。</w:t>
      </w:r>
      <w:r>
        <w:rPr>
          <w:rFonts w:hint="eastAsia" w:ascii="宋体" w:hAnsi="宋体" w:eastAsia="宋体" w:cs="宋体"/>
          <w:bCs/>
          <w:sz w:val="24"/>
          <w:lang w:val="en-GB"/>
        </w:rPr>
        <w:t>使用硬盘阵列，硬盘数据有镜像功能。</w:t>
      </w:r>
      <w:r>
        <w:rPr>
          <w:rFonts w:hint="eastAsia" w:ascii="宋体" w:hAnsi="宋体" w:eastAsia="宋体" w:cs="宋体"/>
          <w:sz w:val="24"/>
        </w:rPr>
        <w:t>并提供IIS WEB式报表查询服务功能</w:t>
      </w:r>
      <w:r>
        <w:rPr>
          <w:rFonts w:hint="eastAsia" w:ascii="宋体" w:hAnsi="宋体" w:eastAsia="宋体" w:cs="宋体"/>
          <w:kern w:val="0"/>
          <w:sz w:val="24"/>
          <w:lang w:val="zh-CN"/>
        </w:rPr>
        <w:t>。</w:t>
      </w:r>
    </w:p>
    <w:p w14:paraId="236A5709">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服务器配置图纸会签时确定。</w:t>
      </w:r>
    </w:p>
    <w:p w14:paraId="29A2D740">
      <w:pPr>
        <w:pStyle w:val="15"/>
        <w:pageBreakBefore w:val="0"/>
        <w:numPr>
          <w:ilvl w:val="0"/>
          <w:numId w:val="36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硬件配置（</w:t>
      </w:r>
      <w:r>
        <w:rPr>
          <w:rFonts w:hint="eastAsia" w:ascii="宋体" w:hAnsi="宋体" w:eastAsia="宋体" w:cs="宋体"/>
          <w:kern w:val="0"/>
          <w:sz w:val="24"/>
        </w:rPr>
        <w:t>利旧</w:t>
      </w:r>
      <w:r>
        <w:rPr>
          <w:rFonts w:hint="eastAsia" w:ascii="宋体" w:hAnsi="宋体" w:eastAsia="宋体" w:cs="宋体"/>
          <w:kern w:val="0"/>
          <w:sz w:val="24"/>
          <w:lang w:val="zh-CN"/>
        </w:rPr>
        <w:t>）</w:t>
      </w:r>
    </w:p>
    <w:p w14:paraId="52DBA6DB">
      <w:pPr>
        <w:pStyle w:val="458"/>
        <w:pageBreakBefore w:val="0"/>
        <w:numPr>
          <w:ilvl w:val="0"/>
          <w:numId w:val="36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打印机 1台。</w:t>
      </w:r>
    </w:p>
    <w:p w14:paraId="17943027">
      <w:pPr>
        <w:pStyle w:val="458"/>
        <w:pageBreakBefore w:val="0"/>
        <w:numPr>
          <w:ilvl w:val="0"/>
          <w:numId w:val="36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UPS电源1台：提供30min电气储备的不间断电源。</w:t>
      </w:r>
    </w:p>
    <w:p w14:paraId="1BC2C1A7">
      <w:pPr>
        <w:pStyle w:val="458"/>
        <w:pageBreakBefore w:val="0"/>
        <w:numPr>
          <w:ilvl w:val="0"/>
          <w:numId w:val="36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监控计算机1台，1台放在中控室。</w:t>
      </w:r>
    </w:p>
    <w:p w14:paraId="4234750F">
      <w:pPr>
        <w:pStyle w:val="458"/>
        <w:pageBreakBefore w:val="0"/>
        <w:numPr>
          <w:ilvl w:val="0"/>
          <w:numId w:val="36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现场共设置</w:t>
      </w:r>
      <w:r>
        <w:rPr>
          <w:rFonts w:hint="eastAsia" w:ascii="宋体" w:hAnsi="宋体" w:eastAsia="宋体" w:cs="宋体"/>
          <w:sz w:val="24"/>
          <w:szCs w:val="24"/>
          <w:lang w:val="en-US"/>
        </w:rPr>
        <w:t>1</w:t>
      </w:r>
      <w:r>
        <w:rPr>
          <w:rFonts w:hint="eastAsia" w:ascii="宋体" w:hAnsi="宋体" w:eastAsia="宋体" w:cs="宋体"/>
          <w:sz w:val="24"/>
          <w:szCs w:val="24"/>
        </w:rPr>
        <w:t>台现场工作站，从中央监控服务器获取监控数据，在现场就可以实现在中控室的监控功能。</w:t>
      </w:r>
    </w:p>
    <w:p w14:paraId="53FA6ADA">
      <w:pPr>
        <w:pStyle w:val="458"/>
        <w:pageBreakBefore w:val="0"/>
        <w:numPr>
          <w:ilvl w:val="0"/>
          <w:numId w:val="36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val="en-US"/>
        </w:rPr>
        <w:t>2</w:t>
      </w:r>
      <w:r>
        <w:rPr>
          <w:rFonts w:hint="eastAsia" w:ascii="宋体" w:hAnsi="宋体" w:eastAsia="宋体" w:cs="宋体"/>
          <w:sz w:val="24"/>
          <w:szCs w:val="24"/>
        </w:rPr>
        <w:t>台编程用笔记本电脑 ,带PLC编程软件光盘和授权。</w:t>
      </w:r>
    </w:p>
    <w:p w14:paraId="4C04E772">
      <w:pPr>
        <w:pStyle w:val="458"/>
        <w:pageBreakBefore w:val="0"/>
        <w:numPr>
          <w:ilvl w:val="0"/>
          <w:numId w:val="36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bookmarkStart w:id="292" w:name="_Toc229713820"/>
      <w:bookmarkStart w:id="293" w:name="_Toc242298126"/>
      <w:bookmarkStart w:id="294" w:name="_Toc242298625"/>
      <w:bookmarkStart w:id="295" w:name="_Toc242297951"/>
      <w:bookmarkStart w:id="296" w:name="_Toc242298472"/>
      <w:bookmarkStart w:id="297" w:name="_Toc242298365"/>
      <w:r>
        <w:rPr>
          <w:rFonts w:hint="eastAsia" w:ascii="宋体" w:hAnsi="宋体" w:eastAsia="宋体" w:cs="宋体"/>
          <w:sz w:val="24"/>
          <w:szCs w:val="24"/>
        </w:rPr>
        <w:t>中控室播放液晶电视画面，配置遥控器。画面可定时更换也可固定显示。</w:t>
      </w:r>
    </w:p>
    <w:bookmarkEnd w:id="292"/>
    <w:bookmarkEnd w:id="293"/>
    <w:bookmarkEnd w:id="294"/>
    <w:bookmarkEnd w:id="295"/>
    <w:bookmarkEnd w:id="296"/>
    <w:bookmarkEnd w:id="297"/>
    <w:p w14:paraId="61C67DB3">
      <w:pPr>
        <w:pageBreakBefore w:val="0"/>
        <w:numPr>
          <w:ilvl w:val="0"/>
          <w:numId w:val="36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298" w:name="_Toc242298366"/>
      <w:bookmarkStart w:id="299" w:name="_Toc242298127"/>
      <w:bookmarkStart w:id="300" w:name="_Toc242297952"/>
      <w:bookmarkStart w:id="301" w:name="_Toc242298473"/>
      <w:bookmarkStart w:id="302" w:name="_Toc229713821"/>
      <w:bookmarkStart w:id="303" w:name="_Toc242298626"/>
      <w:r>
        <w:rPr>
          <w:rFonts w:hint="eastAsia" w:ascii="宋体" w:hAnsi="宋体" w:eastAsia="宋体" w:cs="宋体"/>
          <w:sz w:val="24"/>
        </w:rPr>
        <w:t>监控系统功能</w:t>
      </w:r>
      <w:bookmarkEnd w:id="298"/>
      <w:bookmarkEnd w:id="299"/>
      <w:bookmarkEnd w:id="300"/>
      <w:bookmarkEnd w:id="301"/>
      <w:bookmarkEnd w:id="302"/>
      <w:bookmarkEnd w:id="303"/>
    </w:p>
    <w:p w14:paraId="6CCDE379">
      <w:pPr>
        <w:pageBreakBefore w:val="0"/>
        <w:numPr>
          <w:ilvl w:val="0"/>
          <w:numId w:val="36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kern w:val="0"/>
          <w:sz w:val="24"/>
        </w:rPr>
      </w:pPr>
      <w:r>
        <w:rPr>
          <w:rFonts w:hint="eastAsia" w:ascii="宋体" w:hAnsi="宋体" w:eastAsia="宋体" w:cs="宋体"/>
          <w:sz w:val="24"/>
        </w:rPr>
        <w:t>监控系统</w:t>
      </w:r>
      <w:r>
        <w:rPr>
          <w:rFonts w:hint="eastAsia" w:ascii="宋体" w:hAnsi="宋体" w:eastAsia="宋体" w:cs="宋体"/>
          <w:bCs/>
          <w:kern w:val="0"/>
          <w:sz w:val="24"/>
        </w:rPr>
        <w:t>能监控车间内所有PLC和自动化仪表的工艺参数、运行状态等；生产信息显示在中控室计算机中，主要功能如下：</w:t>
      </w:r>
    </w:p>
    <w:p w14:paraId="77F6F44D">
      <w:pPr>
        <w:pStyle w:val="263"/>
        <w:pageBreakBefore w:val="0"/>
        <w:numPr>
          <w:ilvl w:val="0"/>
          <w:numId w:val="36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设备状态显示：以流程图的形式显示车间内设备的运行状态，如：正常、停止、异常等。</w:t>
      </w:r>
    </w:p>
    <w:p w14:paraId="6E4D76F6">
      <w:pPr>
        <w:pStyle w:val="263"/>
        <w:pageBreakBefore w:val="0"/>
        <w:numPr>
          <w:ilvl w:val="0"/>
          <w:numId w:val="36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trike/>
          <w:sz w:val="24"/>
        </w:rPr>
      </w:pPr>
      <w:r>
        <w:rPr>
          <w:rFonts w:hint="eastAsia" w:ascii="宋体" w:hAnsi="宋体" w:eastAsia="宋体" w:cs="宋体"/>
          <w:kern w:val="0"/>
          <w:sz w:val="24"/>
          <w:lang w:val="zh-CN"/>
        </w:rPr>
        <w:t>工艺参数显示和记录：生产线线速、涂装室温湿度、干燥炉温度、前处理温度、电泳温度等工艺参数。</w:t>
      </w:r>
    </w:p>
    <w:p w14:paraId="5B099699">
      <w:pPr>
        <w:pStyle w:val="263"/>
        <w:pageBreakBefore w:val="0"/>
        <w:numPr>
          <w:ilvl w:val="0"/>
          <w:numId w:val="36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数据存储和管理: 存储生产信息和故障信息，并能对这些信息进行查询、分析和报表打印等功能。</w:t>
      </w:r>
    </w:p>
    <w:p w14:paraId="560DCF8C">
      <w:pPr>
        <w:pStyle w:val="263"/>
        <w:pageBreakBefore w:val="0"/>
        <w:numPr>
          <w:ilvl w:val="0"/>
          <w:numId w:val="36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机械化系统</w:t>
      </w:r>
    </w:p>
    <w:p w14:paraId="0E931DBA">
      <w:pPr>
        <w:pageBreakBefore w:val="0"/>
        <w:numPr>
          <w:ilvl w:val="0"/>
          <w:numId w:val="36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整个系统的动态工艺流程图。</w:t>
      </w:r>
    </w:p>
    <w:p w14:paraId="6BC040CA">
      <w:pPr>
        <w:pageBreakBefore w:val="0"/>
        <w:numPr>
          <w:ilvl w:val="0"/>
          <w:numId w:val="36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整个系统车身分布（只含占位，不包括颜色、车型等信息），并单独大屏显示。</w:t>
      </w:r>
    </w:p>
    <w:p w14:paraId="20131FF7">
      <w:pPr>
        <w:pageBreakBefore w:val="0"/>
        <w:numPr>
          <w:ilvl w:val="0"/>
          <w:numId w:val="36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各分区动态工艺流程图。</w:t>
      </w:r>
    </w:p>
    <w:p w14:paraId="54E3C9E0">
      <w:pPr>
        <w:pageBreakBefore w:val="0"/>
        <w:numPr>
          <w:ilvl w:val="0"/>
          <w:numId w:val="36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流程图上应显示机械化设备位置、状态。</w:t>
      </w:r>
    </w:p>
    <w:p w14:paraId="05FAFC22">
      <w:pPr>
        <w:pageBreakBefore w:val="0"/>
        <w:numPr>
          <w:ilvl w:val="0"/>
          <w:numId w:val="36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显示生产台数：工艺段内车体数（PT/ED/涂装室/干燥炉）、储存区内台数、各线通过台数。</w:t>
      </w:r>
    </w:p>
    <w:p w14:paraId="6FD64002">
      <w:pPr>
        <w:pageBreakBefore w:val="0"/>
        <w:numPr>
          <w:ilvl w:val="0"/>
          <w:numId w:val="36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各输送链、各运转设备的运行/停止，各紧急停止、故障、异常信息。中控室提供详细的现场设备监控信息、故障显示及24小时故障记录。</w:t>
      </w:r>
    </w:p>
    <w:p w14:paraId="00E60CCB">
      <w:pPr>
        <w:pStyle w:val="263"/>
        <w:pageBreakBefore w:val="0"/>
        <w:numPr>
          <w:ilvl w:val="0"/>
          <w:numId w:val="37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对于车间内通过PLC控制的主要工艺和输送设备，可以顺序启动和停止成套控制系统（如前处理、电泳、机械化区域），同时上述设备也具有本地启停功能，并具有最高优先级。</w:t>
      </w:r>
    </w:p>
    <w:p w14:paraId="4B49ACFA">
      <w:pPr>
        <w:pStyle w:val="263"/>
        <w:pageBreakBefore w:val="0"/>
        <w:numPr>
          <w:ilvl w:val="0"/>
          <w:numId w:val="37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lang w:val="zh-CN"/>
        </w:rPr>
      </w:pPr>
      <w:r>
        <w:rPr>
          <w:rFonts w:hint="eastAsia" w:ascii="宋体" w:hAnsi="宋体" w:eastAsia="宋体" w:cs="宋体"/>
          <w:kern w:val="0"/>
          <w:sz w:val="24"/>
          <w:lang w:val="zh-CN"/>
        </w:rPr>
        <w:t>对于涂装车间其他成套设备，如机器人、集中供漆供胶系统、超滤、整流电源等，对于使用PLC的设备，通过网络接入中控室进行集中监视。对于不使用PLC控制的设备，采用硬接线的方式将必要的运行、故障信号接入附近系统中的PLC完成数据采集。</w:t>
      </w:r>
    </w:p>
    <w:p w14:paraId="2E9FA066">
      <w:pPr>
        <w:pStyle w:val="263"/>
        <w:pageBreakBefore w:val="0"/>
        <w:numPr>
          <w:ilvl w:val="0"/>
          <w:numId w:val="37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车间大屏分布：</w:t>
      </w:r>
    </w:p>
    <w:p w14:paraId="545FB117">
      <w:pPr>
        <w:pStyle w:val="263"/>
        <w:pageBreakBefore w:val="0"/>
        <w:numPr>
          <w:ilvl w:val="0"/>
          <w:numId w:val="37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车间入口安装1块单面屏，98吋液晶显示，信号来源中控室。</w:t>
      </w:r>
    </w:p>
    <w:p w14:paraId="76D5EA2C">
      <w:pPr>
        <w:pageBreakBefore w:val="0"/>
        <w:numPr>
          <w:ilvl w:val="0"/>
          <w:numId w:val="37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304" w:name="_Toc242298475"/>
      <w:bookmarkStart w:id="305" w:name="_Toc242298628"/>
      <w:r>
        <w:rPr>
          <w:rFonts w:hint="eastAsia" w:ascii="宋体" w:hAnsi="宋体" w:eastAsia="宋体" w:cs="宋体"/>
          <w:sz w:val="24"/>
        </w:rPr>
        <w:t>监控画面</w:t>
      </w:r>
      <w:bookmarkEnd w:id="304"/>
      <w:bookmarkEnd w:id="305"/>
    </w:p>
    <w:p w14:paraId="11CF4EF2">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根据整个涂装车间的工艺流程、工艺参数和监控要求，将画面分为生产管理和设备监控。</w:t>
      </w:r>
    </w:p>
    <w:p w14:paraId="3A13569E">
      <w:pPr>
        <w:pStyle w:val="263"/>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监控画面布局如下:</w:t>
      </w:r>
    </w:p>
    <w:p w14:paraId="5376CB8D">
      <w:pPr>
        <w:pStyle w:val="263"/>
        <w:pageBreakBefore w:val="0"/>
        <w:numPr>
          <w:ilvl w:val="0"/>
          <w:numId w:val="3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标题栏：标题栏是用来显示当前窗口的名字，当前时间，当前用户名，以及状态信息。</w:t>
      </w:r>
    </w:p>
    <w:p w14:paraId="61AB3566">
      <w:pPr>
        <w:pStyle w:val="263"/>
        <w:pageBreakBefore w:val="0"/>
        <w:numPr>
          <w:ilvl w:val="0"/>
          <w:numId w:val="3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主画面：主窗口是用来显示每个子系统的当前的状态。如果当前的系统有报警，则颜色框为红色，如果当前没有报警，则显示绿色。如果要进入某个子系统，可以点击该颜色栏。</w:t>
      </w:r>
    </w:p>
    <w:p w14:paraId="53572CBB">
      <w:pPr>
        <w:pStyle w:val="263"/>
        <w:pageBreakBefore w:val="0"/>
        <w:numPr>
          <w:ilvl w:val="0"/>
          <w:numId w:val="37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任务栏：任务栏位于整个屏幕的最底下，可以允许用户视察全部的系统功能。按照功能划分大致分为设定、视图、报表、系统设置、用户登陆、打印、曲线图、报警这几个部分。这几个部分的大致功能如下:</w:t>
      </w:r>
    </w:p>
    <w:p w14:paraId="78E4875B">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视图：可以调出“视图”子菜单</w:t>
      </w:r>
      <w:r>
        <w:rPr>
          <w:rFonts w:hint="eastAsia" w:ascii="宋体" w:hAnsi="宋体" w:eastAsia="宋体" w:cs="宋体"/>
          <w:sz w:val="24"/>
        </w:rPr>
        <w:t>,</w:t>
      </w:r>
      <w:r>
        <w:rPr>
          <w:rFonts w:hint="eastAsia" w:ascii="宋体" w:hAnsi="宋体" w:eastAsia="宋体" w:cs="宋体"/>
          <w:sz w:val="24"/>
          <w:lang w:val="zh-CN"/>
        </w:rPr>
        <w:t>可以让用户进入各个子系统</w:t>
      </w:r>
      <w:r>
        <w:rPr>
          <w:rFonts w:hint="eastAsia" w:ascii="宋体" w:hAnsi="宋体" w:eastAsia="宋体" w:cs="宋体"/>
          <w:sz w:val="24"/>
        </w:rPr>
        <w:t>,</w:t>
      </w:r>
      <w:r>
        <w:rPr>
          <w:rFonts w:hint="eastAsia" w:ascii="宋体" w:hAnsi="宋体" w:eastAsia="宋体" w:cs="宋体"/>
          <w:sz w:val="24"/>
          <w:lang w:val="zh-CN"/>
        </w:rPr>
        <w:t>查看详细工艺设备和参数。</w:t>
      </w:r>
    </w:p>
    <w:p w14:paraId="7A3698CD">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报表：可以调出“报表”子菜单，进行工艺参数查询。</w:t>
      </w:r>
    </w:p>
    <w:p w14:paraId="24210B93">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系统设置：可以调出“系统设置”子菜单，对工程的路径、用户权限管理等进行设定和操作。</w:t>
      </w:r>
    </w:p>
    <w:p w14:paraId="28E3FEF4">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登陆：可以调出用户登陆窗口，使有权限的用户登陆监控系统。</w:t>
      </w:r>
    </w:p>
    <w:p w14:paraId="18C5937F">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打印：可以用来打印当前窗口内容。</w:t>
      </w:r>
    </w:p>
    <w:p w14:paraId="0185B356">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曲线图：用来查看各种工艺参数（如：温度、液位等）的实时和历史曲线。</w:t>
      </w:r>
    </w:p>
    <w:p w14:paraId="002D138C">
      <w:pPr>
        <w:pageBreakBefore w:val="0"/>
        <w:numPr>
          <w:ilvl w:val="0"/>
          <w:numId w:val="37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lang w:val="zh-CN"/>
        </w:rPr>
        <w:t>报警：将调出报警子系统，可以用来查看当前的整个系统的报警。同时，还有历史报警可以从这里看到。如果按钮的颜色是灰色的，则表示当前没有报警，如果按钮颜色是红色，并且不断的闪烁，表示当前系统中有报警存在。</w:t>
      </w:r>
    </w:p>
    <w:p w14:paraId="59E0AFA0">
      <w:pPr>
        <w:pStyle w:val="263"/>
        <w:pageBreakBefore w:val="0"/>
        <w:numPr>
          <w:ilvl w:val="0"/>
          <w:numId w:val="37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主画面返回：可以用来使操作人员返回主窗口。</w:t>
      </w:r>
    </w:p>
    <w:p w14:paraId="50BDCC84">
      <w:pPr>
        <w:pStyle w:val="210"/>
        <w:pageBreakBefore w:val="0"/>
        <w:numPr>
          <w:ilvl w:val="0"/>
          <w:numId w:val="37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所有人员操作工位主要工艺路线工位，信号连接到中控室，中控室软件能够对监控画面能分屏和全屏显示操作，展示车间整体工艺路线实际情况，也可对采集的数据工艺数据进行展示。</w:t>
      </w:r>
    </w:p>
    <w:p w14:paraId="55CF75BF">
      <w:pPr>
        <w:pStyle w:val="210"/>
        <w:pageBreakBefore w:val="0"/>
        <w:numPr>
          <w:ilvl w:val="0"/>
          <w:numId w:val="37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大屏显示内容以</w:t>
      </w:r>
      <w:r>
        <w:rPr>
          <w:rFonts w:hint="eastAsia" w:ascii="宋体" w:hAnsi="宋体" w:cs="宋体"/>
          <w:color w:val="auto"/>
          <w:lang w:eastAsia="zh-CN"/>
        </w:rPr>
        <w:t>招标人</w:t>
      </w:r>
      <w:r>
        <w:rPr>
          <w:rFonts w:hint="eastAsia" w:ascii="宋体" w:hAnsi="宋体" w:eastAsia="宋体" w:cs="宋体"/>
          <w:color w:val="auto"/>
        </w:rPr>
        <w:t>实际需求为准，如下图所示。</w:t>
      </w:r>
    </w:p>
    <w:p w14:paraId="71BFE264">
      <w:pPr>
        <w:pStyle w:val="210"/>
        <w:pageBreakBefore w:val="0"/>
        <w:kinsoku/>
        <w:wordWrap/>
        <w:topLinePunct w:val="0"/>
        <w:bidi w:val="0"/>
        <w:adjustRightInd w:val="0"/>
        <w:snapToGrid w:val="0"/>
        <w:spacing w:afterAutospacing="0" w:line="360" w:lineRule="auto"/>
        <w:ind w:left="0" w:leftChars="0" w:firstLine="0" w:firstLineChars="0"/>
        <w:jc w:val="center"/>
        <w:rPr>
          <w:rFonts w:hint="eastAsia" w:ascii="宋体" w:hAnsi="宋体" w:eastAsia="宋体" w:cs="宋体"/>
          <w:color w:val="auto"/>
        </w:rPr>
      </w:pPr>
      <w:r>
        <w:rPr>
          <w:rFonts w:hint="eastAsia" w:ascii="宋体" w:hAnsi="宋体" w:eastAsia="宋体" w:cs="宋体"/>
          <w:color w:val="auto"/>
        </w:rPr>
        <w:drawing>
          <wp:inline distT="0" distB="0" distL="0" distR="0">
            <wp:extent cx="5064125" cy="3191510"/>
            <wp:effectExtent l="0" t="0" r="10795" b="8890"/>
            <wp:docPr id="3" name="图片 3" descr="C:\Users\ADMINI~1\AppData\Local\Temp\企业微信截图_158304570634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1\AppData\Local\Temp\企业微信截图_1583045706348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073156" cy="3197048"/>
                    </a:xfrm>
                    <a:prstGeom prst="rect">
                      <a:avLst/>
                    </a:prstGeom>
                    <a:noFill/>
                    <a:ln>
                      <a:noFill/>
                    </a:ln>
                  </pic:spPr>
                </pic:pic>
              </a:graphicData>
            </a:graphic>
          </wp:inline>
        </w:drawing>
      </w:r>
    </w:p>
    <w:p w14:paraId="51CD747D">
      <w:pPr>
        <w:pStyle w:val="263"/>
        <w:pageBreakBefore w:val="0"/>
        <w:numPr>
          <w:ilvl w:val="0"/>
          <w:numId w:val="377"/>
        </w:numPr>
        <w:kinsoku/>
        <w:wordWrap/>
        <w:topLinePunct w:val="0"/>
        <w:bidi w:val="0"/>
        <w:adjustRightInd w:val="0"/>
        <w:snapToGrid w:val="0"/>
        <w:spacing w:afterAutospacing="0" w:line="360" w:lineRule="auto"/>
        <w:ind w:left="0" w:leftChars="0" w:firstLine="0" w:firstLineChars="0"/>
        <w:rPr>
          <w:rStyle w:val="321"/>
          <w:rFonts w:hint="eastAsia" w:ascii="宋体" w:hAnsi="宋体" w:eastAsia="宋体" w:cs="宋体"/>
          <w:b w:val="0"/>
          <w:bCs/>
          <w:smallCaps/>
          <w:lang w:val="zh-CN"/>
        </w:rPr>
      </w:pPr>
      <w:r>
        <w:rPr>
          <w:rFonts w:hint="eastAsia" w:ascii="宋体" w:hAnsi="宋体" w:eastAsia="宋体" w:cs="宋体"/>
          <w:sz w:val="24"/>
          <w:lang w:val="zh-CN"/>
        </w:rPr>
        <w:t>监控画面分层级别：所有的画面将分为二层。第一层为主画面，主画面包含所有子系统画面的连接，起到全局导航作用。第二层为工艺布置图，画面包括所有该工艺设备的液位、温度等元素、设备状态图（用来显示该设备的自动或手动、是否有故障等状态信息）。</w:t>
      </w:r>
      <w:r>
        <w:rPr>
          <w:rStyle w:val="321"/>
          <w:rFonts w:hint="eastAsia" w:ascii="宋体" w:hAnsi="宋体" w:eastAsia="宋体" w:cs="宋体"/>
        </w:rPr>
        <w:t xml:space="preserve"> </w:t>
      </w:r>
    </w:p>
    <w:p w14:paraId="3573A6DF">
      <w:pPr>
        <w:pageBreakBefore w:val="0"/>
        <w:widowControl/>
        <w:numPr>
          <w:ilvl w:val="0"/>
          <w:numId w:val="378"/>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bCs/>
          <w:sz w:val="24"/>
          <w:lang w:val="de-DE"/>
        </w:rPr>
      </w:pPr>
      <w:r>
        <w:rPr>
          <w:rFonts w:hint="eastAsia" w:ascii="宋体" w:hAnsi="宋体" w:eastAsia="宋体" w:cs="宋体"/>
          <w:bCs/>
          <w:sz w:val="24"/>
          <w:lang w:val="en-GB"/>
        </w:rPr>
        <w:t>网络</w:t>
      </w:r>
    </w:p>
    <w:p w14:paraId="73329288">
      <w:pPr>
        <w:pStyle w:val="263"/>
        <w:pageBreakBefore w:val="0"/>
        <w:numPr>
          <w:ilvl w:val="0"/>
          <w:numId w:val="3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基于TCP/IP网络文件，PLC与</w:t>
      </w:r>
      <w:r>
        <w:rPr>
          <w:rFonts w:hint="eastAsia" w:ascii="宋体" w:hAnsi="宋体" w:eastAsia="宋体" w:cs="宋体"/>
          <w:sz w:val="24"/>
        </w:rPr>
        <w:t>涂装</w:t>
      </w:r>
      <w:r>
        <w:rPr>
          <w:rFonts w:hint="eastAsia" w:ascii="宋体" w:hAnsi="宋体" w:eastAsia="宋体" w:cs="宋体"/>
          <w:sz w:val="24"/>
          <w:lang w:val="zh-CN"/>
        </w:rPr>
        <w:t>车间的PC被集成于一个网络系统内。</w:t>
      </w:r>
    </w:p>
    <w:p w14:paraId="596B0787">
      <w:pPr>
        <w:pStyle w:val="263"/>
        <w:pageBreakBefore w:val="0"/>
        <w:numPr>
          <w:ilvl w:val="0"/>
          <w:numId w:val="3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在控制室中提供有一只主网络交换机，车间中的分布交换机安装于特殊的机柜中,但是要均匀的分布在厂房内，以满足通讯对距离和速度的要求。</w:t>
      </w:r>
    </w:p>
    <w:p w14:paraId="39319C74">
      <w:pPr>
        <w:pStyle w:val="263"/>
        <w:pageBreakBefore w:val="0"/>
        <w:numPr>
          <w:ilvl w:val="0"/>
          <w:numId w:val="37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val="zh-CN"/>
        </w:rPr>
      </w:pPr>
      <w:r>
        <w:rPr>
          <w:rFonts w:hint="eastAsia" w:ascii="宋体" w:hAnsi="宋体" w:eastAsia="宋体" w:cs="宋体"/>
          <w:sz w:val="24"/>
          <w:lang w:val="zh-CN"/>
        </w:rPr>
        <w:t>主交换机与分布交换机间用光纤进行连接。分布交换机关与网络组件（PLC，PC等）间用铜芯网络线连接。</w:t>
      </w:r>
    </w:p>
    <w:p w14:paraId="37DADC1A">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bookmarkStart w:id="306" w:name="_Toc302078415"/>
      <w:r>
        <w:rPr>
          <w:rFonts w:hint="eastAsia" w:ascii="宋体" w:hAnsi="宋体" w:eastAsia="宋体" w:cs="宋体"/>
          <w:sz w:val="24"/>
        </w:rPr>
        <w:t>2.9  能源计量</w:t>
      </w:r>
      <w:bookmarkEnd w:id="306"/>
    </w:p>
    <w:p w14:paraId="42A60AC2">
      <w:pPr>
        <w:pageBreakBefore w:val="0"/>
        <w:numPr>
          <w:ilvl w:val="0"/>
          <w:numId w:val="3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eastAsia="de-DE"/>
        </w:rPr>
      </w:pPr>
      <w:r>
        <w:rPr>
          <w:rFonts w:hint="eastAsia" w:ascii="宋体" w:hAnsi="宋体" w:eastAsia="宋体" w:cs="宋体"/>
          <w:sz w:val="24"/>
        </w:rPr>
        <w:t>系统概述</w:t>
      </w:r>
    </w:p>
    <w:p w14:paraId="5ED69781">
      <w:pPr>
        <w:pStyle w:val="9"/>
        <w:pageBreakBefore w:val="0"/>
        <w:numPr>
          <w:ilvl w:val="0"/>
          <w:numId w:val="3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针对涂装车间天然气、水、废水、高温热水、压缩空气车间管路、车间各区域用电量等能量消耗数据将被捕捉和记录。</w:t>
      </w:r>
    </w:p>
    <w:p w14:paraId="76DA75A0">
      <w:pPr>
        <w:pStyle w:val="9"/>
        <w:pageBreakBefore w:val="0"/>
        <w:numPr>
          <w:ilvl w:val="0"/>
          <w:numId w:val="3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实时监控系统将管理和存档进来的数据并让操作人员得到想要的数据。根据需要显示成表格或图表。</w:t>
      </w:r>
    </w:p>
    <w:p w14:paraId="5AAB27EF">
      <w:pPr>
        <w:pStyle w:val="9"/>
        <w:pageBreakBefore w:val="0"/>
        <w:numPr>
          <w:ilvl w:val="0"/>
          <w:numId w:val="38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能根据不同的选择标准来显示数据，如每天的消耗，涂装每小时的消耗，以及全部消耗。</w:t>
      </w:r>
    </w:p>
    <w:p w14:paraId="55858980">
      <w:pPr>
        <w:pStyle w:val="9"/>
        <w:pageBreakBefore w:val="0"/>
        <w:numPr>
          <w:ilvl w:val="0"/>
          <w:numId w:val="38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能源计量点</w:t>
      </w:r>
    </w:p>
    <w:p w14:paraId="4F3CC8C7">
      <w:pPr>
        <w:pStyle w:val="9"/>
        <w:pageBreakBefore w:val="0"/>
        <w:numPr>
          <w:ilvl w:val="0"/>
          <w:numId w:val="38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电：各设备控制柜主柜，包括直接由母线（一次电路）引入到控制柜的电量。</w:t>
      </w:r>
    </w:p>
    <w:p w14:paraId="04969BB6">
      <w:pPr>
        <w:pStyle w:val="9"/>
        <w:pageBreakBefore w:val="0"/>
        <w:numPr>
          <w:ilvl w:val="0"/>
          <w:numId w:val="38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天燃气：每一台燃烧机。</w:t>
      </w:r>
    </w:p>
    <w:p w14:paraId="097BEAF4">
      <w:pPr>
        <w:pStyle w:val="9"/>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cs="宋体"/>
          <w:sz w:val="24"/>
          <w:szCs w:val="24"/>
          <w:lang w:eastAsia="zh-CN"/>
        </w:rPr>
        <w:t>投标人</w:t>
      </w:r>
      <w:r>
        <w:rPr>
          <w:rFonts w:hint="eastAsia" w:ascii="宋体" w:hAnsi="宋体" w:eastAsia="宋体" w:cs="宋体"/>
          <w:sz w:val="24"/>
          <w:szCs w:val="24"/>
        </w:rPr>
        <w:t>配备相应计量仪表；位于公用主线路上（入口主管道），信号线由</w:t>
      </w:r>
      <w:r>
        <w:rPr>
          <w:rFonts w:hint="eastAsia" w:ascii="宋体" w:hAnsi="宋体" w:cs="宋体"/>
          <w:sz w:val="24"/>
          <w:szCs w:val="24"/>
          <w:lang w:eastAsia="zh-CN"/>
        </w:rPr>
        <w:t>投标人</w:t>
      </w:r>
      <w:r>
        <w:rPr>
          <w:rFonts w:hint="eastAsia" w:ascii="宋体" w:hAnsi="宋体" w:eastAsia="宋体" w:cs="宋体"/>
          <w:sz w:val="24"/>
          <w:szCs w:val="24"/>
        </w:rPr>
        <w:t>接入中控室。仪表的数量，位置，通信接口等，预留接公司能源系统信号接口。</w:t>
      </w:r>
    </w:p>
    <w:p w14:paraId="35607F9F">
      <w:pPr>
        <w:pageBreakBefore w:val="0"/>
        <w:numPr>
          <w:ilvl w:val="0"/>
          <w:numId w:val="3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集成设备要求</w:t>
      </w:r>
    </w:p>
    <w:p w14:paraId="6214CA3A">
      <w:pPr>
        <w:pStyle w:val="263"/>
        <w:pageBreakBefore w:val="0"/>
        <w:numPr>
          <w:ilvl w:val="0"/>
          <w:numId w:val="3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显示：具有本地显示功能。</w:t>
      </w:r>
    </w:p>
    <w:p w14:paraId="55FE13E1">
      <w:pPr>
        <w:pStyle w:val="263"/>
        <w:pageBreakBefore w:val="0"/>
        <w:numPr>
          <w:ilvl w:val="0"/>
          <w:numId w:val="3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计量：满足非电能数据计量要求。</w:t>
      </w:r>
    </w:p>
    <w:p w14:paraId="65E86478">
      <w:pPr>
        <w:pStyle w:val="263"/>
        <w:pageBreakBefore w:val="0"/>
        <w:numPr>
          <w:ilvl w:val="0"/>
          <w:numId w:val="38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天然气选用涡轮流量计；所有新增计量器具在正式投运前</w:t>
      </w:r>
      <w:r>
        <w:rPr>
          <w:rFonts w:hint="eastAsia" w:ascii="宋体" w:hAnsi="宋体" w:cs="宋体"/>
          <w:sz w:val="24"/>
          <w:lang w:eastAsia="zh-CN"/>
        </w:rPr>
        <w:t>投标人</w:t>
      </w:r>
      <w:r>
        <w:rPr>
          <w:rFonts w:hint="eastAsia" w:ascii="宋体" w:hAnsi="宋体" w:eastAsia="宋体" w:cs="宋体"/>
          <w:sz w:val="24"/>
        </w:rPr>
        <w:t>均需提供由当地法定第三方计量检测单位出具的鉴定报告。</w:t>
      </w:r>
    </w:p>
    <w:p w14:paraId="0131B6DE">
      <w:pPr>
        <w:pageBreakBefore w:val="0"/>
        <w:numPr>
          <w:ilvl w:val="0"/>
          <w:numId w:val="38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系统要求</w:t>
      </w:r>
    </w:p>
    <w:p w14:paraId="4CCC2909">
      <w:pPr>
        <w:pageBreakBefore w:val="0"/>
        <w:numPr>
          <w:ilvl w:val="0"/>
          <w:numId w:val="38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生成能源报表，分别按日、周、月、年统计，便于管理人员做出结算。所有类型的表格均定时转换成EXCEL报表格式并保存出来，用户方便数据查找和系统维护。</w:t>
      </w:r>
    </w:p>
    <w:p w14:paraId="0CE6BC7B">
      <w:pPr>
        <w:pageBreakBefore w:val="0"/>
        <w:numPr>
          <w:ilvl w:val="0"/>
          <w:numId w:val="38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于能耗任何非正常的状态可以监控并进行报警，提供以下信息：报警时间、系统与信息点的描述及报警状态等。所有监控层网络能源计量控制器信息都会存入磁盘，以便任何时候都可在中控系统上显示出来，操作员所选择的打印机打印出来。同时也可按日期、时间或地点将报警信息进行分类。</w:t>
      </w:r>
    </w:p>
    <w:p w14:paraId="421B1AE9">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2.10 附件: 电气控制系统通用技术要求</w:t>
      </w:r>
    </w:p>
    <w:p w14:paraId="449970D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注：除非特别说明，否则按照以下执行</w:t>
      </w:r>
    </w:p>
    <w:p w14:paraId="1F1771FC">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PLC之间的数据交换采用PN-PN耦合器的方式(其他总线类型按照PN-PN耦合器方式实现)。原则上以工件运行方向为准则，上游设备商提供PN-PN耦合器设备，通信电缆敷设由各家供应商自行完成。若本车间网络现场网络协议与其他两个关联车间不同（其他两个车间现场网络相同）则与其他两个车间信息交换时由本车间供应商负责使用硬件转换通信协议。</w:t>
      </w:r>
    </w:p>
    <w:p w14:paraId="6402D22F">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所有控制柜（含远程柜）至少预留一个编程用的PN接口。</w:t>
      </w:r>
    </w:p>
    <w:p w14:paraId="11A95D06">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对于接触器控制的电动机，其主电路采用马达开关+接触器的方式做保护，不再使用断路器+接触器+热继电器的方式。所有马达开关的辅助触点需接入PLC做控制。</w:t>
      </w:r>
    </w:p>
    <w:p w14:paraId="12A09E5E">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对于控制24V电源、变频器、软启动器、主供电电源、给其他控制柜供电电源等重要设备的断路器均需要增加辅助触点将状态反馈至PLC做控制及显示。</w:t>
      </w:r>
    </w:p>
    <w:p w14:paraId="51FEB68D">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电磁阀等设备的控制电源原则上选用DC24V的线圈，接触器选用线圈选用AC220V。</w:t>
      </w:r>
    </w:p>
    <w:p w14:paraId="3375D2D7">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安全门锁部件，整体采购安全部件供应商产品，严禁自行制作。</w:t>
      </w:r>
    </w:p>
    <w:p w14:paraId="4B936515">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DC24V电源的负极必须可靠接地，DC24V电源容量选择不低于需求的150%，DC24V必须按照端子箱和操作箱的数量、功能进行分路，每路均需要增加保护装置。</w:t>
      </w:r>
    </w:p>
    <w:p w14:paraId="46E3367F">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PLC及HMI等电控设备的编程使用TIA 17 SP1软件（必须为专业版）,必须使用梯形图编程（不允许使用其他编程语言），程序最多三层调用，建议两层调用。原则上不允许使用程序块，若使用程序块则必须提供程序块的源程序、程序块说明、工作原理等。编程软件、程序注释（含程序块）、IO表、程序说明等为中文。程序在项目的任何阶段不允许以任何形式加密。PLC地址分配应在图纸设计阶段就完成，分配地址时应充分考虑到后期可能增加模块的情况，做好地址的预留。编程时按照图纸分配的地址来组态和编程。</w:t>
      </w:r>
    </w:p>
    <w:p w14:paraId="4661C82D">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控制程序按照一个主程序和多个子程序的架构编写，编写时按照工艺流程和工艺设备合理划分子程序，其中报警程序、安全相关程序、连锁程序等必须按照独立的子程序编写。</w:t>
      </w:r>
    </w:p>
    <w:p w14:paraId="5F87428D">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柜体名称分配（针对非成套设备、多个控制柜组成且控制柜不在同一地点布置的系统）：主控柜MCP（安装PLC）,电源柜PDP，焊接电源柜WDP，远程控制柜RCP，接线端子箱JB，操作箱PB；</w:t>
      </w:r>
    </w:p>
    <w:p w14:paraId="01B3C0E4">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所有PDP、WDP柜必须安装智能电能表，用于计量和显示本区域内的用电参数，并将用电数据传输至PLC内，由PLC传输至HMI和中控室使用。对于需要单独监控电流的设备，使用数字三相电流表监控设备的三相电流。</w:t>
      </w:r>
    </w:p>
    <w:p w14:paraId="57635CDD">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每个控制柜（MCP、RCP）内单独设置DC24V电源装置，负责给该控制柜控制的设备供电，不再采用RCP控制柜内的24V来自MCP柜内的总DC24V电源的方案。这样每个RCP柜与MCP就只有动力电缆和PN通信电缆连接。</w:t>
      </w:r>
    </w:p>
    <w:p w14:paraId="59530D08">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每个MCP柜上必须安装一个至少12寸的HMI用于显示本控制柜内的PLC所控制设备的实时状态及与其他MCP柜信号交互的实时状态。</w:t>
      </w:r>
    </w:p>
    <w:p w14:paraId="0FEA9C37">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所有升降机电机、移行机电机、举升机机电机、堆垛机电机、拆垛机电机、旋转辊床电机等增加维修开关。</w:t>
      </w:r>
    </w:p>
    <w:p w14:paraId="4648FC7A">
      <w:pPr>
        <w:pageBreakBefore w:val="0"/>
        <w:numPr>
          <w:ilvl w:val="0"/>
          <w:numId w:val="38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车间所有电机选择节能型的。</w:t>
      </w:r>
    </w:p>
    <w:p w14:paraId="5C834C44">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2.10.1电压额定值和保护措施</w:t>
      </w:r>
    </w:p>
    <w:p w14:paraId="63561C2B">
      <w:pPr>
        <w:pageBreakBefore w:val="0"/>
        <w:numPr>
          <w:ilvl w:val="0"/>
          <w:numId w:val="38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主电源</w:t>
      </w:r>
    </w:p>
    <w:p w14:paraId="533AD7FA">
      <w:pPr>
        <w:pageBreakBefore w:val="0"/>
        <w:numPr>
          <w:ilvl w:val="0"/>
          <w:numId w:val="3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—380V±10%  3相     50HZ±2Hz  （三相五线，3P+N+PE）</w:t>
      </w:r>
    </w:p>
    <w:p w14:paraId="60F68D93">
      <w:pPr>
        <w:pageBreakBefore w:val="0"/>
        <w:numPr>
          <w:ilvl w:val="0"/>
          <w:numId w:val="3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softHyphen/>
      </w:r>
      <w:r>
        <w:rPr>
          <w:rFonts w:hint="eastAsia" w:ascii="宋体" w:hAnsi="宋体" w:eastAsia="宋体" w:cs="宋体"/>
          <w:sz w:val="24"/>
        </w:rPr>
        <w:softHyphen/>
      </w:r>
      <w:r>
        <w:rPr>
          <w:rFonts w:hint="eastAsia" w:ascii="宋体" w:hAnsi="宋体" w:eastAsia="宋体" w:cs="宋体"/>
          <w:sz w:val="24"/>
        </w:rPr>
        <w:t>—控制柜内要有接零线和地线用的接线铜排。用于接三相五线制的进线电源。</w:t>
      </w:r>
    </w:p>
    <w:p w14:paraId="031C553A">
      <w:pPr>
        <w:pageBreakBefore w:val="0"/>
        <w:numPr>
          <w:ilvl w:val="0"/>
          <w:numId w:val="38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—总开关必须具有过电流及电磁保护功能</w:t>
      </w:r>
    </w:p>
    <w:p w14:paraId="5F666123">
      <w:pPr>
        <w:pStyle w:val="458"/>
        <w:pageBreakBefore w:val="0"/>
        <w:numPr>
          <w:ilvl w:val="0"/>
          <w:numId w:val="38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辅助电压</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8"/>
        <w:gridCol w:w="4126"/>
      </w:tblGrid>
      <w:tr w14:paraId="4F42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63" w:type="pct"/>
            <w:tcBorders>
              <w:top w:val="single" w:color="auto" w:sz="4" w:space="0"/>
              <w:left w:val="single" w:color="auto" w:sz="4" w:space="0"/>
              <w:bottom w:val="single" w:color="auto" w:sz="4" w:space="0"/>
              <w:right w:val="single" w:color="auto" w:sz="4" w:space="0"/>
            </w:tcBorders>
            <w:vAlign w:val="center"/>
          </w:tcPr>
          <w:p w14:paraId="1DF84BB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控制回路</w:t>
            </w:r>
          </w:p>
        </w:tc>
        <w:tc>
          <w:tcPr>
            <w:tcW w:w="2137" w:type="pct"/>
            <w:tcBorders>
              <w:top w:val="single" w:color="auto" w:sz="4" w:space="0"/>
              <w:left w:val="single" w:color="auto" w:sz="4" w:space="0"/>
              <w:bottom w:val="single" w:color="auto" w:sz="4" w:space="0"/>
              <w:right w:val="single" w:color="auto" w:sz="4" w:space="0"/>
            </w:tcBorders>
            <w:vAlign w:val="center"/>
          </w:tcPr>
          <w:p w14:paraId="595023D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220VAC 50Hz 或24VDC</w:t>
            </w:r>
          </w:p>
        </w:tc>
      </w:tr>
      <w:tr w14:paraId="5F2A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63" w:type="pct"/>
            <w:tcBorders>
              <w:top w:val="single" w:color="auto" w:sz="4" w:space="0"/>
              <w:left w:val="single" w:color="auto" w:sz="4" w:space="0"/>
              <w:bottom w:val="single" w:color="auto" w:sz="4" w:space="0"/>
              <w:right w:val="single" w:color="auto" w:sz="4" w:space="0"/>
            </w:tcBorders>
            <w:vAlign w:val="center"/>
          </w:tcPr>
          <w:p w14:paraId="099DFB3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交流感应电机</w:t>
            </w:r>
          </w:p>
        </w:tc>
        <w:tc>
          <w:tcPr>
            <w:tcW w:w="2137" w:type="pct"/>
            <w:tcBorders>
              <w:top w:val="single" w:color="auto" w:sz="4" w:space="0"/>
              <w:left w:val="single" w:color="auto" w:sz="4" w:space="0"/>
              <w:bottom w:val="single" w:color="auto" w:sz="4" w:space="0"/>
              <w:right w:val="single" w:color="auto" w:sz="4" w:space="0"/>
            </w:tcBorders>
            <w:vAlign w:val="center"/>
          </w:tcPr>
          <w:p w14:paraId="357C7DB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380VAC 3P 50Hz</w:t>
            </w:r>
          </w:p>
        </w:tc>
      </w:tr>
      <w:tr w14:paraId="1133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63" w:type="pct"/>
            <w:tcBorders>
              <w:top w:val="single" w:color="auto" w:sz="4" w:space="0"/>
              <w:left w:val="single" w:color="auto" w:sz="4" w:space="0"/>
              <w:bottom w:val="single" w:color="auto" w:sz="4" w:space="0"/>
              <w:right w:val="single" w:color="auto" w:sz="4" w:space="0"/>
            </w:tcBorders>
            <w:vAlign w:val="center"/>
          </w:tcPr>
          <w:p w14:paraId="7DC8F8E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电磁阀</w:t>
            </w:r>
          </w:p>
        </w:tc>
        <w:tc>
          <w:tcPr>
            <w:tcW w:w="2137" w:type="pct"/>
            <w:tcBorders>
              <w:top w:val="single" w:color="auto" w:sz="4" w:space="0"/>
              <w:left w:val="single" w:color="auto" w:sz="4" w:space="0"/>
              <w:bottom w:val="single" w:color="auto" w:sz="4" w:space="0"/>
              <w:right w:val="single" w:color="auto" w:sz="4" w:space="0"/>
            </w:tcBorders>
            <w:vAlign w:val="center"/>
          </w:tcPr>
          <w:p w14:paraId="5308848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220VAC或24VDC</w:t>
            </w:r>
          </w:p>
        </w:tc>
      </w:tr>
      <w:tr w14:paraId="0C0C4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63" w:type="pct"/>
            <w:tcBorders>
              <w:top w:val="single" w:color="auto" w:sz="4" w:space="0"/>
              <w:left w:val="single" w:color="auto" w:sz="4" w:space="0"/>
              <w:bottom w:val="single" w:color="auto" w:sz="4" w:space="0"/>
              <w:right w:val="single" w:color="auto" w:sz="4" w:space="0"/>
            </w:tcBorders>
            <w:vAlign w:val="center"/>
          </w:tcPr>
          <w:p w14:paraId="496CAD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PLC的电源</w:t>
            </w:r>
          </w:p>
        </w:tc>
        <w:tc>
          <w:tcPr>
            <w:tcW w:w="2137" w:type="pct"/>
            <w:tcBorders>
              <w:top w:val="single" w:color="auto" w:sz="4" w:space="0"/>
              <w:left w:val="single" w:color="auto" w:sz="4" w:space="0"/>
              <w:bottom w:val="single" w:color="auto" w:sz="4" w:space="0"/>
              <w:right w:val="single" w:color="auto" w:sz="4" w:space="0"/>
            </w:tcBorders>
            <w:vAlign w:val="center"/>
          </w:tcPr>
          <w:p w14:paraId="09C617C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220VAC</w:t>
            </w:r>
          </w:p>
        </w:tc>
      </w:tr>
      <w:tr w14:paraId="408A2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63" w:type="pct"/>
            <w:tcBorders>
              <w:top w:val="single" w:color="auto" w:sz="4" w:space="0"/>
              <w:left w:val="single" w:color="auto" w:sz="4" w:space="0"/>
              <w:bottom w:val="single" w:color="auto" w:sz="4" w:space="0"/>
              <w:right w:val="single" w:color="auto" w:sz="4" w:space="0"/>
            </w:tcBorders>
            <w:vAlign w:val="center"/>
          </w:tcPr>
          <w:p w14:paraId="5097722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接近开关、光电开关、行程开关工作电压</w:t>
            </w:r>
          </w:p>
        </w:tc>
        <w:tc>
          <w:tcPr>
            <w:tcW w:w="2137" w:type="pct"/>
            <w:tcBorders>
              <w:top w:val="single" w:color="auto" w:sz="4" w:space="0"/>
              <w:left w:val="single" w:color="auto" w:sz="4" w:space="0"/>
              <w:bottom w:val="single" w:color="auto" w:sz="4" w:space="0"/>
              <w:right w:val="single" w:color="auto" w:sz="4" w:space="0"/>
            </w:tcBorders>
            <w:vAlign w:val="center"/>
          </w:tcPr>
          <w:p w14:paraId="037CABA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szCs w:val="24"/>
              </w:rPr>
            </w:pPr>
            <w:r>
              <w:rPr>
                <w:rFonts w:hint="eastAsia" w:ascii="宋体" w:hAnsi="宋体" w:eastAsia="宋体" w:cs="宋体"/>
                <w:sz w:val="24"/>
                <w:szCs w:val="24"/>
              </w:rPr>
              <w:t>24VDC</w:t>
            </w:r>
          </w:p>
        </w:tc>
      </w:tr>
    </w:tbl>
    <w:p w14:paraId="14925737">
      <w:pPr>
        <w:pageBreakBefore w:val="0"/>
        <w:numPr>
          <w:ilvl w:val="0"/>
          <w:numId w:val="39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在掉电情况下的保护</w:t>
      </w:r>
    </w:p>
    <w:p w14:paraId="4C1336CC">
      <w:pPr>
        <w:pageBreakBefore w:val="0"/>
        <w:numPr>
          <w:ilvl w:val="0"/>
          <w:numId w:val="3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电控系统及组件必须能够适应工厂电网上的电压波动和脉冲干扰。</w:t>
      </w:r>
    </w:p>
    <w:p w14:paraId="4F84E588">
      <w:pPr>
        <w:pageBreakBefore w:val="0"/>
        <w:numPr>
          <w:ilvl w:val="0"/>
          <w:numId w:val="3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在电压干扰和掉电之后，被中断的程序必须能再次重新执行。</w:t>
      </w:r>
    </w:p>
    <w:p w14:paraId="5434A7D1">
      <w:pPr>
        <w:pageBreakBefore w:val="0"/>
        <w:numPr>
          <w:ilvl w:val="0"/>
          <w:numId w:val="3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电源系统的一相或两相掉电时，所有设备电源必须随之自动断开。</w:t>
      </w:r>
    </w:p>
    <w:p w14:paraId="443BF499">
      <w:pPr>
        <w:pageBreakBefore w:val="0"/>
        <w:numPr>
          <w:ilvl w:val="0"/>
          <w:numId w:val="39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在电源断电或设备急停时 ，为了避免设备损坏或人身伤害，不允许设备有任何运动。</w:t>
      </w:r>
    </w:p>
    <w:p w14:paraId="16D7E1EC">
      <w:pPr>
        <w:pageBreakBefore w:val="0"/>
        <w:numPr>
          <w:ilvl w:val="0"/>
          <w:numId w:val="390"/>
        </w:numPr>
        <w:kinsoku/>
        <w:wordWrap/>
        <w:topLinePunct w:val="0"/>
        <w:bidi w:val="0"/>
        <w:adjustRightInd w:val="0"/>
        <w:snapToGrid w:val="0"/>
        <w:spacing w:afterAutospacing="0" w:line="360" w:lineRule="auto"/>
        <w:ind w:left="0" w:leftChars="0" w:firstLine="0" w:firstLineChars="0"/>
        <w:outlineLvl w:val="0"/>
        <w:rPr>
          <w:rFonts w:hint="eastAsia" w:ascii="宋体" w:hAnsi="宋体" w:eastAsia="宋体" w:cs="宋体"/>
          <w:sz w:val="24"/>
        </w:rPr>
      </w:pPr>
      <w:r>
        <w:rPr>
          <w:rFonts w:hint="eastAsia" w:ascii="宋体" w:hAnsi="宋体" w:eastAsia="宋体" w:cs="宋体"/>
          <w:sz w:val="24"/>
        </w:rPr>
        <w:t>在电机过载情况下的保护</w:t>
      </w:r>
    </w:p>
    <w:p w14:paraId="6DA017D8">
      <w:pPr>
        <w:pageBreakBefore w:val="0"/>
        <w:numPr>
          <w:ilvl w:val="0"/>
          <w:numId w:val="39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必须采用过载保护装置，而且要防止它自动再次接通。</w:t>
      </w:r>
    </w:p>
    <w:p w14:paraId="79FEB837">
      <w:pPr>
        <w:pageBreakBefore w:val="0"/>
        <w:numPr>
          <w:ilvl w:val="0"/>
          <w:numId w:val="39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三相电机的电流过载保护器必须分别安装在三相线路上。</w:t>
      </w:r>
    </w:p>
    <w:p w14:paraId="1DE17530">
      <w:pPr>
        <w:pageBreakBefore w:val="0"/>
        <w:numPr>
          <w:ilvl w:val="0"/>
          <w:numId w:val="39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电机热保护开关接入控制回路中。</w:t>
      </w:r>
    </w:p>
    <w:p w14:paraId="60BE3D5B">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2.10.2导线和接线端子</w:t>
      </w:r>
    </w:p>
    <w:p w14:paraId="59F88D0E">
      <w:pPr>
        <w:pageBreakBefore w:val="0"/>
        <w:numPr>
          <w:ilvl w:val="0"/>
          <w:numId w:val="39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通用技术要求</w:t>
      </w:r>
    </w:p>
    <w:p w14:paraId="5C2A57B6">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电源电路和控制电路的电线必须符合国家标准；</w:t>
      </w:r>
    </w:p>
    <w:p w14:paraId="130AB731">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电缆必须具有足够的长度而且能够使组件间进行快速准确的信号交换；</w:t>
      </w:r>
    </w:p>
    <w:p w14:paraId="3D15ECD6">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需要走外的导线或柔性电缆必须走保护管路，不能外露；</w:t>
      </w:r>
    </w:p>
    <w:p w14:paraId="331492FB">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所有的元器件必须以便于维护的方式进行连接；</w:t>
      </w:r>
    </w:p>
    <w:p w14:paraId="091E43B4">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Ⅰ类信号：热电阻信号、热电偶信号、毫伏信号、应变信号等低电平信号，必须用屏蔽双绞线电缆；</w:t>
      </w:r>
    </w:p>
    <w:p w14:paraId="36984D39">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Ⅱ类信号：0～5V、1～5V、4～20mA、0～10mA模拟量输入信号；4～20mA、0～10mA模拟量输出信号；模拟量信号采用屏蔽电缆传输，电平型开关量输入信号；触点型开关量输入信号；</w:t>
      </w:r>
    </w:p>
    <w:p w14:paraId="5634B121">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Ⅲ类信号：24V～48VDC感性负载或者电流大于50mA的阻性负载的开关量输出信号；Ⅳ类信号：110VAC或220VAC开关量输出信号；对于Ⅳ类信号严禁与Ⅰ、Ⅱ类信号捆在一起走线，应作为220V电源线处理，与电源电缆一起走线；对于Ⅲ类信号，如果与Ⅰ、Ⅱ类信号一起走线，Ⅲ类信号必须采用屏蔽电缆，最好为屏蔽双绞电缆，且与Ⅰ、Ⅱ类信号电缆相距15cm以上；</w:t>
      </w:r>
    </w:p>
    <w:p w14:paraId="23F7800B">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接线端子必须用方便拆卸的罩盖进行保护；</w:t>
      </w:r>
    </w:p>
    <w:p w14:paraId="65388D0F">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在应用于操作且需要移动的场合，外露的电缆必须是具有适宜的柔韧性而且具有适当的外保护；</w:t>
      </w:r>
    </w:p>
    <w:p w14:paraId="7CD68BAF">
      <w:pPr>
        <w:pageBreakBefore w:val="0"/>
        <w:numPr>
          <w:ilvl w:val="0"/>
          <w:numId w:val="39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导线的颜色标准</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10"/>
        <w:gridCol w:w="3231"/>
        <w:gridCol w:w="2213"/>
      </w:tblGrid>
      <w:tr w14:paraId="658C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80" w:type="pct"/>
            <w:tcBorders>
              <w:top w:val="single" w:color="auto" w:sz="4" w:space="0"/>
              <w:left w:val="single" w:color="auto" w:sz="4" w:space="0"/>
              <w:bottom w:val="single" w:color="auto" w:sz="4" w:space="0"/>
              <w:right w:val="single" w:color="auto" w:sz="4" w:space="0"/>
            </w:tcBorders>
            <w:vAlign w:val="center"/>
          </w:tcPr>
          <w:p w14:paraId="296F9BC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主  电  路</w:t>
            </w:r>
          </w:p>
        </w:tc>
        <w:tc>
          <w:tcPr>
            <w:tcW w:w="1673" w:type="pct"/>
            <w:tcBorders>
              <w:top w:val="single" w:color="auto" w:sz="4" w:space="0"/>
              <w:left w:val="single" w:color="auto" w:sz="4" w:space="0"/>
              <w:bottom w:val="single" w:color="auto" w:sz="4" w:space="0"/>
              <w:right w:val="single" w:color="auto" w:sz="4" w:space="0"/>
            </w:tcBorders>
            <w:vAlign w:val="center"/>
          </w:tcPr>
          <w:p w14:paraId="0BC5B7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控 制 电 路</w:t>
            </w:r>
          </w:p>
        </w:tc>
        <w:tc>
          <w:tcPr>
            <w:tcW w:w="1146" w:type="pct"/>
            <w:tcBorders>
              <w:top w:val="single" w:color="auto" w:sz="4" w:space="0"/>
              <w:left w:val="single" w:color="auto" w:sz="4" w:space="0"/>
              <w:bottom w:val="single" w:color="auto" w:sz="4" w:space="0"/>
              <w:right w:val="single" w:color="auto" w:sz="4" w:space="0"/>
            </w:tcBorders>
            <w:vAlign w:val="center"/>
          </w:tcPr>
          <w:p w14:paraId="3194C04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地 线</w:t>
            </w:r>
          </w:p>
        </w:tc>
      </w:tr>
      <w:tr w14:paraId="764EF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2180" w:type="pct"/>
            <w:tcBorders>
              <w:top w:val="single" w:color="auto" w:sz="4" w:space="0"/>
              <w:left w:val="single" w:color="auto" w:sz="4" w:space="0"/>
              <w:bottom w:val="single" w:color="auto" w:sz="4" w:space="0"/>
              <w:right w:val="single" w:color="auto" w:sz="4" w:space="0"/>
            </w:tcBorders>
            <w:vAlign w:val="center"/>
          </w:tcPr>
          <w:p w14:paraId="6AA2F6B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交流：</w:t>
            </w:r>
          </w:p>
          <w:p w14:paraId="0894C96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A相：黄色（或黑色电缆黄色标识）</w:t>
            </w:r>
          </w:p>
          <w:p w14:paraId="32A59D7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B相：绿色（或黑色电缆绿色标识）</w:t>
            </w:r>
          </w:p>
          <w:p w14:paraId="15C7446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C相：红色（或黑色电缆红色标识）</w:t>
            </w:r>
          </w:p>
          <w:p w14:paraId="179809A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N相：蓝色（或黑色电缆蓝色标识）</w:t>
            </w:r>
          </w:p>
          <w:p w14:paraId="13ACF2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直流：黑色（作+/-标记）</w:t>
            </w:r>
          </w:p>
        </w:tc>
        <w:tc>
          <w:tcPr>
            <w:tcW w:w="1673" w:type="pct"/>
            <w:tcBorders>
              <w:top w:val="single" w:color="auto" w:sz="4" w:space="0"/>
              <w:left w:val="single" w:color="auto" w:sz="4" w:space="0"/>
              <w:bottom w:val="single" w:color="auto" w:sz="4" w:space="0"/>
              <w:right w:val="single" w:color="auto" w:sz="4" w:space="0"/>
            </w:tcBorders>
            <w:vAlign w:val="center"/>
          </w:tcPr>
          <w:p w14:paraId="2A964A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交流控制：</w:t>
            </w:r>
          </w:p>
          <w:p w14:paraId="37CAF05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火线：红色</w:t>
            </w:r>
          </w:p>
          <w:p w14:paraId="0DA3F03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零线：深蓝色</w:t>
            </w:r>
          </w:p>
          <w:p w14:paraId="455E243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直流控制：</w:t>
            </w:r>
          </w:p>
          <w:p w14:paraId="26ED6E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kern w:val="0"/>
                <w:sz w:val="24"/>
                <w:lang w:val="de-DE"/>
              </w:rPr>
              <w:t>（正）棕色；（负）蓝色</w:t>
            </w:r>
          </w:p>
        </w:tc>
        <w:tc>
          <w:tcPr>
            <w:tcW w:w="1146" w:type="pct"/>
            <w:tcBorders>
              <w:top w:val="single" w:color="auto" w:sz="4" w:space="0"/>
              <w:left w:val="single" w:color="auto" w:sz="4" w:space="0"/>
              <w:bottom w:val="single" w:color="auto" w:sz="4" w:space="0"/>
              <w:right w:val="single" w:color="auto" w:sz="4" w:space="0"/>
            </w:tcBorders>
            <w:vAlign w:val="center"/>
          </w:tcPr>
          <w:p w14:paraId="45FE6B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黄绿双色</w:t>
            </w:r>
          </w:p>
        </w:tc>
      </w:tr>
    </w:tbl>
    <w:p w14:paraId="5BE6E48D">
      <w:pPr>
        <w:pageBreakBefore w:val="0"/>
        <w:numPr>
          <w:ilvl w:val="0"/>
          <w:numId w:val="39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电缆使用标准</w:t>
      </w:r>
    </w:p>
    <w:p w14:paraId="18727312">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导线的横截面积必须符合国家标准，必须满足设备和电气组件正常稳定运转；</w:t>
      </w:r>
    </w:p>
    <w:p w14:paraId="3F077769">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动力控制线不小于1.5平方毫米；</w:t>
      </w:r>
    </w:p>
    <w:p w14:paraId="16BE9398">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220V控制线不小于1.0平方毫米；</w:t>
      </w:r>
    </w:p>
    <w:p w14:paraId="2CE8514D">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24V控制线不小于0.75平方毫米；</w:t>
      </w:r>
    </w:p>
    <w:p w14:paraId="15EDE665">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PROFINET等总线电缆在桥架布线中与动力电缆采用金属隔板分开布置，当实际布线超过80m时需要更换为光纤介质传输；</w:t>
      </w:r>
    </w:p>
    <w:p w14:paraId="3D43F4BC">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使用光纤介质传输时光纤根数物理数量至少留有2倍余量（即使用2芯光纤能够满足要求，就要敷设至少4芯光纤），每根光纤均做好光纤接头测试能够正常使用，做好标记（参考DC24v电源线的标记）；</w:t>
      </w:r>
    </w:p>
    <w:p w14:paraId="776EADF2">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电缆的敷设应在控制柜端和控制对象段预留至少控制柜周长或者1000mm，每根一组绑扎好；</w:t>
      </w:r>
    </w:p>
    <w:p w14:paraId="0226B8ED">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电缆的选择应与其敷设的环境相适应。例如在有弯折的场合选用高柔性电缆，在靠近油品的位置采用耐油电缆，在需要敷设至水中时采用防水电缆，高温场合采用耐高温电缆等；</w:t>
      </w:r>
    </w:p>
    <w:p w14:paraId="075A50D1">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所有变频器至电机的电缆、传输模拟量信号的电缆均选用带专用屏蔽层的电缆；</w:t>
      </w:r>
    </w:p>
    <w:p w14:paraId="1BA2ABEC">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信号电缆按照芯数分类最多有5种型号，每根5芯电缆最少有2根预留，信号电缆线径不低于1.5mm²。普通信号电缆（非高温区域、非移动设备布设区域）采用KVVR型号（弯折半径不大于8倍电缆直径）或者比该型号电缆更加耐弯折的型号，要求电缆在较低的气温下（-15℃）不变硬；</w:t>
      </w:r>
    </w:p>
    <w:p w14:paraId="3AE7B2D2">
      <w:pPr>
        <w:pStyle w:val="263"/>
        <w:pageBreakBefore w:val="0"/>
        <w:numPr>
          <w:ilvl w:val="0"/>
          <w:numId w:val="39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动力电缆（YJVR）线径的选择参照下表</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2437"/>
        <w:gridCol w:w="2437"/>
        <w:gridCol w:w="3738"/>
      </w:tblGrid>
      <w:tr w14:paraId="48F0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5D9B1C4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序号</w:t>
            </w:r>
          </w:p>
        </w:tc>
        <w:tc>
          <w:tcPr>
            <w:tcW w:w="1262" w:type="pct"/>
            <w:vAlign w:val="top"/>
          </w:tcPr>
          <w:p w14:paraId="2F78A73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满载功率P（KW）</w:t>
            </w:r>
          </w:p>
        </w:tc>
        <w:tc>
          <w:tcPr>
            <w:tcW w:w="1262" w:type="pct"/>
            <w:vAlign w:val="top"/>
          </w:tcPr>
          <w:p w14:paraId="1A38A5A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线径（mm²）</w:t>
            </w:r>
          </w:p>
        </w:tc>
        <w:tc>
          <w:tcPr>
            <w:tcW w:w="1936" w:type="pct"/>
            <w:vAlign w:val="top"/>
          </w:tcPr>
          <w:p w14:paraId="3C1554D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备注</w:t>
            </w:r>
          </w:p>
        </w:tc>
      </w:tr>
      <w:tr w14:paraId="6470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22E7FA0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1262" w:type="pct"/>
            <w:vAlign w:val="top"/>
          </w:tcPr>
          <w:p w14:paraId="34AED31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P≤1（输送）</w:t>
            </w:r>
          </w:p>
        </w:tc>
        <w:tc>
          <w:tcPr>
            <w:tcW w:w="1262" w:type="pct"/>
            <w:vAlign w:val="top"/>
          </w:tcPr>
          <w:p w14:paraId="0F305A3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≥1.5</w:t>
            </w:r>
          </w:p>
        </w:tc>
        <w:tc>
          <w:tcPr>
            <w:tcW w:w="1936" w:type="pct"/>
            <w:vMerge w:val="restart"/>
            <w:vAlign w:val="top"/>
          </w:tcPr>
          <w:p w14:paraId="325C01F2">
            <w:pPr>
              <w:pStyle w:val="263"/>
              <w:pageBreakBefore w:val="0"/>
              <w:widowControl/>
              <w:numPr>
                <w:ilvl w:val="0"/>
                <w:numId w:val="397"/>
              </w:numPr>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本表电缆按照国标铜芯电缆YJVR桥架敷设方式选择。</w:t>
            </w:r>
          </w:p>
          <w:p w14:paraId="1BA98410">
            <w:pPr>
              <w:pStyle w:val="263"/>
              <w:pageBreakBefore w:val="0"/>
              <w:widowControl/>
              <w:numPr>
                <w:ilvl w:val="0"/>
                <w:numId w:val="397"/>
              </w:numPr>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本表电缆线径按照1次/2小时启动次数或者变频控制选择，当超过该要求时电缆线径增加一档。</w:t>
            </w:r>
          </w:p>
          <w:p w14:paraId="07D06A42">
            <w:pPr>
              <w:pStyle w:val="263"/>
              <w:pageBreakBefore w:val="0"/>
              <w:widowControl/>
              <w:numPr>
                <w:ilvl w:val="0"/>
                <w:numId w:val="397"/>
              </w:numPr>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当实际敷设电缆超过40m时，电缆线径增加一档。</w:t>
            </w:r>
          </w:p>
          <w:p w14:paraId="7EE6AC2B">
            <w:pPr>
              <w:pStyle w:val="263"/>
              <w:pageBreakBefore w:val="0"/>
              <w:numPr>
                <w:ilvl w:val="0"/>
                <w:numId w:val="397"/>
              </w:numPr>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当桥架内电缆超过1层时，电缆线径增加一档。</w:t>
            </w:r>
          </w:p>
        </w:tc>
      </w:tr>
      <w:tr w14:paraId="5FE5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002C3A4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1262" w:type="pct"/>
            <w:vAlign w:val="top"/>
          </w:tcPr>
          <w:p w14:paraId="27965CC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P≤4</w:t>
            </w:r>
          </w:p>
        </w:tc>
        <w:tc>
          <w:tcPr>
            <w:tcW w:w="1262" w:type="pct"/>
            <w:vAlign w:val="top"/>
          </w:tcPr>
          <w:p w14:paraId="703418B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≥2.5</w:t>
            </w:r>
          </w:p>
        </w:tc>
        <w:tc>
          <w:tcPr>
            <w:tcW w:w="1936" w:type="pct"/>
            <w:vMerge w:val="continue"/>
            <w:vAlign w:val="top"/>
          </w:tcPr>
          <w:p w14:paraId="6C962DE3">
            <w:pPr>
              <w:pStyle w:val="263"/>
              <w:pageBreakBefore w:val="0"/>
              <w:widowControl/>
              <w:numPr>
                <w:ilvl w:val="0"/>
                <w:numId w:val="397"/>
              </w:numPr>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48B0F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6FC135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1262" w:type="pct"/>
            <w:vAlign w:val="top"/>
          </w:tcPr>
          <w:p w14:paraId="2EAC474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4＜P≤8</w:t>
            </w:r>
          </w:p>
        </w:tc>
        <w:tc>
          <w:tcPr>
            <w:tcW w:w="1262" w:type="pct"/>
            <w:vAlign w:val="top"/>
          </w:tcPr>
          <w:p w14:paraId="128646B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1936" w:type="pct"/>
            <w:vMerge w:val="continue"/>
            <w:vAlign w:val="top"/>
          </w:tcPr>
          <w:p w14:paraId="43E58C4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4C77E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2C2B7F2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1262" w:type="pct"/>
            <w:vAlign w:val="top"/>
          </w:tcPr>
          <w:p w14:paraId="6A1FB88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8＜P≤12</w:t>
            </w:r>
          </w:p>
        </w:tc>
        <w:tc>
          <w:tcPr>
            <w:tcW w:w="1262" w:type="pct"/>
            <w:vAlign w:val="top"/>
          </w:tcPr>
          <w:p w14:paraId="20F387C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1936" w:type="pct"/>
            <w:vMerge w:val="continue"/>
            <w:vAlign w:val="top"/>
          </w:tcPr>
          <w:p w14:paraId="2F816E6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4E985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6B2220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1262" w:type="pct"/>
            <w:vAlign w:val="top"/>
          </w:tcPr>
          <w:p w14:paraId="41651B8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12＜P≤18</w:t>
            </w:r>
          </w:p>
        </w:tc>
        <w:tc>
          <w:tcPr>
            <w:tcW w:w="1262" w:type="pct"/>
            <w:vAlign w:val="top"/>
          </w:tcPr>
          <w:p w14:paraId="6399C0F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≥10</w:t>
            </w:r>
          </w:p>
        </w:tc>
        <w:tc>
          <w:tcPr>
            <w:tcW w:w="1936" w:type="pct"/>
            <w:vMerge w:val="continue"/>
            <w:vAlign w:val="top"/>
          </w:tcPr>
          <w:p w14:paraId="2B3D09D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03EEB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55D3DB5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1262" w:type="pct"/>
            <w:vAlign w:val="top"/>
          </w:tcPr>
          <w:p w14:paraId="41DE5D9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18＜P≤25</w:t>
            </w:r>
          </w:p>
        </w:tc>
        <w:tc>
          <w:tcPr>
            <w:tcW w:w="1262" w:type="pct"/>
            <w:vAlign w:val="top"/>
          </w:tcPr>
          <w:p w14:paraId="688448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w:t>
            </w:r>
          </w:p>
        </w:tc>
        <w:tc>
          <w:tcPr>
            <w:tcW w:w="1936" w:type="pct"/>
            <w:vMerge w:val="continue"/>
            <w:vAlign w:val="top"/>
          </w:tcPr>
          <w:p w14:paraId="1160B1A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107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0F04AF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1262" w:type="pct"/>
            <w:vAlign w:val="top"/>
          </w:tcPr>
          <w:p w14:paraId="7A6CA96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25＜P≤37</w:t>
            </w:r>
          </w:p>
        </w:tc>
        <w:tc>
          <w:tcPr>
            <w:tcW w:w="1262" w:type="pct"/>
            <w:vAlign w:val="top"/>
          </w:tcPr>
          <w:p w14:paraId="6ADD64E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≥25</w:t>
            </w:r>
          </w:p>
        </w:tc>
        <w:tc>
          <w:tcPr>
            <w:tcW w:w="1936" w:type="pct"/>
            <w:vMerge w:val="continue"/>
            <w:vAlign w:val="top"/>
          </w:tcPr>
          <w:p w14:paraId="033803C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58F31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2533637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w:t>
            </w:r>
          </w:p>
        </w:tc>
        <w:tc>
          <w:tcPr>
            <w:tcW w:w="1262" w:type="pct"/>
            <w:vAlign w:val="top"/>
          </w:tcPr>
          <w:p w14:paraId="076446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37＜P≤45</w:t>
            </w:r>
          </w:p>
        </w:tc>
        <w:tc>
          <w:tcPr>
            <w:tcW w:w="1262" w:type="pct"/>
            <w:vAlign w:val="top"/>
          </w:tcPr>
          <w:p w14:paraId="0C748DB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≥35</w:t>
            </w:r>
          </w:p>
        </w:tc>
        <w:tc>
          <w:tcPr>
            <w:tcW w:w="1936" w:type="pct"/>
            <w:vMerge w:val="continue"/>
            <w:vAlign w:val="top"/>
          </w:tcPr>
          <w:p w14:paraId="444AF2B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0766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1441581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w:t>
            </w:r>
          </w:p>
        </w:tc>
        <w:tc>
          <w:tcPr>
            <w:tcW w:w="1262" w:type="pct"/>
            <w:vAlign w:val="top"/>
          </w:tcPr>
          <w:p w14:paraId="04B0500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45＜P≤55</w:t>
            </w:r>
          </w:p>
        </w:tc>
        <w:tc>
          <w:tcPr>
            <w:tcW w:w="1262" w:type="pct"/>
            <w:vAlign w:val="top"/>
          </w:tcPr>
          <w:p w14:paraId="640D6CB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≥50</w:t>
            </w:r>
          </w:p>
        </w:tc>
        <w:tc>
          <w:tcPr>
            <w:tcW w:w="1936" w:type="pct"/>
            <w:vMerge w:val="continue"/>
            <w:vAlign w:val="top"/>
          </w:tcPr>
          <w:p w14:paraId="12134A2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D3F9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3F1EA89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10</w:t>
            </w:r>
          </w:p>
        </w:tc>
        <w:tc>
          <w:tcPr>
            <w:tcW w:w="1262" w:type="pct"/>
            <w:vAlign w:val="top"/>
          </w:tcPr>
          <w:p w14:paraId="2A88A77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55＜P≤90</w:t>
            </w:r>
          </w:p>
        </w:tc>
        <w:tc>
          <w:tcPr>
            <w:tcW w:w="1262" w:type="pct"/>
            <w:vAlign w:val="top"/>
          </w:tcPr>
          <w:p w14:paraId="291BD57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≥70</w:t>
            </w:r>
          </w:p>
        </w:tc>
        <w:tc>
          <w:tcPr>
            <w:tcW w:w="1936" w:type="pct"/>
            <w:vMerge w:val="continue"/>
            <w:vAlign w:val="top"/>
          </w:tcPr>
          <w:p w14:paraId="3CDADE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4B66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686578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11</w:t>
            </w:r>
          </w:p>
        </w:tc>
        <w:tc>
          <w:tcPr>
            <w:tcW w:w="1262" w:type="pct"/>
            <w:vAlign w:val="top"/>
          </w:tcPr>
          <w:p w14:paraId="473E02E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90＜P＜120</w:t>
            </w:r>
          </w:p>
        </w:tc>
        <w:tc>
          <w:tcPr>
            <w:tcW w:w="1262" w:type="pct"/>
            <w:vAlign w:val="top"/>
          </w:tcPr>
          <w:p w14:paraId="513E398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≥95或双拼50</w:t>
            </w:r>
          </w:p>
        </w:tc>
        <w:tc>
          <w:tcPr>
            <w:tcW w:w="1936" w:type="pct"/>
            <w:vMerge w:val="continue"/>
            <w:vAlign w:val="top"/>
          </w:tcPr>
          <w:p w14:paraId="3AA0B1D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C4A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4D69062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w:t>
            </w:r>
          </w:p>
        </w:tc>
        <w:tc>
          <w:tcPr>
            <w:tcW w:w="1262" w:type="pct"/>
            <w:vAlign w:val="top"/>
          </w:tcPr>
          <w:p w14:paraId="207E88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120≤P＜150</w:t>
            </w:r>
          </w:p>
        </w:tc>
        <w:tc>
          <w:tcPr>
            <w:tcW w:w="1262" w:type="pct"/>
            <w:vAlign w:val="top"/>
          </w:tcPr>
          <w:p w14:paraId="474F98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≥120</w:t>
            </w:r>
          </w:p>
        </w:tc>
        <w:tc>
          <w:tcPr>
            <w:tcW w:w="1936" w:type="pct"/>
            <w:vMerge w:val="continue"/>
            <w:vAlign w:val="top"/>
          </w:tcPr>
          <w:p w14:paraId="456297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04AA1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2C8D7D4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13</w:t>
            </w:r>
          </w:p>
        </w:tc>
        <w:tc>
          <w:tcPr>
            <w:tcW w:w="1262" w:type="pct"/>
            <w:vAlign w:val="top"/>
          </w:tcPr>
          <w:p w14:paraId="039FB53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150≤P＜170</w:t>
            </w:r>
          </w:p>
        </w:tc>
        <w:tc>
          <w:tcPr>
            <w:tcW w:w="1262" w:type="pct"/>
            <w:vAlign w:val="top"/>
          </w:tcPr>
          <w:p w14:paraId="72843C1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≥150或双拼70</w:t>
            </w:r>
          </w:p>
        </w:tc>
        <w:tc>
          <w:tcPr>
            <w:tcW w:w="1936" w:type="pct"/>
            <w:vMerge w:val="continue"/>
            <w:vAlign w:val="top"/>
          </w:tcPr>
          <w:p w14:paraId="7E2EEE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7EA4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297231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14</w:t>
            </w:r>
          </w:p>
        </w:tc>
        <w:tc>
          <w:tcPr>
            <w:tcW w:w="1262" w:type="pct"/>
            <w:vAlign w:val="top"/>
          </w:tcPr>
          <w:p w14:paraId="2A48A35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170≤P＜200</w:t>
            </w:r>
          </w:p>
        </w:tc>
        <w:tc>
          <w:tcPr>
            <w:tcW w:w="1262" w:type="pct"/>
            <w:vAlign w:val="top"/>
          </w:tcPr>
          <w:p w14:paraId="04BB37A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≥185或双拼95</w:t>
            </w:r>
          </w:p>
        </w:tc>
        <w:tc>
          <w:tcPr>
            <w:tcW w:w="1936" w:type="pct"/>
            <w:vMerge w:val="continue"/>
            <w:vAlign w:val="top"/>
          </w:tcPr>
          <w:p w14:paraId="52A8BA7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75197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0931375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15</w:t>
            </w:r>
          </w:p>
        </w:tc>
        <w:tc>
          <w:tcPr>
            <w:tcW w:w="1262" w:type="pct"/>
            <w:vAlign w:val="top"/>
          </w:tcPr>
          <w:p w14:paraId="541244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200≤P＜250</w:t>
            </w:r>
          </w:p>
        </w:tc>
        <w:tc>
          <w:tcPr>
            <w:tcW w:w="1262" w:type="pct"/>
            <w:vAlign w:val="top"/>
          </w:tcPr>
          <w:p w14:paraId="0D60EC5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≥双拼150</w:t>
            </w:r>
          </w:p>
        </w:tc>
        <w:tc>
          <w:tcPr>
            <w:tcW w:w="1936" w:type="pct"/>
            <w:vMerge w:val="continue"/>
            <w:vAlign w:val="top"/>
          </w:tcPr>
          <w:p w14:paraId="0EB6788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2696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8" w:type="pct"/>
            <w:vAlign w:val="top"/>
          </w:tcPr>
          <w:p w14:paraId="7DD39554">
            <w:pPr>
              <w:pageBreakBefore w:val="0"/>
              <w:widowControl/>
              <w:kinsoku/>
              <w:wordWrap/>
              <w:topLinePunct w:val="0"/>
              <w:bidi w:val="0"/>
              <w:adjustRightInd w:val="0"/>
              <w:snapToGrid w:val="0"/>
              <w:spacing w:afterAutospacing="0" w:line="240" w:lineRule="auto"/>
              <w:ind w:left="0" w:leftChars="0" w:firstLine="0" w:firstLineChars="0"/>
              <w:jc w:val="center"/>
              <w:rPr>
                <w:rFonts w:hint="default" w:ascii="宋体" w:hAnsi="宋体" w:eastAsia="宋体" w:cs="宋体"/>
                <w:sz w:val="24"/>
                <w:lang w:val="en-US" w:eastAsia="zh-CN"/>
              </w:rPr>
            </w:pPr>
            <w:r>
              <w:rPr>
                <w:rFonts w:hint="eastAsia" w:ascii="宋体" w:hAnsi="宋体" w:cs="宋体"/>
                <w:sz w:val="24"/>
                <w:lang w:val="en-US" w:eastAsia="zh-CN"/>
              </w:rPr>
              <w:t>16</w:t>
            </w:r>
          </w:p>
        </w:tc>
        <w:tc>
          <w:tcPr>
            <w:tcW w:w="1262" w:type="pct"/>
            <w:vAlign w:val="top"/>
          </w:tcPr>
          <w:p w14:paraId="36DFDE0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250≤P＜320</w:t>
            </w:r>
          </w:p>
        </w:tc>
        <w:tc>
          <w:tcPr>
            <w:tcW w:w="1262" w:type="pct"/>
            <w:vAlign w:val="top"/>
          </w:tcPr>
          <w:p w14:paraId="3E6B914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≥双拼185</w:t>
            </w:r>
          </w:p>
        </w:tc>
        <w:tc>
          <w:tcPr>
            <w:tcW w:w="1936" w:type="pct"/>
            <w:vMerge w:val="continue"/>
            <w:vAlign w:val="top"/>
          </w:tcPr>
          <w:p w14:paraId="0D5CB99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bl>
    <w:p w14:paraId="425B1F49">
      <w:pPr>
        <w:pStyle w:val="263"/>
        <w:pageBreakBefore w:val="0"/>
        <w:numPr>
          <w:ilvl w:val="0"/>
          <w:numId w:val="39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近开关等传感器的引出线采用预铸电缆（严禁使用自行采购插接头自行接线的形式）连接至端子箱预铸电缆接头选择M12形式，预铸电缆在接线盒及传感器侧均至少留20cm调节余量。当接近开关距离端子箱较远时可采用多个接近开关使用预铸电缆引至分线盒模块（形式见图），然后使用信号电缆将多个接近开关的信号引出至端子箱或控制柜内。分线盒模块安装在现场时需对模块的两边使用钢板做防；</w:t>
      </w:r>
    </w:p>
    <w:p w14:paraId="4ABCB7F3">
      <w:pPr>
        <w:pStyle w:val="263"/>
        <w:pageBreakBefore w:val="0"/>
        <w:numPr>
          <w:ilvl w:val="0"/>
          <w:numId w:val="39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从桥架到用电设备或者控制设备的电缆，当不能使用桥架布线必须使用软管保护时，使用波纹管穿线，波纹管的连接使用专用的接头，穿线时严禁使用将尼龙波纹管从头到尾剖开的做法。波纹管颜色按照RAL7035。</w:t>
      </w:r>
    </w:p>
    <w:p w14:paraId="5B26D679">
      <w:pPr>
        <w:pageBreakBefore w:val="0"/>
        <w:numPr>
          <w:ilvl w:val="0"/>
          <w:numId w:val="39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控制柜内部的导线</w:t>
      </w:r>
    </w:p>
    <w:p w14:paraId="3B578D9A">
      <w:pPr>
        <w:pageBreakBefore w:val="0"/>
        <w:numPr>
          <w:ilvl w:val="0"/>
          <w:numId w:val="40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PLC的I/O点必须用导线从接线端子连接到相应的PLC模块上；</w:t>
      </w:r>
    </w:p>
    <w:p w14:paraId="0AE8FA12">
      <w:pPr>
        <w:pageBreakBefore w:val="0"/>
        <w:numPr>
          <w:ilvl w:val="0"/>
          <w:numId w:val="40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在控制柜里使用的线槽必须具有20%的额外空间；</w:t>
      </w:r>
    </w:p>
    <w:p w14:paraId="58421FE0">
      <w:pPr>
        <w:pageBreakBefore w:val="0"/>
        <w:numPr>
          <w:ilvl w:val="0"/>
          <w:numId w:val="40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用于控制柜门上电器至接线端子间接线20％或至少2根电缆，控制柜与现场电器元件间接线根据实际规格选用；</w:t>
      </w:r>
    </w:p>
    <w:p w14:paraId="2416290B">
      <w:pPr>
        <w:pageBreakBefore w:val="0"/>
        <w:numPr>
          <w:ilvl w:val="0"/>
          <w:numId w:val="40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电气组件布置有规律，导线都走行线槽，使柜内整齐不凌乱。</w:t>
      </w:r>
    </w:p>
    <w:p w14:paraId="648DAE0B">
      <w:pPr>
        <w:pageBreakBefore w:val="0"/>
        <w:numPr>
          <w:ilvl w:val="0"/>
          <w:numId w:val="39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控制柜外部的电缆</w:t>
      </w:r>
    </w:p>
    <w:p w14:paraId="4D63BB77">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由控制柜到设备各部位的控制电缆必须布置在电缆桥架内与动力电缆隔离走线；</w:t>
      </w:r>
    </w:p>
    <w:p w14:paraId="6801AEB2">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所有外部电缆必须予以编号,每根电缆的编号是唯一的；</w:t>
      </w:r>
    </w:p>
    <w:p w14:paraId="14D91807">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必须采取措施确保在电缆间传输的电压不会引起任何相互干扰；</w:t>
      </w:r>
    </w:p>
    <w:p w14:paraId="5DF13DE0">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电缆的长度足以能够便于更换组件的方式给以确定；</w:t>
      </w:r>
    </w:p>
    <w:p w14:paraId="093CC260">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在电缆桥架内的不可以进行任何导线连接，桥架内严禁布置接线端子和线路接头，所有的线路接头必须在接线端子箱内完成；</w:t>
      </w:r>
    </w:p>
    <w:p w14:paraId="461CC4D5">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信号线和强电线必须分隔开布置。</w:t>
      </w:r>
    </w:p>
    <w:p w14:paraId="168F5035">
      <w:pPr>
        <w:pageBreakBefore w:val="0"/>
        <w:numPr>
          <w:ilvl w:val="0"/>
          <w:numId w:val="39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接线端子及连接</w:t>
      </w:r>
    </w:p>
    <w:p w14:paraId="17E431F3">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小于16mm²的电缆采用弹簧式接线端子，16mm²至35mm²（含）的电缆采用螺钉式接线端子，大于35mm²的电缆不经过接线端子直接接入变频器、接触器等电气元件。</w:t>
      </w:r>
    </w:p>
    <w:p w14:paraId="5DCE10CD">
      <w:pPr>
        <w:pageBreakBefore w:val="0"/>
        <w:numPr>
          <w:ilvl w:val="0"/>
          <w:numId w:val="40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采用弹簧式接线端子的电缆，与接线端子连接时不使用线鼻，直接将导线导体接入接线端子内。保证导体与接线端子的可靠连接，且导体不外露。</w:t>
      </w:r>
    </w:p>
    <w:p w14:paraId="6B4DA92A">
      <w:pPr>
        <w:pStyle w:val="17"/>
        <w:pageBreakBefore w:val="0"/>
        <w:widowControl/>
        <w:numPr>
          <w:ilvl w:val="0"/>
          <w:numId w:val="402"/>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采用螺钉式接线端子及不采用接线端子的电缆，与接线端子连接时采用线鼻连接。</w:t>
      </w:r>
    </w:p>
    <w:p w14:paraId="6E93654F">
      <w:pPr>
        <w:pageBreakBefore w:val="0"/>
        <w:numPr>
          <w:ilvl w:val="0"/>
          <w:numId w:val="40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在端子板的出线侧，每个端子接头原则上只可以连接一根导线；</w:t>
      </w:r>
    </w:p>
    <w:p w14:paraId="1570B6B2">
      <w:pPr>
        <w:pageBreakBefore w:val="0"/>
        <w:numPr>
          <w:ilvl w:val="0"/>
          <w:numId w:val="40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接线端子应编号；</w:t>
      </w:r>
    </w:p>
    <w:p w14:paraId="2B62E04D">
      <w:pPr>
        <w:pStyle w:val="17"/>
        <w:pageBreakBefore w:val="0"/>
        <w:widowControl/>
        <w:numPr>
          <w:ilvl w:val="0"/>
          <w:numId w:val="402"/>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端子板预留20％的空间。</w:t>
      </w:r>
    </w:p>
    <w:p w14:paraId="2EC3143C">
      <w:pPr>
        <w:pageBreakBefore w:val="0"/>
        <w:numPr>
          <w:ilvl w:val="0"/>
          <w:numId w:val="39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接地说明</w:t>
      </w:r>
    </w:p>
    <w:p w14:paraId="642809A1">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控制柜门的接地，每一扇门均应该通过焊接在柜门上的铜制螺栓用不低于6mm²的铜导线连接至接地铜排上；</w:t>
      </w:r>
    </w:p>
    <w:p w14:paraId="7A79CD07">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控制系统的接地线从</w:t>
      </w:r>
      <w:r>
        <w:rPr>
          <w:rFonts w:hint="eastAsia" w:ascii="宋体" w:hAnsi="宋体" w:cs="宋体"/>
          <w:lang w:eastAsia="zh-CN"/>
        </w:rPr>
        <w:t>招标人</w:t>
      </w:r>
      <w:r>
        <w:rPr>
          <w:rFonts w:hint="eastAsia" w:ascii="宋体" w:hAnsi="宋体" w:eastAsia="宋体" w:cs="宋体"/>
        </w:rPr>
        <w:t>母线槽中引下，接地线的线径不低于电源线的50%，引至柜体的接地排上并做可靠连接。从电源总柜至各个控制柜的电源线必须采用5芯线缆，接地线线径不低于动力线缆的50%，接地线连接控制柜地排和电源总柜的接地排；</w:t>
      </w:r>
    </w:p>
    <w:p w14:paraId="25F8D837">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PLC安装导轨及远程IO模块安装导轨单独使用一根不低于10mm²和4mm²的电缆接入柜体的接地铜排中；</w:t>
      </w:r>
    </w:p>
    <w:p w14:paraId="237D4CA6">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PLC的CPU采用专用的电源供电，该电源除给CPU供电外不再给任何模块供电。给该电源的供电设置专用的隔离变压器，PLC电源的进线侧必须连接接地线，24V出线进CPU的电缆在M端也必须接地；</w:t>
      </w:r>
    </w:p>
    <w:p w14:paraId="3DDF5BDC">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单台设备只有一个接地时，其不同部件之间必须用电缆进行连接；</w:t>
      </w:r>
    </w:p>
    <w:p w14:paraId="0D741154">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电机外壳、按钮站和其它远程电气设备必须通过接线进行接地；</w:t>
      </w:r>
    </w:p>
    <w:p w14:paraId="7B078AC4">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每个控制柜内的DC24V电源负极必须可靠接地</w:t>
      </w:r>
    </w:p>
    <w:p w14:paraId="19B98363">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所有的控制柜必须连接到一个接地铜排上，铜排的容量必须考虑，连接电缆的容量必须要计算；</w:t>
      </w:r>
    </w:p>
    <w:p w14:paraId="20621462">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变频器的接地，变频器的外壳接地端使用接电缆连接至控制柜内的接地系统上，接地线的线径选择，当变频器进线低于6mm²时选用与进线相同线径的接地线，当变频器进线大于6mm²时选用6mm²接地线；</w:t>
      </w:r>
    </w:p>
    <w:p w14:paraId="63D17559">
      <w:pPr>
        <w:pStyle w:val="17"/>
        <w:pageBreakBefore w:val="0"/>
        <w:widowControl/>
        <w:numPr>
          <w:ilvl w:val="0"/>
          <w:numId w:val="40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变频器至电机的电缆采用4芯（L1+L2+L3+PE PE线的线径不低于L1的50%）屏蔽电缆，接地线一侧与变频器的输出端接地连接，另一端与电机的接地端子连接。屏蔽层在控制柜接地排处采用专用的屏蔽线夹与接地排连接外，在变频器侧与变频器自带的电缆屏蔽层连接。如下所示</w:t>
      </w:r>
      <w:r>
        <w:rPr>
          <w:rFonts w:hint="eastAsia" w:ascii="宋体" w:hAnsi="宋体" w:eastAsia="宋体" w:cs="宋体"/>
        </w:rPr>
        <w:drawing>
          <wp:inline distT="0" distB="0" distL="0" distR="0">
            <wp:extent cx="5716905" cy="2734945"/>
            <wp:effectExtent l="0" t="0" r="13335" b="825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14179" cy="2733905"/>
                    </a:xfrm>
                    <a:prstGeom prst="rect">
                      <a:avLst/>
                    </a:prstGeom>
                  </pic:spPr>
                </pic:pic>
              </a:graphicData>
            </a:graphic>
          </wp:inline>
        </w:drawing>
      </w:r>
    </w:p>
    <w:p w14:paraId="7ADFC168">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接地线应具有适应接地电流的能力；</w:t>
      </w:r>
    </w:p>
    <w:p w14:paraId="42B358DF">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对于传输模拟量信号的电缆也应采用屏蔽电缆来传输，其屏蔽层在控制柜接地排处采用专用的屏蔽线夹与接地铜排连接；</w:t>
      </w:r>
    </w:p>
    <w:p w14:paraId="62E169B5">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各种导轨在安装时应除去其导轨上的保护膜或者绝缘涂层，以保证导轨与需要接地元器件的可靠连接；对于各种电缆的接地样式见下图所示</w:t>
      </w:r>
    </w:p>
    <w:p w14:paraId="552A80A7">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drawing>
          <wp:inline distT="0" distB="0" distL="0" distR="0">
            <wp:extent cx="2700020" cy="1390650"/>
            <wp:effectExtent l="0" t="0" r="12700" b="1143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00337" cy="1390650"/>
                    </a:xfrm>
                    <a:prstGeom prst="rect">
                      <a:avLst/>
                    </a:prstGeom>
                  </pic:spPr>
                </pic:pic>
              </a:graphicData>
            </a:graphic>
          </wp:inline>
        </w:drawing>
      </w:r>
      <w:r>
        <w:rPr>
          <w:rFonts w:hint="eastAsia" w:ascii="宋体" w:hAnsi="宋体" w:eastAsia="宋体" w:cs="宋体"/>
          <w:sz w:val="24"/>
        </w:rPr>
        <w:drawing>
          <wp:inline distT="0" distB="0" distL="0" distR="0">
            <wp:extent cx="2618740" cy="1380490"/>
            <wp:effectExtent l="0" t="0" r="254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634458" cy="1389014"/>
                    </a:xfrm>
                    <a:prstGeom prst="rect">
                      <a:avLst/>
                    </a:prstGeom>
                  </pic:spPr>
                </pic:pic>
              </a:graphicData>
            </a:graphic>
          </wp:inline>
        </w:drawing>
      </w:r>
      <w:r>
        <w:rPr>
          <w:rFonts w:hint="eastAsia" w:ascii="宋体" w:hAnsi="宋体" w:eastAsia="宋体" w:cs="宋体"/>
          <w:sz w:val="24"/>
        </w:rPr>
        <w:drawing>
          <wp:inline distT="0" distB="0" distL="0" distR="0">
            <wp:extent cx="2494280" cy="1174750"/>
            <wp:effectExtent l="0" t="0" r="5080" b="13970"/>
            <wp:docPr id="1804662637" name="图片 180466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662637" name="图片 180466263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502843" cy="1179273"/>
                    </a:xfrm>
                    <a:prstGeom prst="rect">
                      <a:avLst/>
                    </a:prstGeom>
                  </pic:spPr>
                </pic:pic>
              </a:graphicData>
            </a:graphic>
          </wp:inline>
        </w:drawing>
      </w:r>
      <w:r>
        <w:rPr>
          <w:rFonts w:hint="eastAsia" w:ascii="宋体" w:hAnsi="宋体" w:eastAsia="宋体" w:cs="宋体"/>
          <w:sz w:val="24"/>
        </w:rPr>
        <w:drawing>
          <wp:inline distT="0" distB="0" distL="0" distR="0">
            <wp:extent cx="2752725" cy="1179195"/>
            <wp:effectExtent l="0" t="0" r="5715"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52725" cy="1179369"/>
                    </a:xfrm>
                    <a:prstGeom prst="rect">
                      <a:avLst/>
                    </a:prstGeom>
                  </pic:spPr>
                </pic:pic>
              </a:graphicData>
            </a:graphic>
          </wp:inline>
        </w:drawing>
      </w:r>
    </w:p>
    <w:p w14:paraId="0084C40D">
      <w:pPr>
        <w:pStyle w:val="263"/>
        <w:pageBreakBefore w:val="0"/>
        <w:numPr>
          <w:ilvl w:val="0"/>
          <w:numId w:val="39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标记</w:t>
      </w:r>
    </w:p>
    <w:p w14:paraId="696108D4">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必要的电气元件标识图纸代号；</w:t>
      </w:r>
    </w:p>
    <w:p w14:paraId="1BFFCC41">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标记符号可以安装在元件上，同时标记在线槽盖上，并且在更换元件时标记符号不能被覆盖或丢失； </w:t>
      </w:r>
    </w:p>
    <w:p w14:paraId="2C6A08FE">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标记必须是永久的，便于识别的；</w:t>
      </w:r>
    </w:p>
    <w:p w14:paraId="2335F51D">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所有的电控柜外部的传感器和执行元件必须进行标示，标签必须显示功能和标号，且是永久性的，必须以镶嵌的方式安装在能明确标识的位置上。（注意：将标签安装在设备上是不允许的）；</w:t>
      </w:r>
    </w:p>
    <w:p w14:paraId="7D291CDB">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标牌必须为打印字体，字高适当，清晰可读；</w:t>
      </w:r>
    </w:p>
    <w:p w14:paraId="63E91150">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标牌标注文字内容必须与原理图相符，并准确反应设备及元件的功能；</w:t>
      </w:r>
    </w:p>
    <w:p w14:paraId="27061522">
      <w:pPr>
        <w:pageBreakBefore w:val="0"/>
        <w:numPr>
          <w:ilvl w:val="0"/>
          <w:numId w:val="40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接线端子上的标记应与电路图中的标记相同。</w:t>
      </w:r>
    </w:p>
    <w:p w14:paraId="687E5011">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2.10.3开关</w:t>
      </w:r>
    </w:p>
    <w:p w14:paraId="625A09EA">
      <w:pPr>
        <w:pageBreakBefore w:val="0"/>
        <w:widowControl/>
        <w:numPr>
          <w:ilvl w:val="0"/>
          <w:numId w:val="404"/>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操作面板上的开关</w:t>
      </w:r>
    </w:p>
    <w:p w14:paraId="1552E183">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控制电源通/断（ON/OFF）采用钥匙开关；</w:t>
      </w:r>
    </w:p>
    <w:p w14:paraId="1D5028C8">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在各控制柜上单独设置试验操作面板上各指示灯是否正常的开关（即指示灯检验按钮）；</w:t>
      </w:r>
    </w:p>
    <w:p w14:paraId="58C24B5C">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铭牌必须是由PVC板制成，而且字母和文字都必须用黑色；</w:t>
      </w:r>
    </w:p>
    <w:p w14:paraId="4928074B">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各控制柜至少预留3个的按钮，现场非工位操作盒要准备至少1个的按钮；</w:t>
      </w:r>
    </w:p>
    <w:p w14:paraId="353BEAF0">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紧急停止开关要统一布置在操作面板操作区的左下部或右下部。</w:t>
      </w:r>
    </w:p>
    <w:p w14:paraId="25F9226D">
      <w:pPr>
        <w:pageBreakBefore w:val="0"/>
        <w:numPr>
          <w:ilvl w:val="0"/>
          <w:numId w:val="40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电源主开关</w:t>
      </w:r>
    </w:p>
    <w:p w14:paraId="2598B247">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各控制柜都应设置机械方式操作的电源主开关并且装有“主开关”的符号标记；</w:t>
      </w:r>
    </w:p>
    <w:p w14:paraId="3B5F9F03">
      <w:pPr>
        <w:pageBreakBefore w:val="0"/>
        <w:numPr>
          <w:ilvl w:val="0"/>
          <w:numId w:val="40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主开关应安装在电控柜的左上部或右上部。</w:t>
      </w:r>
    </w:p>
    <w:p w14:paraId="68C5ABAE">
      <w:pPr>
        <w:pageBreakBefore w:val="0"/>
        <w:numPr>
          <w:ilvl w:val="0"/>
          <w:numId w:val="40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按钮开关的颜色应按如下进行（若有不同意见，待图纸会签时确定）</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3"/>
        <w:gridCol w:w="2385"/>
        <w:gridCol w:w="2726"/>
      </w:tblGrid>
      <w:tr w14:paraId="2982E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4E72922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开关</w:t>
            </w:r>
          </w:p>
        </w:tc>
        <w:tc>
          <w:tcPr>
            <w:tcW w:w="1235" w:type="pct"/>
            <w:tcBorders>
              <w:top w:val="single" w:color="auto" w:sz="4" w:space="0"/>
              <w:left w:val="single" w:color="auto" w:sz="4" w:space="0"/>
              <w:bottom w:val="single" w:color="auto" w:sz="4" w:space="0"/>
              <w:right w:val="single" w:color="auto" w:sz="4" w:space="0"/>
            </w:tcBorders>
            <w:vAlign w:val="center"/>
          </w:tcPr>
          <w:p w14:paraId="27847A5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颜色</w:t>
            </w:r>
          </w:p>
        </w:tc>
        <w:tc>
          <w:tcPr>
            <w:tcW w:w="1412" w:type="pct"/>
            <w:tcBorders>
              <w:top w:val="single" w:color="auto" w:sz="4" w:space="0"/>
              <w:left w:val="single" w:color="auto" w:sz="4" w:space="0"/>
              <w:bottom w:val="single" w:color="auto" w:sz="4" w:space="0"/>
              <w:right w:val="single" w:color="auto" w:sz="4" w:space="0"/>
            </w:tcBorders>
            <w:vAlign w:val="center"/>
          </w:tcPr>
          <w:p w14:paraId="5DE187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备注</w:t>
            </w:r>
          </w:p>
        </w:tc>
      </w:tr>
      <w:tr w14:paraId="34B86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32272C2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操作准备</w:t>
            </w:r>
          </w:p>
        </w:tc>
        <w:tc>
          <w:tcPr>
            <w:tcW w:w="1235" w:type="pct"/>
            <w:tcBorders>
              <w:top w:val="single" w:color="auto" w:sz="4" w:space="0"/>
              <w:left w:val="single" w:color="auto" w:sz="4" w:space="0"/>
              <w:bottom w:val="single" w:color="auto" w:sz="4" w:space="0"/>
              <w:right w:val="single" w:color="auto" w:sz="4" w:space="0"/>
            </w:tcBorders>
            <w:vAlign w:val="center"/>
          </w:tcPr>
          <w:p w14:paraId="394E73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橙色</w:t>
            </w:r>
          </w:p>
        </w:tc>
        <w:tc>
          <w:tcPr>
            <w:tcW w:w="1412" w:type="pct"/>
            <w:tcBorders>
              <w:top w:val="single" w:color="auto" w:sz="4" w:space="0"/>
              <w:left w:val="single" w:color="auto" w:sz="4" w:space="0"/>
              <w:bottom w:val="single" w:color="auto" w:sz="4" w:space="0"/>
              <w:right w:val="single" w:color="auto" w:sz="4" w:space="0"/>
            </w:tcBorders>
            <w:vAlign w:val="center"/>
          </w:tcPr>
          <w:p w14:paraId="402623C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F208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6BC1839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自动启动</w:t>
            </w:r>
          </w:p>
        </w:tc>
        <w:tc>
          <w:tcPr>
            <w:tcW w:w="1235" w:type="pct"/>
            <w:tcBorders>
              <w:top w:val="single" w:color="auto" w:sz="4" w:space="0"/>
              <w:left w:val="single" w:color="auto" w:sz="4" w:space="0"/>
              <w:bottom w:val="single" w:color="auto" w:sz="4" w:space="0"/>
              <w:right w:val="single" w:color="auto" w:sz="4" w:space="0"/>
            </w:tcBorders>
            <w:vAlign w:val="center"/>
          </w:tcPr>
          <w:p w14:paraId="251E4C3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绿色</w:t>
            </w:r>
          </w:p>
        </w:tc>
        <w:tc>
          <w:tcPr>
            <w:tcW w:w="1412" w:type="pct"/>
            <w:tcBorders>
              <w:top w:val="single" w:color="auto" w:sz="4" w:space="0"/>
              <w:left w:val="single" w:color="auto" w:sz="4" w:space="0"/>
              <w:bottom w:val="single" w:color="auto" w:sz="4" w:space="0"/>
              <w:right w:val="single" w:color="auto" w:sz="4" w:space="0"/>
            </w:tcBorders>
            <w:vAlign w:val="center"/>
          </w:tcPr>
          <w:p w14:paraId="12EF17A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524A7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5497014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灯检测</w:t>
            </w:r>
          </w:p>
        </w:tc>
        <w:tc>
          <w:tcPr>
            <w:tcW w:w="1235" w:type="pct"/>
            <w:tcBorders>
              <w:top w:val="single" w:color="auto" w:sz="4" w:space="0"/>
              <w:left w:val="single" w:color="auto" w:sz="4" w:space="0"/>
              <w:bottom w:val="single" w:color="auto" w:sz="4" w:space="0"/>
              <w:right w:val="single" w:color="auto" w:sz="4" w:space="0"/>
            </w:tcBorders>
            <w:vAlign w:val="center"/>
          </w:tcPr>
          <w:p w14:paraId="05668B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白色</w:t>
            </w:r>
          </w:p>
        </w:tc>
        <w:tc>
          <w:tcPr>
            <w:tcW w:w="1412" w:type="pct"/>
            <w:tcBorders>
              <w:top w:val="single" w:color="auto" w:sz="4" w:space="0"/>
              <w:left w:val="single" w:color="auto" w:sz="4" w:space="0"/>
              <w:bottom w:val="single" w:color="auto" w:sz="4" w:space="0"/>
              <w:right w:val="single" w:color="auto" w:sz="4" w:space="0"/>
            </w:tcBorders>
            <w:vAlign w:val="center"/>
          </w:tcPr>
          <w:p w14:paraId="03D1439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62D0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076FC4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复位</w:t>
            </w:r>
          </w:p>
        </w:tc>
        <w:tc>
          <w:tcPr>
            <w:tcW w:w="1235" w:type="pct"/>
            <w:tcBorders>
              <w:top w:val="single" w:color="auto" w:sz="4" w:space="0"/>
              <w:left w:val="single" w:color="auto" w:sz="4" w:space="0"/>
              <w:bottom w:val="single" w:color="auto" w:sz="4" w:space="0"/>
              <w:right w:val="single" w:color="auto" w:sz="4" w:space="0"/>
            </w:tcBorders>
            <w:vAlign w:val="center"/>
          </w:tcPr>
          <w:p w14:paraId="15D556E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蓝色</w:t>
            </w:r>
          </w:p>
        </w:tc>
        <w:tc>
          <w:tcPr>
            <w:tcW w:w="1412" w:type="pct"/>
            <w:tcBorders>
              <w:top w:val="single" w:color="auto" w:sz="4" w:space="0"/>
              <w:left w:val="single" w:color="auto" w:sz="4" w:space="0"/>
              <w:bottom w:val="single" w:color="auto" w:sz="4" w:space="0"/>
              <w:right w:val="single" w:color="auto" w:sz="4" w:space="0"/>
            </w:tcBorders>
            <w:vAlign w:val="center"/>
          </w:tcPr>
          <w:p w14:paraId="009C850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16BA0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735835A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停止或结束</w:t>
            </w:r>
          </w:p>
        </w:tc>
        <w:tc>
          <w:tcPr>
            <w:tcW w:w="1235" w:type="pct"/>
            <w:tcBorders>
              <w:top w:val="single" w:color="auto" w:sz="4" w:space="0"/>
              <w:left w:val="single" w:color="auto" w:sz="4" w:space="0"/>
              <w:bottom w:val="single" w:color="auto" w:sz="4" w:space="0"/>
              <w:right w:val="single" w:color="auto" w:sz="4" w:space="0"/>
            </w:tcBorders>
            <w:vAlign w:val="center"/>
          </w:tcPr>
          <w:p w14:paraId="2681993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红色</w:t>
            </w:r>
          </w:p>
        </w:tc>
        <w:tc>
          <w:tcPr>
            <w:tcW w:w="1412" w:type="pct"/>
            <w:tcBorders>
              <w:top w:val="single" w:color="auto" w:sz="4" w:space="0"/>
              <w:left w:val="single" w:color="auto" w:sz="4" w:space="0"/>
              <w:bottom w:val="single" w:color="auto" w:sz="4" w:space="0"/>
              <w:right w:val="single" w:color="auto" w:sz="4" w:space="0"/>
            </w:tcBorders>
            <w:vAlign w:val="center"/>
          </w:tcPr>
          <w:p w14:paraId="46E85B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514D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4E23FC9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紧急停止</w:t>
            </w:r>
          </w:p>
        </w:tc>
        <w:tc>
          <w:tcPr>
            <w:tcW w:w="1235" w:type="pct"/>
            <w:tcBorders>
              <w:top w:val="single" w:color="auto" w:sz="4" w:space="0"/>
              <w:left w:val="single" w:color="auto" w:sz="4" w:space="0"/>
              <w:bottom w:val="single" w:color="auto" w:sz="4" w:space="0"/>
              <w:right w:val="single" w:color="auto" w:sz="4" w:space="0"/>
            </w:tcBorders>
            <w:vAlign w:val="center"/>
          </w:tcPr>
          <w:p w14:paraId="2E8ED47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红色</w:t>
            </w:r>
          </w:p>
        </w:tc>
        <w:tc>
          <w:tcPr>
            <w:tcW w:w="1412" w:type="pct"/>
            <w:tcBorders>
              <w:top w:val="single" w:color="auto" w:sz="4" w:space="0"/>
              <w:left w:val="single" w:color="auto" w:sz="4" w:space="0"/>
              <w:bottom w:val="single" w:color="auto" w:sz="4" w:space="0"/>
              <w:right w:val="single" w:color="auto" w:sz="4" w:space="0"/>
            </w:tcBorders>
            <w:vAlign w:val="center"/>
          </w:tcPr>
          <w:p w14:paraId="4CFA81B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蘑菇头型按钮（旋转释放）</w:t>
            </w:r>
          </w:p>
        </w:tc>
      </w:tr>
      <w:tr w14:paraId="5AD6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53" w:type="pct"/>
            <w:tcBorders>
              <w:top w:val="single" w:color="auto" w:sz="4" w:space="0"/>
              <w:left w:val="single" w:color="auto" w:sz="4" w:space="0"/>
              <w:bottom w:val="single" w:color="auto" w:sz="4" w:space="0"/>
              <w:right w:val="single" w:color="auto" w:sz="4" w:space="0"/>
            </w:tcBorders>
            <w:vAlign w:val="center"/>
          </w:tcPr>
          <w:p w14:paraId="556E98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选择开关</w:t>
            </w:r>
          </w:p>
        </w:tc>
        <w:tc>
          <w:tcPr>
            <w:tcW w:w="1235" w:type="pct"/>
            <w:tcBorders>
              <w:top w:val="single" w:color="auto" w:sz="4" w:space="0"/>
              <w:left w:val="single" w:color="auto" w:sz="4" w:space="0"/>
              <w:bottom w:val="single" w:color="auto" w:sz="4" w:space="0"/>
              <w:right w:val="single" w:color="auto" w:sz="4" w:space="0"/>
            </w:tcBorders>
            <w:vAlign w:val="center"/>
          </w:tcPr>
          <w:p w14:paraId="3E9D59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黑色</w:t>
            </w:r>
          </w:p>
        </w:tc>
        <w:tc>
          <w:tcPr>
            <w:tcW w:w="1412" w:type="pct"/>
            <w:tcBorders>
              <w:top w:val="single" w:color="auto" w:sz="4" w:space="0"/>
              <w:left w:val="single" w:color="auto" w:sz="4" w:space="0"/>
              <w:bottom w:val="single" w:color="auto" w:sz="4" w:space="0"/>
              <w:right w:val="single" w:color="auto" w:sz="4" w:space="0"/>
            </w:tcBorders>
            <w:vAlign w:val="center"/>
          </w:tcPr>
          <w:p w14:paraId="22E0D54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bl>
    <w:p w14:paraId="3D6909A8">
      <w:pPr>
        <w:pageBreakBefore w:val="0"/>
        <w:numPr>
          <w:ilvl w:val="0"/>
          <w:numId w:val="40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指示组件</w:t>
      </w:r>
    </w:p>
    <w:p w14:paraId="58855828">
      <w:pPr>
        <w:pageBreakBefore w:val="0"/>
        <w:numPr>
          <w:ilvl w:val="0"/>
          <w:numId w:val="4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指示灯</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37"/>
        <w:gridCol w:w="2437"/>
        <w:gridCol w:w="2780"/>
      </w:tblGrid>
      <w:tr w14:paraId="2185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8" w:type="pct"/>
            <w:tcBorders>
              <w:top w:val="single" w:color="auto" w:sz="4" w:space="0"/>
              <w:left w:val="single" w:color="auto" w:sz="4" w:space="0"/>
              <w:bottom w:val="single" w:color="auto" w:sz="4" w:space="0"/>
              <w:right w:val="single" w:color="auto" w:sz="4" w:space="0"/>
            </w:tcBorders>
            <w:vAlign w:val="center"/>
          </w:tcPr>
          <w:p w14:paraId="412833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指示灯</w:t>
            </w:r>
          </w:p>
        </w:tc>
        <w:tc>
          <w:tcPr>
            <w:tcW w:w="1262" w:type="pct"/>
            <w:tcBorders>
              <w:top w:val="single" w:color="auto" w:sz="4" w:space="0"/>
              <w:left w:val="single" w:color="auto" w:sz="4" w:space="0"/>
              <w:bottom w:val="single" w:color="auto" w:sz="4" w:space="0"/>
              <w:right w:val="single" w:color="auto" w:sz="4" w:space="0"/>
            </w:tcBorders>
            <w:vAlign w:val="center"/>
          </w:tcPr>
          <w:p w14:paraId="7A6F29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颜色</w:t>
            </w:r>
          </w:p>
        </w:tc>
        <w:tc>
          <w:tcPr>
            <w:tcW w:w="1440" w:type="pct"/>
            <w:tcBorders>
              <w:top w:val="single" w:color="auto" w:sz="4" w:space="0"/>
              <w:left w:val="single" w:color="auto" w:sz="4" w:space="0"/>
              <w:bottom w:val="single" w:color="auto" w:sz="4" w:space="0"/>
              <w:right w:val="single" w:color="auto" w:sz="4" w:space="0"/>
            </w:tcBorders>
            <w:vAlign w:val="center"/>
          </w:tcPr>
          <w:p w14:paraId="1EB691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备注</w:t>
            </w:r>
          </w:p>
        </w:tc>
      </w:tr>
      <w:tr w14:paraId="099C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8" w:type="pct"/>
            <w:tcBorders>
              <w:top w:val="single" w:color="auto" w:sz="4" w:space="0"/>
              <w:left w:val="single" w:color="auto" w:sz="4" w:space="0"/>
              <w:bottom w:val="single" w:color="auto" w:sz="4" w:space="0"/>
              <w:right w:val="single" w:color="auto" w:sz="4" w:space="0"/>
            </w:tcBorders>
            <w:vAlign w:val="center"/>
          </w:tcPr>
          <w:p w14:paraId="52D637D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电源接通，PLC运转，正常运行</w:t>
            </w:r>
          </w:p>
        </w:tc>
        <w:tc>
          <w:tcPr>
            <w:tcW w:w="1262" w:type="pct"/>
            <w:tcBorders>
              <w:top w:val="single" w:color="auto" w:sz="4" w:space="0"/>
              <w:left w:val="single" w:color="auto" w:sz="4" w:space="0"/>
              <w:bottom w:val="single" w:color="auto" w:sz="4" w:space="0"/>
              <w:right w:val="single" w:color="auto" w:sz="4" w:space="0"/>
            </w:tcBorders>
            <w:vAlign w:val="center"/>
          </w:tcPr>
          <w:p w14:paraId="1E0AF2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绿色</w:t>
            </w:r>
          </w:p>
        </w:tc>
        <w:tc>
          <w:tcPr>
            <w:tcW w:w="1440" w:type="pct"/>
            <w:tcBorders>
              <w:top w:val="single" w:color="auto" w:sz="4" w:space="0"/>
              <w:left w:val="single" w:color="auto" w:sz="4" w:space="0"/>
              <w:bottom w:val="single" w:color="auto" w:sz="4" w:space="0"/>
              <w:right w:val="single" w:color="auto" w:sz="4" w:space="0"/>
            </w:tcBorders>
            <w:vAlign w:val="center"/>
          </w:tcPr>
          <w:p w14:paraId="464DDC0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7A934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8" w:type="pct"/>
            <w:tcBorders>
              <w:top w:val="single" w:color="auto" w:sz="4" w:space="0"/>
              <w:left w:val="single" w:color="auto" w:sz="4" w:space="0"/>
              <w:bottom w:val="single" w:color="auto" w:sz="4" w:space="0"/>
              <w:right w:val="single" w:color="auto" w:sz="4" w:space="0"/>
            </w:tcBorders>
            <w:vAlign w:val="center"/>
          </w:tcPr>
          <w:p w14:paraId="578A4EB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紧急停止，手动控制，故障</w:t>
            </w:r>
          </w:p>
        </w:tc>
        <w:tc>
          <w:tcPr>
            <w:tcW w:w="1262" w:type="pct"/>
            <w:tcBorders>
              <w:top w:val="single" w:color="auto" w:sz="4" w:space="0"/>
              <w:left w:val="single" w:color="auto" w:sz="4" w:space="0"/>
              <w:bottom w:val="single" w:color="auto" w:sz="4" w:space="0"/>
              <w:right w:val="single" w:color="auto" w:sz="4" w:space="0"/>
            </w:tcBorders>
            <w:vAlign w:val="center"/>
          </w:tcPr>
          <w:p w14:paraId="52F195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红色</w:t>
            </w:r>
          </w:p>
        </w:tc>
        <w:tc>
          <w:tcPr>
            <w:tcW w:w="1440" w:type="pct"/>
            <w:tcBorders>
              <w:top w:val="single" w:color="auto" w:sz="4" w:space="0"/>
              <w:left w:val="single" w:color="auto" w:sz="4" w:space="0"/>
              <w:bottom w:val="single" w:color="auto" w:sz="4" w:space="0"/>
              <w:right w:val="single" w:color="auto" w:sz="4" w:space="0"/>
            </w:tcBorders>
            <w:vAlign w:val="center"/>
          </w:tcPr>
          <w:p w14:paraId="483CC6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F975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8" w:type="pct"/>
            <w:tcBorders>
              <w:top w:val="single" w:color="auto" w:sz="4" w:space="0"/>
              <w:left w:val="single" w:color="auto" w:sz="4" w:space="0"/>
              <w:bottom w:val="single" w:color="auto" w:sz="4" w:space="0"/>
              <w:right w:val="single" w:color="auto" w:sz="4" w:space="0"/>
            </w:tcBorders>
            <w:vAlign w:val="center"/>
          </w:tcPr>
          <w:p w14:paraId="76E671B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全部原始状态，原始位置</w:t>
            </w:r>
          </w:p>
        </w:tc>
        <w:tc>
          <w:tcPr>
            <w:tcW w:w="1262" w:type="pct"/>
            <w:tcBorders>
              <w:top w:val="single" w:color="auto" w:sz="4" w:space="0"/>
              <w:left w:val="single" w:color="auto" w:sz="4" w:space="0"/>
              <w:bottom w:val="single" w:color="auto" w:sz="4" w:space="0"/>
              <w:right w:val="single" w:color="auto" w:sz="4" w:space="0"/>
            </w:tcBorders>
            <w:vAlign w:val="center"/>
          </w:tcPr>
          <w:p w14:paraId="070D88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白色</w:t>
            </w:r>
          </w:p>
        </w:tc>
        <w:tc>
          <w:tcPr>
            <w:tcW w:w="1440" w:type="pct"/>
            <w:tcBorders>
              <w:top w:val="single" w:color="auto" w:sz="4" w:space="0"/>
              <w:left w:val="single" w:color="auto" w:sz="4" w:space="0"/>
              <w:bottom w:val="single" w:color="auto" w:sz="4" w:space="0"/>
              <w:right w:val="single" w:color="auto" w:sz="4" w:space="0"/>
            </w:tcBorders>
            <w:vAlign w:val="center"/>
          </w:tcPr>
          <w:p w14:paraId="0E227AD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73ABF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8" w:type="pct"/>
            <w:tcBorders>
              <w:top w:val="single" w:color="auto" w:sz="4" w:space="0"/>
              <w:left w:val="single" w:color="auto" w:sz="4" w:space="0"/>
              <w:bottom w:val="single" w:color="auto" w:sz="4" w:space="0"/>
              <w:right w:val="single" w:color="auto" w:sz="4" w:space="0"/>
            </w:tcBorders>
            <w:vAlign w:val="center"/>
          </w:tcPr>
          <w:p w14:paraId="21C742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警告（电池，等等）</w:t>
            </w:r>
          </w:p>
        </w:tc>
        <w:tc>
          <w:tcPr>
            <w:tcW w:w="1262" w:type="pct"/>
            <w:tcBorders>
              <w:top w:val="single" w:color="auto" w:sz="4" w:space="0"/>
              <w:left w:val="single" w:color="auto" w:sz="4" w:space="0"/>
              <w:bottom w:val="single" w:color="auto" w:sz="4" w:space="0"/>
              <w:right w:val="single" w:color="auto" w:sz="4" w:space="0"/>
            </w:tcBorders>
            <w:vAlign w:val="center"/>
          </w:tcPr>
          <w:p w14:paraId="74AD5AC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黄色</w:t>
            </w:r>
          </w:p>
        </w:tc>
        <w:tc>
          <w:tcPr>
            <w:tcW w:w="1440" w:type="pct"/>
            <w:tcBorders>
              <w:top w:val="single" w:color="auto" w:sz="4" w:space="0"/>
              <w:left w:val="single" w:color="auto" w:sz="4" w:space="0"/>
              <w:bottom w:val="single" w:color="auto" w:sz="4" w:space="0"/>
              <w:right w:val="single" w:color="auto" w:sz="4" w:space="0"/>
            </w:tcBorders>
            <w:vAlign w:val="center"/>
          </w:tcPr>
          <w:p w14:paraId="1B8B936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24437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8" w:type="pct"/>
            <w:tcBorders>
              <w:top w:val="single" w:color="auto" w:sz="4" w:space="0"/>
              <w:left w:val="single" w:color="auto" w:sz="4" w:space="0"/>
              <w:bottom w:val="single" w:color="auto" w:sz="4" w:space="0"/>
              <w:right w:val="single" w:color="auto" w:sz="4" w:space="0"/>
            </w:tcBorders>
            <w:vAlign w:val="center"/>
          </w:tcPr>
          <w:p w14:paraId="03AF2E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运转，程序执行</w:t>
            </w:r>
          </w:p>
        </w:tc>
        <w:tc>
          <w:tcPr>
            <w:tcW w:w="1262" w:type="pct"/>
            <w:tcBorders>
              <w:top w:val="single" w:color="auto" w:sz="4" w:space="0"/>
              <w:left w:val="single" w:color="auto" w:sz="4" w:space="0"/>
              <w:bottom w:val="single" w:color="auto" w:sz="4" w:space="0"/>
              <w:right w:val="single" w:color="auto" w:sz="4" w:space="0"/>
            </w:tcBorders>
            <w:vAlign w:val="center"/>
          </w:tcPr>
          <w:p w14:paraId="5899445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橙色</w:t>
            </w:r>
          </w:p>
        </w:tc>
        <w:tc>
          <w:tcPr>
            <w:tcW w:w="1440" w:type="pct"/>
            <w:tcBorders>
              <w:top w:val="single" w:color="auto" w:sz="4" w:space="0"/>
              <w:left w:val="single" w:color="auto" w:sz="4" w:space="0"/>
              <w:bottom w:val="single" w:color="auto" w:sz="4" w:space="0"/>
              <w:right w:val="single" w:color="auto" w:sz="4" w:space="0"/>
            </w:tcBorders>
            <w:vAlign w:val="center"/>
          </w:tcPr>
          <w:p w14:paraId="4141808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bl>
    <w:p w14:paraId="15C85990">
      <w:pPr>
        <w:pageBreakBefore w:val="0"/>
        <w:numPr>
          <w:ilvl w:val="0"/>
          <w:numId w:val="40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警示灯</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9"/>
        <w:gridCol w:w="6785"/>
      </w:tblGrid>
      <w:tr w14:paraId="1419C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 w:hRule="atLeast"/>
          <w:jc w:val="center"/>
        </w:trPr>
        <w:tc>
          <w:tcPr>
            <w:tcW w:w="1486" w:type="pct"/>
            <w:tcBorders>
              <w:top w:val="single" w:color="auto" w:sz="4" w:space="0"/>
              <w:left w:val="single" w:color="auto" w:sz="4" w:space="0"/>
              <w:bottom w:val="single" w:color="auto" w:sz="4" w:space="0"/>
              <w:right w:val="single" w:color="auto" w:sz="4" w:space="0"/>
            </w:tcBorders>
            <w:vAlign w:val="center"/>
          </w:tcPr>
          <w:p w14:paraId="6C319B1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颜色</w:t>
            </w:r>
          </w:p>
        </w:tc>
        <w:tc>
          <w:tcPr>
            <w:tcW w:w="3514" w:type="pct"/>
            <w:tcBorders>
              <w:top w:val="single" w:color="auto" w:sz="4" w:space="0"/>
              <w:left w:val="single" w:color="auto" w:sz="4" w:space="0"/>
              <w:bottom w:val="single" w:color="auto" w:sz="4" w:space="0"/>
              <w:right w:val="single" w:color="auto" w:sz="4" w:space="0"/>
            </w:tcBorders>
            <w:vAlign w:val="center"/>
          </w:tcPr>
          <w:p w14:paraId="499BD96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条件</w:t>
            </w:r>
          </w:p>
        </w:tc>
      </w:tr>
      <w:tr w14:paraId="0048A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6" w:type="pct"/>
            <w:tcBorders>
              <w:top w:val="single" w:color="auto" w:sz="4" w:space="0"/>
              <w:left w:val="single" w:color="auto" w:sz="4" w:space="0"/>
              <w:bottom w:val="single" w:color="auto" w:sz="4" w:space="0"/>
              <w:right w:val="single" w:color="auto" w:sz="4" w:space="0"/>
            </w:tcBorders>
            <w:vAlign w:val="center"/>
          </w:tcPr>
          <w:p w14:paraId="7D7441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红色</w:t>
            </w:r>
          </w:p>
        </w:tc>
        <w:tc>
          <w:tcPr>
            <w:tcW w:w="3514" w:type="pct"/>
            <w:tcBorders>
              <w:top w:val="single" w:color="auto" w:sz="4" w:space="0"/>
              <w:left w:val="single" w:color="auto" w:sz="4" w:space="0"/>
              <w:bottom w:val="single" w:color="auto" w:sz="4" w:space="0"/>
              <w:right w:val="single" w:color="auto" w:sz="4" w:space="0"/>
            </w:tcBorders>
            <w:vAlign w:val="center"/>
          </w:tcPr>
          <w:p w14:paraId="329CC2D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设备运转的所有故障信号</w:t>
            </w:r>
          </w:p>
        </w:tc>
      </w:tr>
      <w:tr w14:paraId="37523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6" w:type="pct"/>
            <w:tcBorders>
              <w:top w:val="single" w:color="auto" w:sz="4" w:space="0"/>
              <w:left w:val="single" w:color="auto" w:sz="4" w:space="0"/>
              <w:bottom w:val="single" w:color="auto" w:sz="4" w:space="0"/>
              <w:right w:val="single" w:color="auto" w:sz="4" w:space="0"/>
            </w:tcBorders>
            <w:vAlign w:val="center"/>
          </w:tcPr>
          <w:p w14:paraId="18295BA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绿色</w:t>
            </w:r>
          </w:p>
        </w:tc>
        <w:tc>
          <w:tcPr>
            <w:tcW w:w="3514" w:type="pct"/>
            <w:tcBorders>
              <w:top w:val="single" w:color="auto" w:sz="4" w:space="0"/>
              <w:left w:val="single" w:color="auto" w:sz="4" w:space="0"/>
              <w:bottom w:val="single" w:color="auto" w:sz="4" w:space="0"/>
              <w:right w:val="single" w:color="auto" w:sz="4" w:space="0"/>
            </w:tcBorders>
            <w:vAlign w:val="center"/>
          </w:tcPr>
          <w:p w14:paraId="1E598CE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设备正在自动正常运转</w:t>
            </w:r>
          </w:p>
        </w:tc>
      </w:tr>
    </w:tbl>
    <w:p w14:paraId="48331E80">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2.10.4 控制柜、</w:t>
      </w:r>
      <w:r>
        <w:rPr>
          <w:rFonts w:hint="eastAsia" w:ascii="宋体" w:hAnsi="宋体" w:eastAsia="宋体" w:cs="宋体"/>
          <w:iCs/>
          <w:sz w:val="24"/>
        </w:rPr>
        <w:t>现场操作站</w:t>
      </w:r>
      <w:r>
        <w:rPr>
          <w:rFonts w:hint="eastAsia" w:ascii="宋体" w:hAnsi="宋体" w:eastAsia="宋体" w:cs="宋体"/>
          <w:sz w:val="24"/>
        </w:rPr>
        <w:t>的技术要求</w:t>
      </w:r>
    </w:p>
    <w:p w14:paraId="44EBFDAA">
      <w:pPr>
        <w:pageBreakBefore w:val="0"/>
        <w:numPr>
          <w:ilvl w:val="0"/>
          <w:numId w:val="40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控制柜技术要求：</w:t>
      </w:r>
    </w:p>
    <w:p w14:paraId="40211210">
      <w:pPr>
        <w:pageBreakBefore w:val="0"/>
        <w:numPr>
          <w:ilvl w:val="0"/>
          <w:numId w:val="40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采用仿威图组合式标准电柜，柜体支撑采用九折型材，材质钢板，表面喷塑；</w:t>
      </w:r>
    </w:p>
    <w:p w14:paraId="60C231CD">
      <w:pPr>
        <w:pageBreakBefore w:val="0"/>
        <w:numPr>
          <w:ilvl w:val="0"/>
          <w:numId w:val="40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遵守涂装行业相关规范对开关柜的制造要求；</w:t>
      </w:r>
    </w:p>
    <w:p w14:paraId="38485684">
      <w:pPr>
        <w:pageBreakBefore w:val="0"/>
        <w:numPr>
          <w:ilvl w:val="0"/>
          <w:numId w:val="40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根据涂装行业消防、防腐的要求进行喷丸、喷塑；</w:t>
      </w:r>
    </w:p>
    <w:p w14:paraId="5677F449">
      <w:pPr>
        <w:pageBreakBefore w:val="0"/>
        <w:numPr>
          <w:ilvl w:val="0"/>
          <w:numId w:val="40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设备的金属表面应进行喷塑处理，为了提高附着力并防止生锈底漆采用电泳处理；</w:t>
      </w:r>
    </w:p>
    <w:p w14:paraId="19E59103">
      <w:pPr>
        <w:pageBreakBefore w:val="0"/>
        <w:numPr>
          <w:ilvl w:val="0"/>
          <w:numId w:val="40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控制柜必须采用PU发泡橡胶（聚氨酯）进行密封处理，使机柜达到IP54的防护等级，以满足工况环境的要求。</w:t>
      </w:r>
    </w:p>
    <w:p w14:paraId="2174A604">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每个控制柜均安装20W照明灯一只（门开即亮）。</w:t>
      </w:r>
    </w:p>
    <w:p w14:paraId="41F13947">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每套控制柜设10A电源插座1套（2孔+3孔），供调试、维修使用。</w:t>
      </w:r>
    </w:p>
    <w:p w14:paraId="0E83C33A">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每套控制柜设一个图纸盒。</w:t>
      </w:r>
    </w:p>
    <w:p w14:paraId="7E912A82">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每套控制柜顶部设四色柱状报警灯1个。</w:t>
      </w:r>
    </w:p>
    <w:p w14:paraId="59D83406">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进出线方式： 控制柜必须采用底部进线，底部出线。</w:t>
      </w:r>
    </w:p>
    <w:p w14:paraId="45DD989C">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喷涂颜色：安装板镀锌，门内侧灰色  RAL7035，门外侧灰色  RAL7035</w:t>
      </w:r>
    </w:p>
    <w:p w14:paraId="39728E93">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桥架颜色：镀锌(配件齐全，中间带双隔板)</w:t>
      </w:r>
    </w:p>
    <w:p w14:paraId="30CBC602">
      <w:pPr>
        <w:pStyle w:val="263"/>
        <w:pageBreakBefore w:val="0"/>
        <w:numPr>
          <w:ilvl w:val="1"/>
          <w:numId w:val="410"/>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 xml:space="preserve">防护等级：IP54  </w:t>
      </w:r>
    </w:p>
    <w:p w14:paraId="174C10BD">
      <w:pPr>
        <w:pStyle w:val="17"/>
        <w:pageBreakBefore w:val="0"/>
        <w:widowControl/>
        <w:numPr>
          <w:ilvl w:val="0"/>
          <w:numId w:val="411"/>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控制柜为组合式框架结构，控制柜高2000mm，厚度600mm，宽度为800～1200mm(具体尺吋设计时调整)。除特别说明外，所有的控制柜都要有统一的外形尺吋，以便于统一。</w:t>
      </w:r>
    </w:p>
    <w:p w14:paraId="77113CF3">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每个控制柜要有20％的预留安装空间，以备将来增加组件之用，控制柜的结构和所有内部连线要符合有关标准的具体要求。</w:t>
      </w:r>
    </w:p>
    <w:p w14:paraId="078C5365">
      <w:pPr>
        <w:pStyle w:val="17"/>
        <w:pageBreakBefore w:val="0"/>
        <w:widowControl/>
        <w:numPr>
          <w:ilvl w:val="0"/>
          <w:numId w:val="41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门上主开关安装在指定的位置。主开关打开时，可以开门，不影响主开关运行。</w:t>
      </w:r>
    </w:p>
    <w:p w14:paraId="3B32DED4">
      <w:pPr>
        <w:pStyle w:val="17"/>
        <w:pageBreakBefore w:val="0"/>
        <w:widowControl/>
        <w:numPr>
          <w:ilvl w:val="0"/>
          <w:numId w:val="41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控制柜门上有标示，必须显示相关信息（包含：名称，设备号，警告，图号等）。</w:t>
      </w:r>
    </w:p>
    <w:p w14:paraId="0F583316">
      <w:pPr>
        <w:pStyle w:val="17"/>
        <w:pageBreakBefore w:val="0"/>
        <w:widowControl/>
        <w:numPr>
          <w:ilvl w:val="0"/>
          <w:numId w:val="41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连接电压高于36V元件的裸露铜排必须用绝缘防护盖板进行保护，防护盖不用任何工具就可以拆卸。</w:t>
      </w:r>
    </w:p>
    <w:p w14:paraId="7C6DE721">
      <w:pPr>
        <w:pStyle w:val="17"/>
        <w:pageBreakBefore w:val="0"/>
        <w:widowControl/>
        <w:numPr>
          <w:ilvl w:val="0"/>
          <w:numId w:val="41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所有控制柜在一侧有门，不超过800mm宽的控制柜前门为单开门，超过800mm宽控制柜前门为双开</w:t>
      </w:r>
      <w:r>
        <w:rPr>
          <w:rFonts w:hint="eastAsia" w:ascii="宋体" w:hAnsi="宋体" w:eastAsia="宋体" w:cs="宋体"/>
          <w:shd w:val="clear" w:color="auto" w:fill="FFFFFF"/>
        </w:rPr>
        <w:t>门。</w:t>
      </w:r>
      <w:r>
        <w:rPr>
          <w:rFonts w:hint="eastAsia" w:ascii="宋体" w:hAnsi="宋体" w:eastAsia="宋体" w:cs="宋体"/>
        </w:rPr>
        <w:t>单扇门宽度不得大于800mm</w:t>
      </w:r>
      <w:r>
        <w:rPr>
          <w:rFonts w:hint="eastAsia" w:ascii="宋体" w:hAnsi="宋体" w:eastAsia="宋体" w:cs="宋体"/>
          <w:shd w:val="clear" w:color="auto" w:fill="FFFFFF"/>
        </w:rPr>
        <w:t>，开</w:t>
      </w:r>
      <w:r>
        <w:rPr>
          <w:rFonts w:hint="eastAsia" w:ascii="宋体" w:hAnsi="宋体" w:eastAsia="宋体" w:cs="宋体"/>
        </w:rPr>
        <w:t>门角度最小115度，最大135度，门必须使用3个铰链，门的关闭使用双位插锁杆，摆动轴必须焊接到门上。</w:t>
      </w:r>
    </w:p>
    <w:p w14:paraId="3161BC51">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配电柜门上部需安装电源指示灯，必须设置急停按钮。</w:t>
      </w:r>
    </w:p>
    <w:p w14:paraId="4CA9B043">
      <w:pPr>
        <w:pStyle w:val="17"/>
        <w:pageBreakBefore w:val="0"/>
        <w:widowControl/>
        <w:numPr>
          <w:ilvl w:val="0"/>
          <w:numId w:val="41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控制柜接地必须使用铜母线，门及活动部件接地使用铜编织线，接地导线标称截面不小于16mm</w:t>
      </w:r>
      <w:r>
        <w:rPr>
          <w:rFonts w:hint="eastAsia" w:ascii="宋体" w:hAnsi="宋体" w:eastAsia="宋体" w:cs="宋体"/>
          <w:vertAlign w:val="superscript"/>
        </w:rPr>
        <w:t>2</w:t>
      </w:r>
      <w:r>
        <w:rPr>
          <w:rFonts w:hint="eastAsia" w:ascii="宋体" w:hAnsi="宋体" w:eastAsia="宋体" w:cs="宋体"/>
        </w:rPr>
        <w:t>，接地电阻不大于10Ω。</w:t>
      </w:r>
    </w:p>
    <w:p w14:paraId="7BCAADB8">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电控柜标识:  设备控制柜门上部显眼位置，用PVC牌标注电控柜名称，而且字母和文字都必须用黑色；</w:t>
      </w:r>
    </w:p>
    <w:p w14:paraId="6DAA0119">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操作与信号组件：安装于电控柜门上，根据功能组布置。</w:t>
      </w:r>
    </w:p>
    <w:p w14:paraId="57AA78D3">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控制柜下部设置通风窗并有过滤网，侧面上部设冷却风扇。所有电柜都要安装适当功率等级的空调，空调自蒸发式；</w:t>
      </w:r>
    </w:p>
    <w:p w14:paraId="099823F5">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低压电气元件布置原则：从上到下依次为熔断器（断路器），控制继电器，电力接触器，热继电器，接线端子；</w:t>
      </w:r>
    </w:p>
    <w:p w14:paraId="57DD27A6">
      <w:pPr>
        <w:pageBreakBefore w:val="0"/>
        <w:numPr>
          <w:ilvl w:val="0"/>
          <w:numId w:val="41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电气元器件通过卡轨或者攻丝等形式安装在控制柜的安装板上（非柜体后板），安装板采用镀锌钢板，厚度不低于2mm。壁板（含后板）厚度不低于1.5mm，门板厚度不低于2mm；</w:t>
      </w:r>
    </w:p>
    <w:p w14:paraId="0A4C8E81">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2.10.5 桥架</w:t>
      </w:r>
    </w:p>
    <w:p w14:paraId="280FD9CF">
      <w:pPr>
        <w:pStyle w:val="17"/>
        <w:pageBreakBefore w:val="0"/>
        <w:widowControl/>
        <w:numPr>
          <w:ilvl w:val="0"/>
          <w:numId w:val="412"/>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增加踏步或其它装置方便人员及物流车通过，不能损坏地面。</w:t>
      </w:r>
    </w:p>
    <w:p w14:paraId="03DEC973">
      <w:pPr>
        <w:pageBreakBefore w:val="0"/>
        <w:numPr>
          <w:ilvl w:val="0"/>
          <w:numId w:val="41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电缆桥架使用封闭式镀锌电缆桥架</w:t>
      </w:r>
    </w:p>
    <w:p w14:paraId="6C333DBC">
      <w:pPr>
        <w:pStyle w:val="17"/>
        <w:pageBreakBefore w:val="0"/>
        <w:widowControl/>
        <w:numPr>
          <w:ilvl w:val="0"/>
          <w:numId w:val="412"/>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潮湿和腐蚀性气体的区域应使用不锈钢材质的产品。如下图所示。</w:t>
      </w:r>
    </w:p>
    <w:p w14:paraId="4A047ACF">
      <w:pPr>
        <w:pStyle w:val="17"/>
        <w:pageBreakBefore w:val="0"/>
        <w:widowControl/>
        <w:kinsoku/>
        <w:wordWrap/>
        <w:topLinePunct w:val="0"/>
        <w:bidi w:val="0"/>
        <w:adjustRightInd w:val="0"/>
        <w:snapToGrid w:val="0"/>
        <w:spacing w:before="0" w:after="0" w:afterAutospacing="0" w:line="360" w:lineRule="auto"/>
        <w:ind w:left="0" w:leftChars="0" w:firstLine="0" w:firstLineChars="0"/>
        <w:jc w:val="center"/>
        <w:rPr>
          <w:rFonts w:hint="eastAsia" w:ascii="宋体" w:hAnsi="宋体" w:eastAsia="宋体" w:cs="宋体"/>
        </w:rPr>
      </w:pPr>
      <w:r>
        <w:rPr>
          <w:rFonts w:hint="eastAsia" w:ascii="宋体" w:hAnsi="宋体" w:eastAsia="宋体" w:cs="宋体"/>
        </w:rPr>
        <w:drawing>
          <wp:inline distT="0" distB="0" distL="0" distR="0">
            <wp:extent cx="3317240" cy="2145030"/>
            <wp:effectExtent l="0" t="0" r="5080" b="3810"/>
            <wp:docPr id="4" name="图片 4" descr="C:\Users\ADMINI~1\AppData\Local\Temp\企业微信截图_15830471202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1\AppData\Local\Temp\企业微信截图_1583047120215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324244" cy="2149690"/>
                    </a:xfrm>
                    <a:prstGeom prst="rect">
                      <a:avLst/>
                    </a:prstGeom>
                    <a:noFill/>
                    <a:ln>
                      <a:noFill/>
                    </a:ln>
                  </pic:spPr>
                </pic:pic>
              </a:graphicData>
            </a:graphic>
          </wp:inline>
        </w:drawing>
      </w:r>
    </w:p>
    <w:p w14:paraId="4A9A80D6">
      <w:pPr>
        <w:pStyle w:val="17"/>
        <w:pageBreakBefore w:val="0"/>
        <w:widowControl/>
        <w:numPr>
          <w:ilvl w:val="0"/>
          <w:numId w:val="41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桥架的宽度应保证敷设完所有导线后有25%的空余空间。</w:t>
      </w:r>
    </w:p>
    <w:p w14:paraId="5A58D31D">
      <w:pPr>
        <w:pStyle w:val="17"/>
        <w:pageBreakBefore w:val="0"/>
        <w:widowControl/>
        <w:numPr>
          <w:ilvl w:val="0"/>
          <w:numId w:val="413"/>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桥架安装路径应选择转弯、升降段较少的路径，转弯处应使用45º倒角。如下图所示。</w:t>
      </w:r>
    </w:p>
    <w:p w14:paraId="3D23FEAB">
      <w:pPr>
        <w:pStyle w:val="17"/>
        <w:pageBreakBefore w:val="0"/>
        <w:widowControl/>
        <w:kinsoku/>
        <w:wordWrap/>
        <w:topLinePunct w:val="0"/>
        <w:bidi w:val="0"/>
        <w:adjustRightInd w:val="0"/>
        <w:snapToGrid w:val="0"/>
        <w:spacing w:before="0" w:after="0" w:afterAutospacing="0" w:line="360" w:lineRule="auto"/>
        <w:ind w:left="0" w:leftChars="0" w:firstLine="0" w:firstLineChars="0"/>
        <w:jc w:val="center"/>
        <w:rPr>
          <w:rFonts w:hint="eastAsia" w:ascii="宋体" w:hAnsi="宋体" w:eastAsia="宋体" w:cs="宋体"/>
        </w:rPr>
      </w:pPr>
      <w:r>
        <w:rPr>
          <w:rFonts w:hint="eastAsia" w:ascii="宋体" w:hAnsi="宋体" w:eastAsia="宋体" w:cs="宋体"/>
        </w:rPr>
        <w:drawing>
          <wp:inline distT="0" distB="0" distL="0" distR="0">
            <wp:extent cx="3274060" cy="2455545"/>
            <wp:effectExtent l="0" t="0" r="2540" b="13335"/>
            <wp:docPr id="5" name="图片 5" descr="F:\F盘\考察照片\IMG_20190807_151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F盘\考察照片\IMG_20190807_15180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286152" cy="2464615"/>
                    </a:xfrm>
                    <a:prstGeom prst="rect">
                      <a:avLst/>
                    </a:prstGeom>
                    <a:noFill/>
                    <a:ln>
                      <a:noFill/>
                    </a:ln>
                  </pic:spPr>
                </pic:pic>
              </a:graphicData>
            </a:graphic>
          </wp:inline>
        </w:drawing>
      </w:r>
    </w:p>
    <w:p w14:paraId="20BDD702">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桥架的支撑件间距不得大于2m，在转弯、分线区应增设支撑，支撑结构件必须保证安装环境的震动不会导致其松动或滑脱。</w:t>
      </w:r>
    </w:p>
    <w:p w14:paraId="757BAA98">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桥架应无锋利的边缘、毛刺、凸凹面、扭曲变形等现象。</w:t>
      </w:r>
    </w:p>
    <w:p w14:paraId="711219AD">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对于不能使用标准段、标准件的部位，切割和焊接面（内外表面）应喷漆或镀锌处理，且保证表面光滑。</w:t>
      </w:r>
    </w:p>
    <w:p w14:paraId="012A525C">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桥架固定应使用扁圆头螺栓，以防止损伤电缆。多余的螺栓头应去除，以防止伤害人员。</w:t>
      </w:r>
    </w:p>
    <w:p w14:paraId="0101CDAE">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桥架开孔应增加绝缘护套保护。</w:t>
      </w:r>
    </w:p>
    <w:p w14:paraId="6DB880E2">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采用螺接试且隔板可调，且隔板上边沿处应折平避免损坏电缆，螺栓的螺帽向内，螺栓长出来部分切除。</w:t>
      </w:r>
    </w:p>
    <w:p w14:paraId="6AC1FCE1">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电缆固定：电缆只在转弯处和分支处进行绑扎，以便电缆固定。</w:t>
      </w:r>
    </w:p>
    <w:p w14:paraId="27414308">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电缆桥架的电缆引出孔应保证光滑、无毛刺、无锋利边缘。</w:t>
      </w:r>
    </w:p>
    <w:p w14:paraId="14F75265">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对于频繁、连续运动或需调整的场合，应使用拖链，常温升降机不使用拖链。拖链的弯曲半径必须满足其内所敷设电缆的要求。</w:t>
      </w:r>
    </w:p>
    <w:p w14:paraId="705D5DCA">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安装在电缆桥架内的电线电缆严禁使用单芯实芯导线。</w:t>
      </w:r>
    </w:p>
    <w:p w14:paraId="0E82C1CF">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电缆和导线安装不允许出现绞合、打结等现象。</w:t>
      </w:r>
    </w:p>
    <w:p w14:paraId="13F400C2">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电缆桥架在敷设时桥架连接处必须有接地跨接线，所有桥架穿线开口均要在开口处做护口保护，以防桥架开口割伤电缆，桥架的开口在完工后必须封堵，电缆桥架若贴地敷设则桥架的离地间隙为50mm(在桥架底部需要穿过水管时则高度在100mm)。若桥架与水管交叉式应遵循桥架在上水管在下，桥架跨过的水管无接头及焊缝。</w:t>
      </w:r>
    </w:p>
    <w:p w14:paraId="565BB0E1">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电缆桥架设防护盖。</w:t>
      </w:r>
    </w:p>
    <w:p w14:paraId="1913AC3E">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单根电缆出线不需要塑料波纹管防护时，穿过桥架采用防水接头防护。</w:t>
      </w:r>
    </w:p>
    <w:p w14:paraId="79F7CF92">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单根电缆出线需要塑料波纹管防护时，穿过桥架采用波纹管快速接头。</w:t>
      </w:r>
    </w:p>
    <w:p w14:paraId="35569877">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多跟电缆出线时，桥架需要开孔，桥架开孔使用U型橡胶密封条进行防护。</w:t>
      </w:r>
    </w:p>
    <w:p w14:paraId="7DBC45AA">
      <w:pPr>
        <w:pStyle w:val="17"/>
        <w:pageBreakBefore w:val="0"/>
        <w:widowControl/>
        <w:numPr>
          <w:ilvl w:val="0"/>
          <w:numId w:val="414"/>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以上接头、密封条颜色均为灰白色。样式见下图：</w:t>
      </w:r>
    </w:p>
    <w:p w14:paraId="4873A5E6">
      <w:pPr>
        <w:pStyle w:val="17"/>
        <w:pageBreakBefore w:val="0"/>
        <w:widowControl/>
        <w:kinsoku/>
        <w:wordWrap/>
        <w:topLinePunct w:val="0"/>
        <w:bidi w:val="0"/>
        <w:adjustRightInd w:val="0"/>
        <w:snapToGrid w:val="0"/>
        <w:spacing w:before="0" w:after="0" w:afterAutospacing="0" w:line="360" w:lineRule="auto"/>
        <w:ind w:left="0" w:leftChars="0" w:firstLine="0" w:firstLineChars="0"/>
        <w:jc w:val="center"/>
        <w:rPr>
          <w:rFonts w:hint="eastAsia" w:ascii="宋体" w:hAnsi="宋体" w:eastAsia="宋体" w:cs="宋体"/>
        </w:rPr>
      </w:pPr>
      <w:r>
        <w:rPr>
          <w:rFonts w:hint="eastAsia" w:ascii="宋体" w:hAnsi="宋体" w:eastAsia="宋体" w:cs="宋体"/>
        </w:rPr>
        <w:drawing>
          <wp:inline distT="0" distB="0" distL="0" distR="0">
            <wp:extent cx="1252855" cy="1236345"/>
            <wp:effectExtent l="0" t="0" r="12065" b="133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252855" cy="1236345"/>
                    </a:xfrm>
                    <a:prstGeom prst="rect">
                      <a:avLst/>
                    </a:prstGeom>
                    <a:noFill/>
                    <a:ln>
                      <a:noFill/>
                    </a:ln>
                  </pic:spPr>
                </pic:pic>
              </a:graphicData>
            </a:graphic>
          </wp:inline>
        </w:drawing>
      </w:r>
      <w:r>
        <w:rPr>
          <w:rFonts w:hint="eastAsia" w:ascii="宋体" w:hAnsi="宋体" w:eastAsia="宋体" w:cs="宋体"/>
        </w:rPr>
        <w:drawing>
          <wp:inline distT="0" distB="0" distL="0" distR="0">
            <wp:extent cx="2094230" cy="1264285"/>
            <wp:effectExtent l="0" t="0" r="8890" b="6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094230" cy="1264285"/>
                    </a:xfrm>
                    <a:prstGeom prst="rect">
                      <a:avLst/>
                    </a:prstGeom>
                    <a:noFill/>
                    <a:ln>
                      <a:noFill/>
                    </a:ln>
                  </pic:spPr>
                </pic:pic>
              </a:graphicData>
            </a:graphic>
          </wp:inline>
        </w:drawing>
      </w:r>
    </w:p>
    <w:p w14:paraId="292E51DB">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2.10.6控制网路</w:t>
      </w:r>
    </w:p>
    <w:p w14:paraId="10A58D1E">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控制网路通讯电缆、I/O电缆必须使用控制网络文件规定的专用电缆，严禁使用其它电缆替代，控制网路安装必须满足现场总线安装规范要求。</w:t>
      </w:r>
    </w:p>
    <w:p w14:paraId="06C6612B">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控制网路各种网络连接器件、中继器等必须使用控制网路网络文件规定的专用器件，严禁使用其它器件替代。</w:t>
      </w:r>
    </w:p>
    <w:p w14:paraId="7B05B5B7">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必须按规定使用网络终端配件保证网络运行正常。</w:t>
      </w:r>
    </w:p>
    <w:p w14:paraId="49C89E33">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通讯电缆必须按网络文件规定接地。</w:t>
      </w:r>
    </w:p>
    <w:p w14:paraId="12FB1011">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控制网路网络电源应使用符合网络文件规定品质的直流电源或专用电源，网络电源容量应满足配置要求并有10％的余量。</w:t>
      </w:r>
    </w:p>
    <w:p w14:paraId="7F8F8251">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所有网络节点必须通过控制网路网络文件规定的标准插接件连接到网络连接器件。严禁使用接线端子或其它方式自行接线。网络主干电缆、分支电缆允许使用标准插接件现场接线，且现场接线必须接触牢固且按网络文件规定的技术指标测试信号。</w:t>
      </w:r>
    </w:p>
    <w:p w14:paraId="17533FD8">
      <w:pPr>
        <w:pStyle w:val="17"/>
        <w:pageBreakBefore w:val="0"/>
        <w:widowControl/>
        <w:numPr>
          <w:ilvl w:val="0"/>
          <w:numId w:val="415"/>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设备层网络在中控室均可监控。</w:t>
      </w:r>
    </w:p>
    <w:p w14:paraId="160441FF">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2.10.7  HMI人机界面</w:t>
      </w:r>
    </w:p>
    <w:p w14:paraId="6CF16FBA">
      <w:pPr>
        <w:pageBreakBefore w:val="0"/>
        <w:numPr>
          <w:ilvl w:val="0"/>
          <w:numId w:val="416"/>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所有HMI画面内容要求统一，内容需经</w:t>
      </w:r>
      <w:r>
        <w:rPr>
          <w:rFonts w:hint="eastAsia" w:ascii="宋体" w:hAnsi="宋体" w:cs="宋体"/>
          <w:sz w:val="24"/>
          <w:lang w:eastAsia="zh-CN"/>
        </w:rPr>
        <w:t>招标人</w:t>
      </w:r>
      <w:r>
        <w:rPr>
          <w:rFonts w:hint="eastAsia" w:ascii="宋体" w:hAnsi="宋体" w:eastAsia="宋体" w:cs="宋体"/>
          <w:sz w:val="24"/>
        </w:rPr>
        <w:t>认可。</w:t>
      </w:r>
    </w:p>
    <w:p w14:paraId="1F59F71D">
      <w:pPr>
        <w:pageBreakBefore w:val="0"/>
        <w:numPr>
          <w:ilvl w:val="0"/>
          <w:numId w:val="416"/>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HMI必须包含报警画面，状态显示画面，布置图，操作画面，参数设置画面，传感器检测画面，过程显示画面，动作画面等。</w:t>
      </w:r>
    </w:p>
    <w:p w14:paraId="2FB1E0B3">
      <w:pPr>
        <w:pageBreakBefore w:val="0"/>
        <w:numPr>
          <w:ilvl w:val="0"/>
          <w:numId w:val="416"/>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生产线控制系统使用至少12吋人机界面。</w:t>
      </w:r>
    </w:p>
    <w:p w14:paraId="01CD3708">
      <w:pPr>
        <w:pageBreakBefore w:val="0"/>
        <w:numPr>
          <w:ilvl w:val="0"/>
          <w:numId w:val="416"/>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HMI 布置区域布和置数量根据实际情况进行调整。</w:t>
      </w:r>
    </w:p>
    <w:p w14:paraId="5366FE0F">
      <w:pPr>
        <w:pageBreakBefore w:val="0"/>
        <w:numPr>
          <w:ilvl w:val="0"/>
          <w:numId w:val="416"/>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机界面功能要求:</w:t>
      </w:r>
    </w:p>
    <w:p w14:paraId="6E753B18">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操作控制元件（如：各种开关、按钮、选择输入等）。</w:t>
      </w:r>
    </w:p>
    <w:p w14:paraId="2F079A4D">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工作状态、工作参数显示元件（如：信号灯、图形、文字、数值显示、列表显示等）。</w:t>
      </w:r>
    </w:p>
    <w:p w14:paraId="3DEB99D1">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屏幕转换元件（如：转换、返回等）。</w:t>
      </w:r>
    </w:p>
    <w:p w14:paraId="5C5E00FC">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工作状态模拟元件（如：棒形图、趋势图等）。</w:t>
      </w:r>
    </w:p>
    <w:p w14:paraId="37692960">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工作状态、工作参数记录功能（如：数据登录等）。</w:t>
      </w:r>
    </w:p>
    <w:p w14:paraId="2071A8D6">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报警信息（如：报警显示、报警历史记录等），帮助和提示信息。</w:t>
      </w:r>
    </w:p>
    <w:p w14:paraId="0954EAEA">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其它有助于操作、控制设备运行和故障诊断的功能。</w:t>
      </w:r>
    </w:p>
    <w:p w14:paraId="66DE3419">
      <w:pPr>
        <w:pStyle w:val="263"/>
        <w:pageBreakBefore w:val="0"/>
        <w:numPr>
          <w:ilvl w:val="0"/>
          <w:numId w:val="417"/>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应能显示每个自动诊断出的故障的故障点，可能的故障原因，故障查询步骤，及纠正措施和维修步骤等。</w:t>
      </w:r>
    </w:p>
    <w:p w14:paraId="67F66C16">
      <w:pPr>
        <w:pStyle w:val="263"/>
        <w:pageBreakBefore w:val="0"/>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2.10.8传感器</w:t>
      </w:r>
    </w:p>
    <w:p w14:paraId="796DE8E0">
      <w:pPr>
        <w:pageBreakBefore w:val="0"/>
        <w:numPr>
          <w:ilvl w:val="0"/>
          <w:numId w:val="418"/>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由</w:t>
      </w:r>
      <w:r>
        <w:rPr>
          <w:rFonts w:hint="eastAsia" w:ascii="宋体" w:hAnsi="宋体" w:cs="宋体"/>
          <w:sz w:val="24"/>
          <w:lang w:eastAsia="zh-CN"/>
        </w:rPr>
        <w:t>投标人</w:t>
      </w:r>
      <w:r>
        <w:rPr>
          <w:rFonts w:hint="eastAsia" w:ascii="宋体" w:hAnsi="宋体" w:eastAsia="宋体" w:cs="宋体"/>
          <w:sz w:val="24"/>
        </w:rPr>
        <w:t>负责使用接近开关来检测位置，普通接近开关最小检测距离为40mm（升降机锁紧机构、定位机构及积放单带停止器等M18或M30接近开关在25mm～15mm间）。</w:t>
      </w:r>
    </w:p>
    <w:p w14:paraId="6875B2DF">
      <w:pPr>
        <w:pageBreakBefore w:val="0"/>
        <w:numPr>
          <w:ilvl w:val="0"/>
          <w:numId w:val="418"/>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行程开关用来保护设备（例如：超行程、驱动保护，链条保护），闪干段接近开关采用中温开关。安全光电开关用来对操作者进行保护。所有传感器必须使用插接连接。</w:t>
      </w:r>
    </w:p>
    <w:p w14:paraId="78FE2697">
      <w:pPr>
        <w:pageBreakBefore w:val="0"/>
        <w:numPr>
          <w:ilvl w:val="0"/>
          <w:numId w:val="418"/>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传感器应使用控制电压为DC24V，三线，PNP输出。如传感器不能满足某些特殊应用场合的前述要求，则选用DC24V（工作电压）和触点型输出。</w:t>
      </w:r>
    </w:p>
    <w:p w14:paraId="69FC41D3">
      <w:pPr>
        <w:pageBreakBefore w:val="0"/>
        <w:numPr>
          <w:ilvl w:val="0"/>
          <w:numId w:val="418"/>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用于控制系统的传感器，应选择符合控制网路文件规定的标准插接连接器，并应有抗干扰功能。</w:t>
      </w:r>
    </w:p>
    <w:p w14:paraId="43A92430">
      <w:pPr>
        <w:pageBreakBefore w:val="0"/>
        <w:numPr>
          <w:ilvl w:val="0"/>
          <w:numId w:val="418"/>
        </w:numPr>
        <w:tabs>
          <w:tab w:val="left" w:pos="180"/>
          <w:tab w:val="left" w:pos="36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传感器配置必须满足特定场合要求，比如高温区，防爆区等。</w:t>
      </w:r>
    </w:p>
    <w:p w14:paraId="0E69E6B2">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2.10.9安全</w:t>
      </w:r>
    </w:p>
    <w:p w14:paraId="13F23A4F">
      <w:pPr>
        <w:pageBreakBefore w:val="0"/>
        <w:widowControl/>
        <w:numPr>
          <w:ilvl w:val="0"/>
          <w:numId w:val="419"/>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不仅要遵守中国国家安全标准的通用条款，而且也要执行如下原则：</w:t>
      </w:r>
    </w:p>
    <w:p w14:paraId="6D3DB76B">
      <w:pPr>
        <w:pStyle w:val="458"/>
        <w:pageBreakBefore w:val="0"/>
        <w:numPr>
          <w:ilvl w:val="0"/>
          <w:numId w:val="42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在电源断电或设备急停时，为了避免设备损坏或人身伤害，不允许设备有任何运动。</w:t>
      </w:r>
    </w:p>
    <w:p w14:paraId="0733C2A6">
      <w:pPr>
        <w:pageBreakBefore w:val="0"/>
        <w:numPr>
          <w:ilvl w:val="0"/>
          <w:numId w:val="42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电控柜面板和各操作站面板都必须设置急停按钮，在操作工位上均匀地分布一定数量的急停按钮，操作站应安装在容易操作的地方和位置。</w:t>
      </w:r>
    </w:p>
    <w:p w14:paraId="349E20B9">
      <w:pPr>
        <w:pageBreakBefore w:val="0"/>
        <w:numPr>
          <w:ilvl w:val="0"/>
          <w:numId w:val="42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外部检测信号和手动操作按钮的设置数量应能确保设备具有完善的保护和自诊断功能，确保设备操作方便及运行可靠。不可以为了降低造价而减少必要的检测信号。</w:t>
      </w:r>
    </w:p>
    <w:p w14:paraId="4EC109A0">
      <w:pPr>
        <w:pageBreakBefore w:val="0"/>
        <w:numPr>
          <w:ilvl w:val="0"/>
          <w:numId w:val="42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PLC电源输入具有隔离变压器；变频器输入、输出具有电抗器、滤波器；接触器线圈具有R-C保护；PLC输出具有中间继电器转换接电磁阀；电磁阀线圈具有续流二极管保护。</w:t>
      </w:r>
    </w:p>
    <w:p w14:paraId="7218885C">
      <w:pPr>
        <w:pStyle w:val="17"/>
        <w:pageBreakBefore w:val="0"/>
        <w:widowControl/>
        <w:numPr>
          <w:ilvl w:val="0"/>
          <w:numId w:val="42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插头、插座 应有短路和漏电保护，且在插头拔下时，人无法接触到带电部分。</w:t>
      </w:r>
    </w:p>
    <w:p w14:paraId="61F7FD28">
      <w:pPr>
        <w:pStyle w:val="17"/>
        <w:pageBreakBefore w:val="0"/>
        <w:widowControl/>
        <w:numPr>
          <w:ilvl w:val="0"/>
          <w:numId w:val="42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控制系统自动开启前，必须让该系统控制区下预警（所有报警灯闪烁且有蜂鸣器预警5秒，具体时间可调）后（警示设备附近人员），设备才能启动。</w:t>
      </w:r>
    </w:p>
    <w:p w14:paraId="055D67A9">
      <w:pPr>
        <w:pStyle w:val="17"/>
        <w:pageBreakBefore w:val="0"/>
        <w:widowControl/>
        <w:numPr>
          <w:ilvl w:val="0"/>
          <w:numId w:val="42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一些容易产生人身伤害的危险设备（如 皮带、外露齿轮、联轴器、链条等）必须用特殊装置进行防护，防护装置必须要由金属φ40mm圆钢管制成，喷涂黄色油漆，网格间隔200mm；防护装置便于拆卸或移动。输送的联轴器防护装置焊接防护网。如下图所示。</w:t>
      </w:r>
    </w:p>
    <w:p w14:paraId="1C6F4896">
      <w:pPr>
        <w:pStyle w:val="17"/>
        <w:pageBreakBefore w:val="0"/>
        <w:widowControl/>
        <w:kinsoku/>
        <w:wordWrap/>
        <w:topLinePunct w:val="0"/>
        <w:bidi w:val="0"/>
        <w:adjustRightInd w:val="0"/>
        <w:snapToGrid w:val="0"/>
        <w:spacing w:before="0" w:after="0" w:afterAutospacing="0" w:line="360" w:lineRule="auto"/>
        <w:ind w:left="0" w:leftChars="0" w:firstLine="0" w:firstLineChars="0"/>
        <w:jc w:val="center"/>
        <w:rPr>
          <w:rFonts w:hint="eastAsia" w:ascii="宋体" w:hAnsi="宋体" w:eastAsia="宋体" w:cs="宋体"/>
        </w:rPr>
      </w:pPr>
      <w:r>
        <w:rPr>
          <w:rFonts w:hint="eastAsia" w:ascii="宋体" w:hAnsi="宋体" w:eastAsia="宋体" w:cs="宋体"/>
        </w:rPr>
        <w:drawing>
          <wp:inline distT="0" distB="0" distL="0" distR="0">
            <wp:extent cx="2918460" cy="2282825"/>
            <wp:effectExtent l="0" t="0" r="7620" b="3175"/>
            <wp:docPr id="1" name="图片 1" descr="C:\Users\ADMINI~1\AppData\Local\Temp\企业微信截图_15830443981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企业微信截图_15830443981129.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2924633" cy="2287523"/>
                    </a:xfrm>
                    <a:prstGeom prst="rect">
                      <a:avLst/>
                    </a:prstGeom>
                    <a:noFill/>
                    <a:ln>
                      <a:noFill/>
                    </a:ln>
                  </pic:spPr>
                </pic:pic>
              </a:graphicData>
            </a:graphic>
          </wp:inline>
        </w:drawing>
      </w:r>
    </w:p>
    <w:p w14:paraId="72E2B269">
      <w:pPr>
        <w:pStyle w:val="17"/>
        <w:pageBreakBefore w:val="0"/>
        <w:widowControl/>
        <w:numPr>
          <w:ilvl w:val="0"/>
          <w:numId w:val="42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设备的噪音一般不应高于80dB，特殊情况必须得到</w:t>
      </w:r>
      <w:r>
        <w:rPr>
          <w:rFonts w:hint="eastAsia" w:ascii="宋体" w:hAnsi="宋体" w:cs="宋体"/>
          <w:lang w:eastAsia="zh-CN"/>
        </w:rPr>
        <w:t>招标人</w:t>
      </w:r>
      <w:r>
        <w:rPr>
          <w:rFonts w:hint="eastAsia" w:ascii="宋体" w:hAnsi="宋体" w:eastAsia="宋体" w:cs="宋体"/>
        </w:rPr>
        <w:t>认可。</w:t>
      </w:r>
    </w:p>
    <w:p w14:paraId="26892C52">
      <w:pPr>
        <w:pStyle w:val="17"/>
        <w:pageBreakBefore w:val="0"/>
        <w:widowControl/>
        <w:numPr>
          <w:ilvl w:val="0"/>
          <w:numId w:val="421"/>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在升降机的入口出口都必须安装光电开关进行设备保护，每个口装一组光电开关进行保护。</w:t>
      </w:r>
    </w:p>
    <w:p w14:paraId="5590B589">
      <w:pPr>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2.10.10其他要求</w:t>
      </w:r>
    </w:p>
    <w:p w14:paraId="23D515C1">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电气设备的元件和材料应符合安全、卫生及环保的要求，不允许使用对人体有害的及含有硅酮的材料。</w:t>
      </w:r>
    </w:p>
    <w:p w14:paraId="72DB84BA">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对易发生伤害事故的设备，应采取有效的防护措施，设警示标志，并能保证在操作人员进入危险区时设备不能启动或自动停止设备。 </w:t>
      </w:r>
    </w:p>
    <w:p w14:paraId="56EA08D7">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设备应设计可靠的限位装置，对可能因超负荷发生损坏的部件应设计超负荷保护装置。 各种仪器、仪表、检测装置，应选用型号合理、灵敏可靠、易于辨识的产品。计量仪表必须通过国家有关部门合格的计量检定，且出具检定合格报告。满足</w:t>
      </w:r>
      <w:r>
        <w:rPr>
          <w:rFonts w:hint="eastAsia" w:ascii="宋体" w:hAnsi="宋体" w:cs="宋体"/>
          <w:sz w:val="24"/>
          <w:lang w:eastAsia="zh-CN"/>
        </w:rPr>
        <w:t>招标人</w:t>
      </w:r>
      <w:r>
        <w:rPr>
          <w:rFonts w:hint="eastAsia" w:ascii="宋体" w:hAnsi="宋体" w:eastAsia="宋体" w:cs="宋体"/>
          <w:sz w:val="24"/>
        </w:rPr>
        <w:t>计量管理规定。</w:t>
      </w:r>
    </w:p>
    <w:p w14:paraId="1663AA2B">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电气设备及元件应安全、可靠，便于操作、安装、维修及更换。所有风机、水泵（加料泵除外），机械化升降机、摆杆链、双链需设置本地维修开关。</w:t>
      </w:r>
    </w:p>
    <w:p w14:paraId="44B7CB3B">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爆炸危险区域内安装的电器元件必须为本质安全型产品或防爆产品，防爆等级满足国际要求。 </w:t>
      </w:r>
    </w:p>
    <w:p w14:paraId="273F91D5">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 xml:space="preserve">PLC工作电源、总线电源、I/O模块电源经过各自的隔离变压器接到电控柜电源总 开关的前端；现场操作站电源经过隔离变压器接到电控柜电源总开关的后端；PLC的I/O模块、总线模块需配各自单独的直流电源；隔离变压器进出线端、直流电源进线端均需配断路器，防止下口短路烧变压器和直流电源，便于维护。 </w:t>
      </w:r>
    </w:p>
    <w:p w14:paraId="12B59E6B">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整个电控系统运行前可对控制柜显示灯进行检验。</w:t>
      </w:r>
    </w:p>
    <w:p w14:paraId="2116AD3D">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动力电缆采用VV塑料护套电缆，控制电缆采用RVV铜芯塑料护套电缆，热电阻信号线采用RVVP铜芯屏蔽线，电机采用四芯电缆敷设，控制柜、电缆桥架、穿线钢管均要可靠接地，电线电缆沿电缆桥架或线管敷设，到用电设备旁由钢管引出，接入用电设备。</w:t>
      </w:r>
    </w:p>
    <w:p w14:paraId="62D440FC">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传感器的电缆使用预铸、防爆电缆，并通过总线连接。</w:t>
      </w:r>
    </w:p>
    <w:p w14:paraId="30A74F76">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驱动电机需内置热保护开关，以实现电机超温报警功能。</w:t>
      </w:r>
    </w:p>
    <w:p w14:paraId="250F6663">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系统内所有设备的控制电缆和动力电缆需在同一个桥架中用隔板分离走线，无桥架的地方需单独配管。</w:t>
      </w:r>
    </w:p>
    <w:p w14:paraId="1E37B446">
      <w:pPr>
        <w:pStyle w:val="263"/>
        <w:pageBreakBefore w:val="0"/>
        <w:widowControl/>
        <w:numPr>
          <w:ilvl w:val="0"/>
          <w:numId w:val="422"/>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控制柜需按开关配电柜、继电器柜、PLC柜等功能分别布置安装。</w:t>
      </w:r>
    </w:p>
    <w:p w14:paraId="3AE1097A">
      <w:pPr>
        <w:pStyle w:val="263"/>
        <w:pageBreakBefore w:val="0"/>
        <w:widowControl/>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2.10.11图形号及文字、标识和语言、文件</w:t>
      </w:r>
    </w:p>
    <w:p w14:paraId="38979349">
      <w:pPr>
        <w:pageBreakBefore w:val="0"/>
        <w:widowControl/>
        <w:numPr>
          <w:ilvl w:val="0"/>
          <w:numId w:val="423"/>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rPr>
      </w:pPr>
      <w:r>
        <w:rPr>
          <w:rFonts w:hint="eastAsia" w:ascii="宋体" w:hAnsi="宋体" w:eastAsia="宋体" w:cs="宋体"/>
          <w:sz w:val="24"/>
        </w:rPr>
        <w:t>图形符号和代号</w:t>
      </w:r>
    </w:p>
    <w:p w14:paraId="567900A1">
      <w:pPr>
        <w:pStyle w:val="9"/>
        <w:pageBreakBefore w:val="0"/>
        <w:numPr>
          <w:ilvl w:val="0"/>
          <w:numId w:val="424"/>
        </w:numPr>
        <w:kinsoku/>
        <w:wordWrap/>
        <w:topLinePunct w:val="0"/>
        <w:bidi w:val="0"/>
        <w:adjustRightInd w:val="0"/>
        <w:snapToGrid w:val="0"/>
        <w:spacing w:afterAutospacing="0" w:line="360" w:lineRule="auto"/>
        <w:ind w:left="0" w:leftChars="0" w:firstLine="0" w:firstLineChars="0"/>
        <w:jc w:val="left"/>
        <w:rPr>
          <w:rFonts w:hint="eastAsia" w:ascii="宋体" w:hAnsi="宋体" w:eastAsia="宋体" w:cs="宋体"/>
          <w:sz w:val="24"/>
          <w:szCs w:val="24"/>
        </w:rPr>
      </w:pPr>
      <w:r>
        <w:rPr>
          <w:rFonts w:hint="eastAsia" w:ascii="宋体" w:hAnsi="宋体" w:eastAsia="宋体" w:cs="宋体"/>
          <w:sz w:val="24"/>
          <w:szCs w:val="24"/>
        </w:rPr>
        <w:t>图纸设计采用EPALN软件，符合国家标准。</w:t>
      </w:r>
    </w:p>
    <w:p w14:paraId="22D81214">
      <w:pPr>
        <w:pStyle w:val="9"/>
        <w:pageBreakBefore w:val="0"/>
        <w:numPr>
          <w:ilvl w:val="0"/>
          <w:numId w:val="42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图纸、软件注释等资料和文件使用中文。</w:t>
      </w:r>
    </w:p>
    <w:p w14:paraId="5353988E">
      <w:pPr>
        <w:pStyle w:val="9"/>
        <w:pageBreakBefore w:val="0"/>
        <w:numPr>
          <w:ilvl w:val="0"/>
          <w:numId w:val="4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文件图纸内容</w:t>
      </w:r>
    </w:p>
    <w:p w14:paraId="3535AA69">
      <w:pPr>
        <w:pStyle w:val="9"/>
        <w:pageBreakBefore w:val="0"/>
        <w:numPr>
          <w:ilvl w:val="0"/>
          <w:numId w:val="42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图纸及文件提供充分的可读性。包含足够的说明文字、目标标识、型号标注、产品说明、额定值、整定值等信息。图纸设计深度符合国标要求。提供最终版图纸是可编辑版本EPLAN文件格式。</w:t>
      </w:r>
    </w:p>
    <w:p w14:paraId="2B095019">
      <w:pPr>
        <w:pageBreakBefore w:val="0"/>
        <w:numPr>
          <w:ilvl w:val="0"/>
          <w:numId w:val="42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外部管线图中比例绘出机械设备外形，机械化传输设备路径，并按实际安装位置画出控制柜、箱，明确表示出管线走向。当不能清楚的表明管线安装走向时绘制二或三视图或增加适当的剖面。外部管线图中有管线对照表，标明管号、管径、导线和电缆的数量和型号及规格、线号等。</w:t>
      </w:r>
    </w:p>
    <w:p w14:paraId="31BE0BD2">
      <w:pPr>
        <w:pageBreakBefore w:val="0"/>
        <w:numPr>
          <w:ilvl w:val="0"/>
          <w:numId w:val="4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lang w:eastAsia="de-DE"/>
        </w:rPr>
      </w:pPr>
      <w:r>
        <w:rPr>
          <w:rFonts w:hint="eastAsia" w:ascii="宋体" w:hAnsi="宋体" w:eastAsia="宋体" w:cs="宋体"/>
          <w:sz w:val="24"/>
        </w:rPr>
        <w:t>硬件图纸</w:t>
      </w:r>
    </w:p>
    <w:p w14:paraId="185C8ECE">
      <w:pPr>
        <w:pStyle w:val="9"/>
        <w:pageBreakBefore w:val="0"/>
        <w:numPr>
          <w:ilvl w:val="0"/>
          <w:numId w:val="4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电控硬件图纸图幅为A3。</w:t>
      </w:r>
    </w:p>
    <w:p w14:paraId="15F7CE0C">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封面</w:t>
      </w:r>
    </w:p>
    <w:p w14:paraId="095A6109">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图纸目录</w:t>
      </w:r>
    </w:p>
    <w:p w14:paraId="49111564">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设备及材料表</w:t>
      </w:r>
    </w:p>
    <w:p w14:paraId="66CC0EF6">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电气原理图 </w:t>
      </w:r>
    </w:p>
    <w:p w14:paraId="29436E6A">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电器布置图</w:t>
      </w:r>
    </w:p>
    <w:p w14:paraId="51AFC8DD">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端子出线图</w:t>
      </w:r>
    </w:p>
    <w:p w14:paraId="5461F5E9">
      <w:pPr>
        <w:pStyle w:val="9"/>
        <w:pageBreakBefore w:val="0"/>
        <w:numPr>
          <w:ilvl w:val="1"/>
          <w:numId w:val="42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外部管线图</w:t>
      </w:r>
    </w:p>
    <w:p w14:paraId="5A23385A">
      <w:pPr>
        <w:pStyle w:val="9"/>
        <w:pageBreakBefore w:val="0"/>
        <w:numPr>
          <w:ilvl w:val="0"/>
          <w:numId w:val="4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可编程序控制器（PLC）软件</w:t>
      </w:r>
    </w:p>
    <w:p w14:paraId="4496F55F">
      <w:pPr>
        <w:pStyle w:val="9"/>
        <w:pageBreakBefore w:val="0"/>
        <w:numPr>
          <w:ilvl w:val="0"/>
          <w:numId w:val="426"/>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可编程序控制器（PLC） 控制软件为结构化程序设计，通过子程序或功能块间的调用来实现控制系统功能，不采用全程线性编程。程序注释：</w:t>
      </w:r>
    </w:p>
    <w:p w14:paraId="3B575C47">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所有转子程序指令加指令注释以说明该子程序的功能；</w:t>
      </w:r>
    </w:p>
    <w:p w14:paraId="4CEDFA36">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所有I/O地址、过程标志位、数据存储字加地址注释以说明该地址的作用；</w:t>
      </w:r>
    </w:p>
    <w:p w14:paraId="3C70BDC8">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所有I/O地址必须加符号地址，符号地址与原理图中元件号一致；</w:t>
      </w:r>
    </w:p>
    <w:p w14:paraId="787F5DF4">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控制程序尽量加注各种注释，注释语言为英语或汉语；</w:t>
      </w:r>
    </w:p>
    <w:p w14:paraId="78A259E0">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可编程序控制器（PLC）软件刻录光盘保存，验收时交给</w:t>
      </w:r>
      <w:r>
        <w:rPr>
          <w:rFonts w:hint="eastAsia" w:ascii="宋体" w:hAnsi="宋体" w:cs="宋体"/>
          <w:sz w:val="24"/>
          <w:szCs w:val="24"/>
          <w:lang w:eastAsia="zh-CN"/>
        </w:rPr>
        <w:t>招标人</w:t>
      </w:r>
      <w:r>
        <w:rPr>
          <w:rFonts w:hint="eastAsia" w:ascii="宋体" w:hAnsi="宋体" w:eastAsia="宋体" w:cs="宋体"/>
          <w:sz w:val="24"/>
          <w:szCs w:val="24"/>
        </w:rPr>
        <w:t>，不再提供纸质文件；</w:t>
      </w:r>
    </w:p>
    <w:p w14:paraId="1A16A803">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控制程序目录； </w:t>
      </w:r>
    </w:p>
    <w:p w14:paraId="237AB8DE">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存储器映象表；</w:t>
      </w:r>
    </w:p>
    <w:p w14:paraId="5F8A8A6C">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符号地址表；</w:t>
      </w:r>
    </w:p>
    <w:p w14:paraId="265E75A6">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I/O 表（I/O地址、连接的电器元件、该I/O点功能等）；</w:t>
      </w:r>
    </w:p>
    <w:p w14:paraId="235A572C">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处理器状态表；</w:t>
      </w:r>
    </w:p>
    <w:p w14:paraId="43968DBA">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交叉索引表；</w:t>
      </w:r>
    </w:p>
    <w:p w14:paraId="4B8E49F5">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存储器使用情况表；</w:t>
      </w:r>
    </w:p>
    <w:p w14:paraId="45F4A8DA">
      <w:pPr>
        <w:pStyle w:val="9"/>
        <w:pageBreakBefore w:val="0"/>
        <w:numPr>
          <w:ilvl w:val="0"/>
          <w:numId w:val="42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控制程序；</w:t>
      </w:r>
    </w:p>
    <w:p w14:paraId="6A2A381D">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程序规范(工厂规范统一)。</w:t>
      </w:r>
    </w:p>
    <w:p w14:paraId="75667B4D">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IP地址按要求整体规划。</w:t>
      </w:r>
    </w:p>
    <w:p w14:paraId="240514D0">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采用梯形图进行PLC逻辑设计，使用程导线序结构模块化，针对不同类型设备设计相应的PLC逻辑模块或子程序，并且模块的软件结构与硬件设计相对应。</w:t>
      </w:r>
    </w:p>
    <w:p w14:paraId="3D7C9DC9">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程序模块中包括设备驱动、输入输出、传感器等故障诊断逻辑，程序应标注、结构、格式统一，标准化和可读性强；程序中的逻辑元件和重要程序段提供中文注释。</w:t>
      </w:r>
    </w:p>
    <w:p w14:paraId="7B3043D7">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PLC逻辑设计中包含与车间PMC等系统的数据接口程序，且为各自独立程序块。</w:t>
      </w:r>
    </w:p>
    <w:p w14:paraId="73DFE51D">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PLC内程序可根据安全等级分块设置密码和访问等级；全部PLC、HMI程序必须至少以电子程序（在编程软件上可查看、编辑）形式提供给</w:t>
      </w:r>
      <w:r>
        <w:rPr>
          <w:rFonts w:hint="eastAsia" w:ascii="宋体" w:hAnsi="宋体" w:cs="宋体"/>
          <w:color w:val="auto"/>
          <w:lang w:eastAsia="zh-CN"/>
        </w:rPr>
        <w:t>招标人</w:t>
      </w:r>
      <w:r>
        <w:rPr>
          <w:rFonts w:hint="eastAsia" w:ascii="宋体" w:hAnsi="宋体" w:eastAsia="宋体" w:cs="宋体"/>
          <w:color w:val="auto"/>
        </w:rPr>
        <w:t>，且对</w:t>
      </w:r>
      <w:r>
        <w:rPr>
          <w:rFonts w:hint="eastAsia" w:ascii="宋体" w:hAnsi="宋体" w:cs="宋体"/>
          <w:color w:val="auto"/>
          <w:lang w:eastAsia="zh-CN"/>
        </w:rPr>
        <w:t>招标人</w:t>
      </w:r>
      <w:r>
        <w:rPr>
          <w:rFonts w:hint="eastAsia" w:ascii="宋体" w:hAnsi="宋体" w:eastAsia="宋体" w:cs="宋体"/>
          <w:color w:val="auto"/>
        </w:rPr>
        <w:t>全部开放。</w:t>
      </w:r>
    </w:p>
    <w:p w14:paraId="2BA26930">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所有提供给</w:t>
      </w:r>
      <w:r>
        <w:rPr>
          <w:rFonts w:hint="eastAsia" w:ascii="宋体" w:hAnsi="宋体" w:cs="宋体"/>
          <w:color w:val="auto"/>
          <w:lang w:eastAsia="zh-CN"/>
        </w:rPr>
        <w:t>招标人</w:t>
      </w:r>
      <w:r>
        <w:rPr>
          <w:rFonts w:hint="eastAsia" w:ascii="宋体" w:hAnsi="宋体" w:eastAsia="宋体" w:cs="宋体"/>
          <w:color w:val="auto"/>
        </w:rPr>
        <w:t>的数据统一分为三部分：状态信息、报警信息、生产信息，并分别存放于命名为“…_MCP”程序的三个独立子程序中；子程序变量中数据要按区域、工位、设备等级划分层级，每部分必须留有至少20%的空余字节，其中未使用位必须给出符号。</w:t>
      </w:r>
    </w:p>
    <w:p w14:paraId="7B28A606">
      <w:pPr>
        <w:pStyle w:val="210"/>
        <w:pageBreakBefore w:val="0"/>
        <w:numPr>
          <w:ilvl w:val="0"/>
          <w:numId w:val="42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color w:val="auto"/>
        </w:rPr>
      </w:pPr>
      <w:r>
        <w:rPr>
          <w:rFonts w:hint="eastAsia" w:ascii="宋体" w:hAnsi="宋体" w:eastAsia="宋体" w:cs="宋体"/>
          <w:color w:val="auto"/>
        </w:rPr>
        <w:t>所有变量必须标注详细的中文注释（包括区域、工位、设备、功能说明等）。</w:t>
      </w:r>
    </w:p>
    <w:p w14:paraId="3BF90A8E">
      <w:pPr>
        <w:pStyle w:val="263"/>
        <w:pageBreakBefore w:val="0"/>
        <w:numPr>
          <w:ilvl w:val="0"/>
          <w:numId w:val="429"/>
        </w:numPr>
        <w:kinsoku/>
        <w:wordWrap/>
        <w:topLinePunct w:val="0"/>
        <w:autoSpaceDE w:val="0"/>
        <w:autoSpaceDN w:val="0"/>
        <w:bidi w:val="0"/>
        <w:adjustRightInd w:val="0"/>
        <w:snapToGrid w:val="0"/>
        <w:spacing w:afterAutospacing="0" w:line="360" w:lineRule="auto"/>
        <w:ind w:left="0" w:leftChars="0" w:firstLine="0" w:firstLineChars="0"/>
        <w:jc w:val="left"/>
        <w:rPr>
          <w:rFonts w:hint="eastAsia" w:ascii="宋体" w:hAnsi="宋体" w:eastAsia="宋体" w:cs="宋体"/>
          <w:kern w:val="0"/>
          <w:sz w:val="24"/>
        </w:rPr>
      </w:pPr>
      <w:r>
        <w:rPr>
          <w:rFonts w:hint="eastAsia" w:ascii="宋体" w:hAnsi="宋体" w:eastAsia="宋体" w:cs="宋体"/>
          <w:kern w:val="0"/>
          <w:sz w:val="24"/>
        </w:rPr>
        <w:t>变量名必须反映该变量的功能，可由设备号和数字构成(第一个符号必须为英文字母)，单词第一个字母为大写；并且可采用适当的缩写，同时保证软件中的描述与硬件设计是完全匹配的。</w:t>
      </w:r>
    </w:p>
    <w:p w14:paraId="7E25F4DD">
      <w:pPr>
        <w:pStyle w:val="9"/>
        <w:pageBreakBefore w:val="0"/>
        <w:numPr>
          <w:ilvl w:val="0"/>
          <w:numId w:val="4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现场总线软件</w:t>
      </w:r>
    </w:p>
    <w:p w14:paraId="180BFC0D">
      <w:pPr>
        <w:pStyle w:val="9"/>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现场总线软件刻录光盘保存，验收时交给</w:t>
      </w:r>
      <w:r>
        <w:rPr>
          <w:rFonts w:hint="eastAsia" w:ascii="宋体" w:hAnsi="宋体" w:cs="宋体"/>
          <w:sz w:val="24"/>
          <w:szCs w:val="24"/>
          <w:lang w:eastAsia="zh-CN"/>
        </w:rPr>
        <w:t>招标人</w:t>
      </w:r>
      <w:r>
        <w:rPr>
          <w:rFonts w:hint="eastAsia" w:ascii="宋体" w:hAnsi="宋体" w:eastAsia="宋体" w:cs="宋体"/>
          <w:sz w:val="24"/>
          <w:szCs w:val="24"/>
        </w:rPr>
        <w:t>，不再提供纸质文件。</w:t>
      </w:r>
    </w:p>
    <w:p w14:paraId="582252D8">
      <w:pPr>
        <w:pStyle w:val="9"/>
        <w:pageBreakBefore w:val="0"/>
        <w:numPr>
          <w:ilvl w:val="1"/>
          <w:numId w:val="43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网络节点列表（含节点号，电气设备名称、型号、生产厂等信息）；</w:t>
      </w:r>
    </w:p>
    <w:p w14:paraId="559A630D">
      <w:pPr>
        <w:pStyle w:val="9"/>
        <w:pageBreakBefore w:val="0"/>
        <w:numPr>
          <w:ilvl w:val="1"/>
          <w:numId w:val="43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扫描清单（含节点号、节点名称、数据量、通信文件等信息）；</w:t>
      </w:r>
    </w:p>
    <w:p w14:paraId="29D24B2F">
      <w:pPr>
        <w:pStyle w:val="9"/>
        <w:pageBreakBefore w:val="0"/>
        <w:numPr>
          <w:ilvl w:val="1"/>
          <w:numId w:val="430"/>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数据映象表（含节点号、节点名称或代号、映象位置等信息）。</w:t>
      </w:r>
    </w:p>
    <w:p w14:paraId="038A74D5">
      <w:pPr>
        <w:pStyle w:val="9"/>
        <w:pageBreakBefore w:val="0"/>
        <w:numPr>
          <w:ilvl w:val="0"/>
          <w:numId w:val="4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人机界面（HMI）软件</w:t>
      </w:r>
    </w:p>
    <w:p w14:paraId="015AA5ED">
      <w:pPr>
        <w:pStyle w:val="9"/>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人机界面（HMI）软件刻录光盘保存，验收时交给</w:t>
      </w:r>
      <w:r>
        <w:rPr>
          <w:rFonts w:hint="eastAsia" w:ascii="宋体" w:hAnsi="宋体" w:cs="宋体"/>
          <w:sz w:val="24"/>
          <w:szCs w:val="24"/>
          <w:lang w:eastAsia="zh-CN"/>
        </w:rPr>
        <w:t>招标人</w:t>
      </w:r>
      <w:r>
        <w:rPr>
          <w:rFonts w:hint="eastAsia" w:ascii="宋体" w:hAnsi="宋体" w:eastAsia="宋体" w:cs="宋体"/>
          <w:sz w:val="24"/>
          <w:szCs w:val="24"/>
        </w:rPr>
        <w:t>，不再提供纸质文件。</w:t>
      </w:r>
    </w:p>
    <w:p w14:paraId="629135EF">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画面及元件汇总表；</w:t>
      </w:r>
    </w:p>
    <w:p w14:paraId="68CCDF78">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说明部分；</w:t>
      </w:r>
    </w:p>
    <w:p w14:paraId="5730CC97">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操作员接口设置；</w:t>
      </w:r>
    </w:p>
    <w:p w14:paraId="700DC0A4">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元件属性；</w:t>
      </w:r>
    </w:p>
    <w:p w14:paraId="6E6EBD8B">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 xml:space="preserve">TAG 属性； </w:t>
      </w:r>
    </w:p>
    <w:p w14:paraId="48CD9EF3">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文字；</w:t>
      </w:r>
    </w:p>
    <w:p w14:paraId="1E9EB46A">
      <w:pPr>
        <w:pStyle w:val="9"/>
        <w:pageBreakBefore w:val="0"/>
        <w:numPr>
          <w:ilvl w:val="1"/>
          <w:numId w:val="431"/>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报警设置。</w:t>
      </w:r>
    </w:p>
    <w:p w14:paraId="40A40CA5">
      <w:pPr>
        <w:pStyle w:val="9"/>
        <w:pageBreakBefore w:val="0"/>
        <w:numPr>
          <w:ilvl w:val="0"/>
          <w:numId w:val="42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使用说明书</w:t>
      </w:r>
    </w:p>
    <w:p w14:paraId="1753A325">
      <w:pPr>
        <w:pStyle w:val="9"/>
        <w:pageBreakBefore w:val="0"/>
        <w:numPr>
          <w:ilvl w:val="1"/>
          <w:numId w:val="43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lang w:eastAsia="de-DE"/>
        </w:rPr>
      </w:pPr>
      <w:r>
        <w:rPr>
          <w:rFonts w:hint="eastAsia" w:ascii="宋体" w:hAnsi="宋体" w:eastAsia="宋体" w:cs="宋体"/>
          <w:sz w:val="24"/>
          <w:szCs w:val="24"/>
        </w:rPr>
        <w:t>使用说明书图幅一律为A4，单面打印，打孔安装在文件夹内。</w:t>
      </w:r>
    </w:p>
    <w:p w14:paraId="24A62E3D">
      <w:pPr>
        <w:pStyle w:val="9"/>
        <w:pageBreakBefore w:val="0"/>
        <w:numPr>
          <w:ilvl w:val="1"/>
          <w:numId w:val="432"/>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使用说明书使用中文。</w:t>
      </w:r>
    </w:p>
    <w:p w14:paraId="69CE8BEE">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控制系统名称、主要技术数据；</w:t>
      </w:r>
    </w:p>
    <w:p w14:paraId="494FCE09">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控制对象；</w:t>
      </w:r>
    </w:p>
    <w:p w14:paraId="5722E702">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控制系统构成；</w:t>
      </w:r>
    </w:p>
    <w:p w14:paraId="6797D9B8">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控制系统动作说明；</w:t>
      </w:r>
    </w:p>
    <w:p w14:paraId="30C9441C">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操作说明；</w:t>
      </w:r>
    </w:p>
    <w:p w14:paraId="75B25E38">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故障显示、故障查询及处理方法；</w:t>
      </w:r>
    </w:p>
    <w:p w14:paraId="7C164770">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维护说明；</w:t>
      </w:r>
    </w:p>
    <w:p w14:paraId="4E457AE8">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注意事项；</w:t>
      </w:r>
    </w:p>
    <w:p w14:paraId="63775848">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安全规则；</w:t>
      </w:r>
    </w:p>
    <w:p w14:paraId="7BEC82E0">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控制系统测试、校准说明；</w:t>
      </w:r>
    </w:p>
    <w:p w14:paraId="3F36F3A2">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成套控制设备的拆装说明；</w:t>
      </w:r>
    </w:p>
    <w:p w14:paraId="572D86A7">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其它对设备的使用和维护、升级改造等必要的说明；</w:t>
      </w:r>
    </w:p>
    <w:p w14:paraId="6780F7E5">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易损件清单和维护、更换说明；</w:t>
      </w:r>
    </w:p>
    <w:p w14:paraId="0DA51E5B">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设备或 部件维修及更换程序说明、例行预防性维护（保养）程序和时间计划、驱动设备参数配置表；</w:t>
      </w:r>
    </w:p>
    <w:p w14:paraId="0BE9EA7F">
      <w:pPr>
        <w:pStyle w:val="9"/>
        <w:pageBreakBefore w:val="0"/>
        <w:numPr>
          <w:ilvl w:val="0"/>
          <w:numId w:val="433"/>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验收时交付的使用说明书为竣工版资料，包含控制系统安装、调试过程中所有变更的内容。</w:t>
      </w:r>
      <w:bookmarkStart w:id="307" w:name="_Toc19673_WPSOffice_Level1"/>
    </w:p>
    <w:p w14:paraId="002C8E39">
      <w:pPr>
        <w:pStyle w:val="9"/>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2.10.12资料提供要求</w:t>
      </w:r>
      <w:bookmarkEnd w:id="307"/>
    </w:p>
    <w:p w14:paraId="3486DE72">
      <w:pPr>
        <w:pStyle w:val="9"/>
        <w:pageBreakBefore w:val="0"/>
        <w:numPr>
          <w:ilvl w:val="0"/>
          <w:numId w:val="43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提供车间所有电气控制系统设计说明、过程计算表、设备选型、电气原理图、第三方电气设备资料、备件清单。</w:t>
      </w:r>
    </w:p>
    <w:p w14:paraId="4F47D287">
      <w:pPr>
        <w:pageBreakBefore w:val="0"/>
        <w:numPr>
          <w:ilvl w:val="0"/>
          <w:numId w:val="434"/>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提供涂装生产线所有电气设备资料份数：</w:t>
      </w:r>
    </w:p>
    <w:p w14:paraId="410976DA">
      <w:pPr>
        <w:pStyle w:val="263"/>
        <w:pageBreakBefore w:val="0"/>
        <w:numPr>
          <w:ilvl w:val="0"/>
          <w:numId w:val="4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电气原理图4套。</w:t>
      </w:r>
    </w:p>
    <w:p w14:paraId="554633C5">
      <w:pPr>
        <w:pStyle w:val="263"/>
        <w:pageBreakBefore w:val="0"/>
        <w:numPr>
          <w:ilvl w:val="0"/>
          <w:numId w:val="435"/>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技术资料电子版1套（移动硬盘存储）。</w:t>
      </w:r>
    </w:p>
    <w:p w14:paraId="2E12E560">
      <w:pPr>
        <w:pStyle w:val="316"/>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sz w:val="24"/>
          <w:szCs w:val="24"/>
        </w:rPr>
      </w:pPr>
      <w:r>
        <w:rPr>
          <w:rFonts w:hint="eastAsia" w:ascii="宋体" w:hAnsi="宋体" w:eastAsia="宋体" w:cs="宋体"/>
          <w:b/>
          <w:sz w:val="24"/>
          <w:szCs w:val="24"/>
        </w:rPr>
        <w:t>三、质量要求</w:t>
      </w:r>
    </w:p>
    <w:p w14:paraId="599859FF">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shd w:val="clear" w:color="auto" w:fill="FFFFFF" w:themeFill="background1"/>
        </w:rPr>
      </w:pPr>
      <w:r>
        <w:rPr>
          <w:rFonts w:hint="eastAsia" w:ascii="宋体" w:hAnsi="宋体" w:eastAsia="宋体" w:cs="宋体"/>
          <w:color w:val="auto"/>
          <w:shd w:val="clear" w:color="auto" w:fill="FFFFFF" w:themeFill="background1"/>
        </w:rPr>
        <w:t xml:space="preserve">3.1  </w:t>
      </w:r>
      <w:r>
        <w:rPr>
          <w:rFonts w:hint="eastAsia" w:ascii="宋体" w:hAnsi="宋体" w:cs="宋体"/>
          <w:color w:val="auto"/>
          <w:shd w:val="clear" w:color="auto" w:fill="FFFFFF" w:themeFill="background1"/>
          <w:lang w:eastAsia="zh-CN"/>
        </w:rPr>
        <w:t>投标人</w:t>
      </w:r>
      <w:r>
        <w:rPr>
          <w:rFonts w:hint="eastAsia" w:ascii="宋体" w:hAnsi="宋体" w:eastAsia="宋体" w:cs="宋体"/>
          <w:color w:val="auto"/>
          <w:shd w:val="clear" w:color="auto" w:fill="FFFFFF" w:themeFill="background1"/>
        </w:rPr>
        <w:t>在制造过程中需制定详细的施工方案，组织精干人员参与项目，并和</w:t>
      </w:r>
      <w:r>
        <w:rPr>
          <w:rFonts w:hint="eastAsia" w:ascii="宋体" w:hAnsi="宋体" w:cs="宋体"/>
          <w:color w:val="auto"/>
          <w:shd w:val="clear" w:color="auto" w:fill="FFFFFF" w:themeFill="background1"/>
          <w:lang w:eastAsia="zh-CN"/>
        </w:rPr>
        <w:t>招标人</w:t>
      </w:r>
      <w:r>
        <w:rPr>
          <w:rFonts w:hint="eastAsia" w:ascii="宋体" w:hAnsi="宋体" w:eastAsia="宋体" w:cs="宋体"/>
          <w:color w:val="auto"/>
          <w:shd w:val="clear" w:color="auto" w:fill="FFFFFF" w:themeFill="background1"/>
        </w:rPr>
        <w:t>密切配合，合理安排施工，保证按时保质保量的完成工程任务,</w:t>
      </w:r>
      <w:r>
        <w:rPr>
          <w:rFonts w:hint="eastAsia" w:ascii="宋体" w:hAnsi="宋体" w:cs="宋体"/>
          <w:color w:val="auto"/>
          <w:shd w:val="clear" w:color="auto" w:fill="FFFFFF" w:themeFill="background1"/>
          <w:lang w:eastAsia="zh-CN"/>
        </w:rPr>
        <w:t>投标人</w:t>
      </w:r>
      <w:r>
        <w:rPr>
          <w:rFonts w:hint="eastAsia" w:ascii="宋体" w:hAnsi="宋体" w:eastAsia="宋体" w:cs="宋体"/>
          <w:color w:val="auto"/>
          <w:shd w:val="clear" w:color="auto" w:fill="FFFFFF" w:themeFill="background1"/>
        </w:rPr>
        <w:t>将项目人员组织机构图目视并提供联系方式。</w:t>
      </w:r>
    </w:p>
    <w:p w14:paraId="7E4176DE">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shd w:val="clear" w:color="auto" w:fill="FFFFFF" w:themeFill="background1"/>
        </w:rPr>
      </w:pPr>
      <w:r>
        <w:rPr>
          <w:rFonts w:hint="eastAsia" w:ascii="宋体" w:hAnsi="宋体" w:eastAsia="宋体" w:cs="宋体"/>
          <w:color w:val="auto"/>
          <w:shd w:val="clear" w:color="auto" w:fill="FFFFFF" w:themeFill="background1"/>
        </w:rPr>
        <w:t xml:space="preserve">3.2  </w:t>
      </w:r>
      <w:r>
        <w:rPr>
          <w:rFonts w:hint="eastAsia" w:ascii="宋体" w:hAnsi="宋体" w:cs="宋体"/>
          <w:color w:val="auto"/>
          <w:shd w:val="clear" w:color="auto" w:fill="FFFFFF" w:themeFill="background1"/>
          <w:lang w:eastAsia="zh-CN"/>
        </w:rPr>
        <w:t>投标人</w:t>
      </w:r>
      <w:r>
        <w:rPr>
          <w:rFonts w:hint="eastAsia" w:ascii="宋体" w:hAnsi="宋体" w:eastAsia="宋体" w:cs="宋体"/>
          <w:color w:val="auto"/>
          <w:shd w:val="clear" w:color="auto" w:fill="FFFFFF" w:themeFill="background1"/>
        </w:rPr>
        <w:t>应制定本项目详细的施工进度报给</w:t>
      </w:r>
      <w:r>
        <w:rPr>
          <w:rFonts w:hint="eastAsia" w:ascii="宋体" w:hAnsi="宋体" w:cs="宋体"/>
          <w:color w:val="auto"/>
          <w:shd w:val="clear" w:color="auto" w:fill="FFFFFF" w:themeFill="background1"/>
          <w:lang w:eastAsia="zh-CN"/>
        </w:rPr>
        <w:t>招标人</w:t>
      </w:r>
      <w:r>
        <w:rPr>
          <w:rFonts w:hint="eastAsia" w:ascii="宋体" w:hAnsi="宋体" w:eastAsia="宋体" w:cs="宋体"/>
          <w:color w:val="auto"/>
          <w:shd w:val="clear" w:color="auto" w:fill="FFFFFF" w:themeFill="background1"/>
        </w:rPr>
        <w:t>，以便共同监督执行；</w:t>
      </w:r>
      <w:r>
        <w:rPr>
          <w:rFonts w:hint="eastAsia" w:ascii="宋体" w:hAnsi="宋体" w:cs="宋体"/>
          <w:color w:val="auto"/>
          <w:shd w:val="clear" w:color="auto" w:fill="FFFFFF" w:themeFill="background1"/>
          <w:lang w:eastAsia="zh-CN"/>
        </w:rPr>
        <w:t>投标人</w:t>
      </w:r>
      <w:r>
        <w:rPr>
          <w:rFonts w:hint="eastAsia" w:ascii="宋体" w:hAnsi="宋体" w:eastAsia="宋体" w:cs="宋体"/>
          <w:color w:val="auto"/>
          <w:shd w:val="clear" w:color="auto" w:fill="FFFFFF" w:themeFill="background1"/>
        </w:rPr>
        <w:t>及时报告工程进度和需要协调解决的问题。</w:t>
      </w:r>
    </w:p>
    <w:p w14:paraId="2D05C16B">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3.3  </w:t>
      </w:r>
      <w:r>
        <w:rPr>
          <w:rFonts w:hint="eastAsia" w:ascii="宋体" w:hAnsi="宋体" w:cs="宋体"/>
          <w:color w:val="auto"/>
          <w:lang w:eastAsia="zh-CN"/>
        </w:rPr>
        <w:t>投标人</w:t>
      </w:r>
      <w:r>
        <w:rPr>
          <w:rFonts w:hint="eastAsia" w:ascii="宋体" w:hAnsi="宋体" w:eastAsia="宋体" w:cs="宋体"/>
          <w:color w:val="auto"/>
        </w:rPr>
        <w:t>应抽调精干人员组成项目组，并保证项目组人员的稳定性，项目组主要成员不得随意更换；项目组的组织机构和主要负责人的联系方式，应该报给</w:t>
      </w:r>
      <w:r>
        <w:rPr>
          <w:rFonts w:hint="eastAsia" w:ascii="宋体" w:hAnsi="宋体" w:cs="宋体"/>
          <w:color w:val="auto"/>
          <w:lang w:eastAsia="zh-CN"/>
        </w:rPr>
        <w:t>招标人</w:t>
      </w:r>
      <w:r>
        <w:rPr>
          <w:rFonts w:hint="eastAsia" w:ascii="宋体" w:hAnsi="宋体" w:eastAsia="宋体" w:cs="宋体"/>
          <w:color w:val="auto"/>
        </w:rPr>
        <w:t>。</w:t>
      </w:r>
    </w:p>
    <w:p w14:paraId="73D26E06">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3.4  </w:t>
      </w:r>
      <w:r>
        <w:rPr>
          <w:rFonts w:hint="eastAsia" w:ascii="宋体" w:hAnsi="宋体" w:cs="宋体"/>
          <w:color w:val="auto"/>
          <w:lang w:eastAsia="zh-CN"/>
        </w:rPr>
        <w:t>投标人</w:t>
      </w:r>
      <w:r>
        <w:rPr>
          <w:rFonts w:hint="eastAsia" w:ascii="宋体" w:hAnsi="宋体" w:eastAsia="宋体" w:cs="宋体"/>
          <w:color w:val="auto"/>
        </w:rPr>
        <w:t>项目组负责人和技术人员应具有组织同类工程项目的经验以及相关的技术职称证明；施工人员应具有特种工（电工，焊工等）的从业资格证，杜绝无证上岗，并接受</w:t>
      </w:r>
      <w:r>
        <w:rPr>
          <w:rFonts w:hint="eastAsia" w:ascii="宋体" w:hAnsi="宋体" w:cs="宋体"/>
          <w:color w:val="auto"/>
          <w:lang w:eastAsia="zh-CN"/>
        </w:rPr>
        <w:t>招标人</w:t>
      </w:r>
      <w:r>
        <w:rPr>
          <w:rFonts w:hint="eastAsia" w:ascii="宋体" w:hAnsi="宋体" w:eastAsia="宋体" w:cs="宋体"/>
          <w:color w:val="auto"/>
        </w:rPr>
        <w:t>的管理。</w:t>
      </w:r>
    </w:p>
    <w:p w14:paraId="7FEE513B">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3.5  </w:t>
      </w:r>
      <w:r>
        <w:rPr>
          <w:rFonts w:hint="eastAsia" w:ascii="宋体" w:hAnsi="宋体" w:cs="宋体"/>
          <w:color w:val="auto"/>
          <w:lang w:eastAsia="zh-CN"/>
        </w:rPr>
        <w:t>投标人</w:t>
      </w:r>
      <w:r>
        <w:rPr>
          <w:rFonts w:hint="eastAsia" w:ascii="宋体" w:hAnsi="宋体" w:eastAsia="宋体" w:cs="宋体"/>
          <w:color w:val="auto"/>
        </w:rPr>
        <w:t>必须坚持文明施工，安全施工并重。</w:t>
      </w:r>
    </w:p>
    <w:p w14:paraId="3F22DF4F">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3.6  </w:t>
      </w:r>
      <w:r>
        <w:rPr>
          <w:rFonts w:hint="eastAsia" w:ascii="宋体" w:hAnsi="宋体" w:cs="宋体"/>
          <w:color w:val="auto"/>
          <w:lang w:eastAsia="zh-CN"/>
        </w:rPr>
        <w:t>投标人</w:t>
      </w:r>
      <w:r>
        <w:rPr>
          <w:rFonts w:hint="eastAsia" w:ascii="宋体" w:hAnsi="宋体" w:eastAsia="宋体" w:cs="宋体"/>
          <w:color w:val="auto"/>
        </w:rPr>
        <w:t>物资进入现场后，要妥善保管，在设备最</w:t>
      </w:r>
      <w:r>
        <w:rPr>
          <w:rFonts w:hint="eastAsia" w:ascii="宋体" w:hAnsi="宋体" w:cs="宋体"/>
          <w:color w:val="auto"/>
          <w:lang w:eastAsia="zh-CN"/>
        </w:rPr>
        <w:t>调试验收</w:t>
      </w:r>
      <w:r>
        <w:rPr>
          <w:rFonts w:hint="eastAsia" w:ascii="宋体" w:hAnsi="宋体" w:eastAsia="宋体" w:cs="宋体"/>
          <w:color w:val="auto"/>
        </w:rPr>
        <w:t>前发生的物资丢失或损坏，</w:t>
      </w:r>
      <w:r>
        <w:rPr>
          <w:rFonts w:hint="eastAsia" w:ascii="宋体" w:hAnsi="宋体" w:cs="宋体"/>
          <w:color w:val="auto"/>
          <w:lang w:eastAsia="zh-CN"/>
        </w:rPr>
        <w:t>招标人</w:t>
      </w:r>
      <w:r>
        <w:rPr>
          <w:rFonts w:hint="eastAsia" w:ascii="宋体" w:hAnsi="宋体" w:eastAsia="宋体" w:cs="宋体"/>
          <w:color w:val="auto"/>
        </w:rPr>
        <w:t>不承担责任。</w:t>
      </w:r>
    </w:p>
    <w:p w14:paraId="7EC302C9">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3.7  为了缩短工期，要求尽量在</w:t>
      </w:r>
      <w:r>
        <w:rPr>
          <w:rFonts w:hint="eastAsia" w:ascii="宋体" w:hAnsi="宋体" w:cs="宋体"/>
          <w:color w:val="auto"/>
          <w:lang w:eastAsia="zh-CN"/>
        </w:rPr>
        <w:t>投标人</w:t>
      </w:r>
      <w:r>
        <w:rPr>
          <w:rFonts w:hint="eastAsia" w:ascii="宋体" w:hAnsi="宋体" w:eastAsia="宋体" w:cs="宋体"/>
          <w:color w:val="auto"/>
        </w:rPr>
        <w:t>工厂完成设备预装；为避免与其他单位过多的交叉作业，采取分片，分层流水施工，从而保证工期。</w:t>
      </w:r>
    </w:p>
    <w:p w14:paraId="624E4D2F">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3.8  </w:t>
      </w:r>
      <w:r>
        <w:rPr>
          <w:rFonts w:hint="eastAsia" w:ascii="宋体" w:hAnsi="宋体" w:cs="宋体"/>
          <w:color w:val="auto"/>
          <w:lang w:eastAsia="zh-CN"/>
        </w:rPr>
        <w:t>投标人</w:t>
      </w:r>
      <w:r>
        <w:rPr>
          <w:rFonts w:hint="eastAsia" w:ascii="宋体" w:hAnsi="宋体" w:eastAsia="宋体" w:cs="宋体"/>
          <w:color w:val="auto"/>
        </w:rPr>
        <w:t>在现场施工的过程中，需对电柜进行相应的防护处理，做到防尘防水。</w:t>
      </w:r>
    </w:p>
    <w:p w14:paraId="478962FD">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3.9  所有</w:t>
      </w:r>
      <w:r>
        <w:rPr>
          <w:rFonts w:hint="eastAsia" w:ascii="宋体" w:hAnsi="宋体" w:cs="宋体"/>
          <w:color w:val="auto"/>
          <w:lang w:eastAsia="zh-CN"/>
        </w:rPr>
        <w:t>投标人</w:t>
      </w:r>
      <w:r>
        <w:rPr>
          <w:rFonts w:hint="eastAsia" w:ascii="宋体" w:hAnsi="宋体" w:eastAsia="宋体" w:cs="宋体"/>
          <w:color w:val="auto"/>
        </w:rPr>
        <w:t>所供外购件的招标过程</w:t>
      </w:r>
      <w:r>
        <w:rPr>
          <w:rFonts w:hint="eastAsia" w:ascii="宋体" w:hAnsi="宋体" w:cs="宋体"/>
          <w:color w:val="auto"/>
          <w:lang w:eastAsia="zh-CN"/>
        </w:rPr>
        <w:t>招标人</w:t>
      </w:r>
      <w:r>
        <w:rPr>
          <w:rFonts w:hint="eastAsia" w:ascii="宋体" w:hAnsi="宋体" w:eastAsia="宋体" w:cs="宋体"/>
          <w:color w:val="auto"/>
        </w:rPr>
        <w:t>将派人跟踪，并提供技术指导，</w:t>
      </w:r>
      <w:r>
        <w:rPr>
          <w:rFonts w:hint="eastAsia" w:ascii="宋体" w:hAnsi="宋体" w:cs="宋体"/>
          <w:color w:val="auto"/>
          <w:lang w:eastAsia="zh-CN"/>
        </w:rPr>
        <w:t>投标人</w:t>
      </w:r>
      <w:r>
        <w:rPr>
          <w:rFonts w:hint="eastAsia" w:ascii="宋体" w:hAnsi="宋体" w:eastAsia="宋体" w:cs="宋体"/>
          <w:color w:val="auto"/>
        </w:rPr>
        <w:t>应采纳</w:t>
      </w:r>
      <w:r>
        <w:rPr>
          <w:rFonts w:hint="eastAsia" w:ascii="宋体" w:hAnsi="宋体" w:cs="宋体"/>
          <w:color w:val="auto"/>
          <w:lang w:eastAsia="zh-CN"/>
        </w:rPr>
        <w:t>招标人</w:t>
      </w:r>
      <w:r>
        <w:rPr>
          <w:rFonts w:hint="eastAsia" w:ascii="宋体" w:hAnsi="宋体" w:eastAsia="宋体" w:cs="宋体"/>
          <w:color w:val="auto"/>
        </w:rPr>
        <w:t>合理要求。</w:t>
      </w:r>
    </w:p>
    <w:p w14:paraId="2E9D0022">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3.10 </w:t>
      </w:r>
      <w:r>
        <w:rPr>
          <w:rFonts w:hint="eastAsia" w:ascii="宋体" w:hAnsi="宋体" w:cs="宋体"/>
          <w:color w:val="auto"/>
          <w:lang w:eastAsia="zh-CN"/>
        </w:rPr>
        <w:t>投标人</w:t>
      </w:r>
      <w:r>
        <w:rPr>
          <w:rFonts w:hint="eastAsia" w:ascii="宋体" w:hAnsi="宋体" w:eastAsia="宋体" w:cs="宋体"/>
          <w:color w:val="auto"/>
        </w:rPr>
        <w:t>应保证所购材料、设备与元器件的质量，</w:t>
      </w:r>
      <w:r>
        <w:rPr>
          <w:rFonts w:hint="eastAsia" w:ascii="宋体" w:hAnsi="宋体" w:cs="宋体"/>
          <w:color w:val="auto"/>
          <w:lang w:eastAsia="zh-CN"/>
        </w:rPr>
        <w:t>招标人</w:t>
      </w:r>
      <w:r>
        <w:rPr>
          <w:rFonts w:hint="eastAsia" w:ascii="宋体" w:hAnsi="宋体" w:eastAsia="宋体" w:cs="宋体"/>
          <w:color w:val="auto"/>
        </w:rPr>
        <w:t>有权对</w:t>
      </w:r>
      <w:r>
        <w:rPr>
          <w:rFonts w:hint="eastAsia" w:ascii="宋体" w:hAnsi="宋体" w:cs="宋体"/>
          <w:color w:val="auto"/>
          <w:lang w:eastAsia="zh-CN"/>
        </w:rPr>
        <w:t>投标人</w:t>
      </w:r>
      <w:r>
        <w:rPr>
          <w:rFonts w:hint="eastAsia" w:ascii="宋体" w:hAnsi="宋体" w:eastAsia="宋体" w:cs="宋体"/>
          <w:color w:val="auto"/>
        </w:rPr>
        <w:t>所购材料、设备及元器件的质量进行检查，发现质量问题，</w:t>
      </w:r>
      <w:r>
        <w:rPr>
          <w:rFonts w:hint="eastAsia" w:ascii="宋体" w:hAnsi="宋体" w:cs="宋体"/>
          <w:color w:val="auto"/>
          <w:lang w:eastAsia="zh-CN"/>
        </w:rPr>
        <w:t>招标人</w:t>
      </w:r>
      <w:r>
        <w:rPr>
          <w:rFonts w:hint="eastAsia" w:ascii="宋体" w:hAnsi="宋体" w:eastAsia="宋体" w:cs="宋体"/>
          <w:color w:val="auto"/>
        </w:rPr>
        <w:t>拒绝使用，由此造成的损失由</w:t>
      </w:r>
      <w:r>
        <w:rPr>
          <w:rFonts w:hint="eastAsia" w:ascii="宋体" w:hAnsi="宋体" w:cs="宋体"/>
          <w:color w:val="auto"/>
          <w:lang w:eastAsia="zh-CN"/>
        </w:rPr>
        <w:t>投标人</w:t>
      </w:r>
      <w:r>
        <w:rPr>
          <w:rFonts w:hint="eastAsia" w:ascii="宋体" w:hAnsi="宋体" w:eastAsia="宋体" w:cs="宋体"/>
          <w:color w:val="auto"/>
        </w:rPr>
        <w:t>负责。</w:t>
      </w:r>
    </w:p>
    <w:p w14:paraId="09240FFF">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3.11 所有</w:t>
      </w:r>
      <w:r>
        <w:rPr>
          <w:rFonts w:hint="eastAsia" w:ascii="宋体" w:hAnsi="宋体" w:cs="宋体"/>
          <w:color w:val="auto"/>
          <w:lang w:eastAsia="zh-CN"/>
        </w:rPr>
        <w:t>投标人</w:t>
      </w:r>
      <w:r>
        <w:rPr>
          <w:rFonts w:hint="eastAsia" w:ascii="宋体" w:hAnsi="宋体" w:eastAsia="宋体" w:cs="宋体"/>
          <w:color w:val="auto"/>
        </w:rPr>
        <w:t>外购件中必须有内容齐全的设备铭牌，设备使用维护说明书，产品质量合格证等技术资料及相关清单（若产品为国外生产，要求提供中英文对照），在设备预验收时交与</w:t>
      </w:r>
      <w:r>
        <w:rPr>
          <w:rFonts w:hint="eastAsia" w:ascii="宋体" w:hAnsi="宋体" w:cs="宋体"/>
          <w:color w:val="auto"/>
          <w:lang w:eastAsia="zh-CN"/>
        </w:rPr>
        <w:t>招标人</w:t>
      </w:r>
      <w:r>
        <w:rPr>
          <w:rFonts w:hint="eastAsia" w:ascii="宋体" w:hAnsi="宋体" w:eastAsia="宋体" w:cs="宋体"/>
          <w:color w:val="auto"/>
        </w:rPr>
        <w:t>。</w:t>
      </w:r>
    </w:p>
    <w:p w14:paraId="38E8AEB8">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3.12 所有材料中不得含有机硅酮等成份。</w:t>
      </w:r>
    </w:p>
    <w:p w14:paraId="603B06B7">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3.13 在质量保证期外，</w:t>
      </w:r>
      <w:r>
        <w:rPr>
          <w:rFonts w:hint="eastAsia" w:ascii="宋体" w:hAnsi="宋体" w:cs="宋体"/>
          <w:color w:val="auto"/>
          <w:lang w:eastAsia="zh-CN"/>
        </w:rPr>
        <w:t>投标人</w:t>
      </w:r>
      <w:r>
        <w:rPr>
          <w:rFonts w:hint="eastAsia" w:ascii="宋体" w:hAnsi="宋体" w:eastAsia="宋体" w:cs="宋体"/>
          <w:color w:val="auto"/>
        </w:rPr>
        <w:t>负责标的设备的终身维修，</w:t>
      </w:r>
      <w:r>
        <w:rPr>
          <w:rFonts w:hint="eastAsia" w:ascii="宋体" w:hAnsi="宋体" w:cs="宋体"/>
          <w:color w:val="auto"/>
          <w:lang w:eastAsia="zh-CN"/>
        </w:rPr>
        <w:t>招标人</w:t>
      </w:r>
      <w:r>
        <w:rPr>
          <w:rFonts w:hint="eastAsia" w:ascii="宋体" w:hAnsi="宋体" w:eastAsia="宋体" w:cs="宋体"/>
          <w:color w:val="auto"/>
        </w:rPr>
        <w:t>负责根据维修情况支付更换零件的费用。</w:t>
      </w:r>
    </w:p>
    <w:p w14:paraId="70986DEA">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 xml:space="preserve">3.14 </w:t>
      </w:r>
      <w:r>
        <w:rPr>
          <w:rFonts w:hint="eastAsia" w:ascii="宋体" w:hAnsi="宋体" w:cs="宋体"/>
          <w:color w:val="auto"/>
          <w:lang w:eastAsia="zh-CN"/>
        </w:rPr>
        <w:t>投标人</w:t>
      </w:r>
      <w:r>
        <w:rPr>
          <w:rFonts w:hint="eastAsia" w:ascii="宋体" w:hAnsi="宋体" w:eastAsia="宋体" w:cs="宋体"/>
          <w:color w:val="auto"/>
        </w:rPr>
        <w:t>原则上应按照</w:t>
      </w:r>
      <w:r>
        <w:rPr>
          <w:rFonts w:hint="eastAsia" w:ascii="宋体" w:hAnsi="宋体" w:cs="宋体"/>
          <w:color w:val="auto"/>
          <w:lang w:eastAsia="zh-CN"/>
        </w:rPr>
        <w:t>招标人</w:t>
      </w:r>
      <w:r>
        <w:rPr>
          <w:rFonts w:hint="eastAsia" w:ascii="宋体" w:hAnsi="宋体" w:eastAsia="宋体" w:cs="宋体"/>
          <w:color w:val="auto"/>
        </w:rPr>
        <w:t>提供的外购件品牌（见附件）进行采购，标书中未指定的部分</w:t>
      </w:r>
      <w:r>
        <w:rPr>
          <w:rFonts w:hint="eastAsia" w:ascii="宋体" w:hAnsi="宋体" w:cs="宋体"/>
          <w:color w:val="auto"/>
          <w:lang w:eastAsia="zh-CN"/>
        </w:rPr>
        <w:t>投标人</w:t>
      </w:r>
      <w:r>
        <w:rPr>
          <w:rFonts w:hint="eastAsia" w:ascii="宋体" w:hAnsi="宋体" w:eastAsia="宋体" w:cs="宋体"/>
          <w:color w:val="auto"/>
        </w:rPr>
        <w:t>在采购时需征求</w:t>
      </w:r>
      <w:r>
        <w:rPr>
          <w:rFonts w:hint="eastAsia" w:ascii="宋体" w:hAnsi="宋体" w:cs="宋体"/>
          <w:color w:val="auto"/>
          <w:lang w:eastAsia="zh-CN"/>
        </w:rPr>
        <w:t>招标人</w:t>
      </w:r>
      <w:r>
        <w:rPr>
          <w:rFonts w:hint="eastAsia" w:ascii="宋体" w:hAnsi="宋体" w:eastAsia="宋体" w:cs="宋体"/>
          <w:color w:val="auto"/>
        </w:rPr>
        <w:t>意见，待</w:t>
      </w:r>
      <w:r>
        <w:rPr>
          <w:rFonts w:hint="eastAsia" w:ascii="宋体" w:hAnsi="宋体" w:cs="宋体"/>
          <w:color w:val="auto"/>
          <w:lang w:eastAsia="zh-CN"/>
        </w:rPr>
        <w:t>招标人</w:t>
      </w:r>
      <w:r>
        <w:rPr>
          <w:rFonts w:hint="eastAsia" w:ascii="宋体" w:hAnsi="宋体" w:eastAsia="宋体" w:cs="宋体"/>
          <w:color w:val="auto"/>
        </w:rPr>
        <w:t>同意认可后方可采购。</w:t>
      </w:r>
    </w:p>
    <w:p w14:paraId="44D2437A">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3.15 电气施工应该严格执行下列相关国家标准：</w:t>
      </w:r>
    </w:p>
    <w:p w14:paraId="2991084D">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rPr>
          <w:rFonts w:hint="eastAsia" w:ascii="宋体" w:hAnsi="宋体" w:eastAsia="宋体" w:cs="宋体"/>
        </w:rPr>
      </w:pPr>
      <w:r>
        <w:rPr>
          <w:rFonts w:hint="eastAsia" w:ascii="宋体" w:hAnsi="宋体" w:eastAsia="宋体" w:cs="宋体"/>
        </w:rPr>
        <w:t>GB IEC、CCC、IEEE标准认证;</w:t>
      </w:r>
    </w:p>
    <w:p w14:paraId="1353AE41">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5226.1-2002 《机械安全口 机械电气设备 第1部分：通用技术条件》;</w:t>
      </w:r>
    </w:p>
    <w:p w14:paraId="00C61485">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50254-96 《电气装置安装工程低压电器施工验收规范》;</w:t>
      </w:r>
    </w:p>
    <w:p w14:paraId="4CEC3CE4">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50255-96 《电气装置安装工程电力变流设备施工及验收规范》;</w:t>
      </w:r>
    </w:p>
    <w:p w14:paraId="55D86CEF">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50257-2014 《电气装置安装工程爆炸和火灾区危险环境电气装置施工及验收规范》;</w:t>
      </w:r>
    </w:p>
    <w:p w14:paraId="336B5A12">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50303-2002 《建筑电气工程施工质量验收规范》;</w:t>
      </w:r>
    </w:p>
    <w:p w14:paraId="47034496">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50093-2002 《自动化仪表工程施工及验收规范》;</w:t>
      </w:r>
    </w:p>
    <w:p w14:paraId="2D7E0FEA">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50054-95 《低压配电设计规范》;</w:t>
      </w:r>
    </w:p>
    <w:p w14:paraId="4E3232FF">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JBJ 6-96 《机械工厂电力设计规范》;</w:t>
      </w:r>
    </w:p>
    <w:p w14:paraId="62064B65">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 5017.21-92 《电气装置安装工程盘、柜及二次回路接线施工及验收规范》;</w:t>
      </w:r>
    </w:p>
    <w:p w14:paraId="3A3EFFF8">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GB50312-2007《综合布线工程验收规范》;</w:t>
      </w:r>
    </w:p>
    <w:p w14:paraId="40AD4118">
      <w:pPr>
        <w:pStyle w:val="17"/>
        <w:pageBreakBefore w:val="0"/>
        <w:widowControl/>
        <w:numPr>
          <w:ilvl w:val="0"/>
          <w:numId w:val="436"/>
        </w:numPr>
        <w:kinsoku/>
        <w:wordWrap/>
        <w:topLinePunct w:val="0"/>
        <w:bidi w:val="0"/>
        <w:adjustRightInd w:val="0"/>
        <w:snapToGrid w:val="0"/>
        <w:spacing w:before="0" w:after="0" w:afterAutospacing="0" w:line="360" w:lineRule="auto"/>
        <w:ind w:left="0" w:leftChars="0" w:firstLine="0" w:firstLineChars="0"/>
        <w:jc w:val="left"/>
        <w:rPr>
          <w:rFonts w:hint="eastAsia" w:ascii="宋体" w:hAnsi="宋体" w:eastAsia="宋体" w:cs="宋体"/>
        </w:rPr>
      </w:pPr>
      <w:r>
        <w:rPr>
          <w:rFonts w:hint="eastAsia" w:ascii="宋体" w:hAnsi="宋体" w:eastAsia="宋体" w:cs="宋体"/>
        </w:rPr>
        <w:t>GB5017.24-2008《电子信息系统机房设计规范》。</w:t>
      </w:r>
    </w:p>
    <w:p w14:paraId="4B44A17D">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3.16 涂装车间生产线要满足一个多种类产品的柔性生产要求，满负荷生产设备开动率要求在92%以上，一次交检合格率在92%以上。</w:t>
      </w:r>
    </w:p>
    <w:p w14:paraId="2AE0579D">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3.17 要求生产线采用国内外先进的涂装技术、合理结构及配套设备及部件、优质材料等，便于生产组织、质量管理、操作及维修。</w:t>
      </w:r>
    </w:p>
    <w:p w14:paraId="2E1E36CC">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3.18 设计原则以</w:t>
      </w:r>
      <w:r>
        <w:rPr>
          <w:rFonts w:hint="eastAsia" w:ascii="宋体" w:hAnsi="宋体" w:cs="宋体"/>
          <w:color w:val="auto"/>
          <w:lang w:eastAsia="zh-CN"/>
        </w:rPr>
        <w:t>招标人</w:t>
      </w:r>
      <w:r>
        <w:rPr>
          <w:rFonts w:hint="eastAsia" w:ascii="宋体" w:hAnsi="宋体" w:eastAsia="宋体" w:cs="宋体"/>
          <w:color w:val="auto"/>
        </w:rPr>
        <w:t>提供的技术要求为基准，若遇与</w:t>
      </w:r>
      <w:r>
        <w:rPr>
          <w:rFonts w:hint="eastAsia" w:ascii="宋体" w:hAnsi="宋体" w:cs="宋体"/>
          <w:color w:val="auto"/>
          <w:lang w:eastAsia="zh-CN"/>
        </w:rPr>
        <w:t>招标人</w:t>
      </w:r>
      <w:r>
        <w:rPr>
          <w:rFonts w:hint="eastAsia" w:ascii="宋体" w:hAnsi="宋体" w:eastAsia="宋体" w:cs="宋体"/>
          <w:color w:val="auto"/>
        </w:rPr>
        <w:t>提出的技术要求不一致时须征得</w:t>
      </w:r>
      <w:r>
        <w:rPr>
          <w:rFonts w:hint="eastAsia" w:ascii="宋体" w:hAnsi="宋体" w:cs="宋体"/>
          <w:color w:val="auto"/>
          <w:lang w:eastAsia="zh-CN"/>
        </w:rPr>
        <w:t>招标人</w:t>
      </w:r>
      <w:r>
        <w:rPr>
          <w:rFonts w:hint="eastAsia" w:ascii="宋体" w:hAnsi="宋体" w:eastAsia="宋体" w:cs="宋体"/>
          <w:color w:val="auto"/>
        </w:rPr>
        <w:t>意见，经双方同意后并以书面形式确认。</w:t>
      </w:r>
      <w:r>
        <w:rPr>
          <w:rFonts w:hint="eastAsia" w:ascii="宋体" w:hAnsi="宋体" w:cs="宋体"/>
          <w:color w:val="auto"/>
          <w:lang w:eastAsia="zh-CN"/>
        </w:rPr>
        <w:t>投标人</w:t>
      </w:r>
      <w:r>
        <w:rPr>
          <w:rFonts w:hint="eastAsia" w:ascii="宋体" w:hAnsi="宋体" w:eastAsia="宋体" w:cs="宋体"/>
          <w:color w:val="auto"/>
        </w:rPr>
        <w:t>在施工设计中必须采用最新、最先进、安全可靠的涂装技术，否则</w:t>
      </w:r>
      <w:r>
        <w:rPr>
          <w:rFonts w:hint="eastAsia" w:ascii="宋体" w:hAnsi="宋体" w:cs="宋体"/>
          <w:color w:val="auto"/>
          <w:lang w:eastAsia="zh-CN"/>
        </w:rPr>
        <w:t>招标人</w:t>
      </w:r>
      <w:r>
        <w:rPr>
          <w:rFonts w:hint="eastAsia" w:ascii="宋体" w:hAnsi="宋体" w:eastAsia="宋体" w:cs="宋体"/>
          <w:color w:val="auto"/>
        </w:rPr>
        <w:t>不予会签。</w:t>
      </w:r>
    </w:p>
    <w:p w14:paraId="2F49B22A">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3.19 设备制造完成，并经过</w:t>
      </w:r>
      <w:r>
        <w:rPr>
          <w:rFonts w:hint="eastAsia" w:ascii="宋体" w:hAnsi="宋体" w:cs="宋体"/>
          <w:color w:val="auto"/>
          <w:lang w:eastAsia="zh-CN"/>
        </w:rPr>
        <w:t>招标人</w:t>
      </w:r>
      <w:r>
        <w:rPr>
          <w:rFonts w:hint="eastAsia" w:ascii="宋体" w:hAnsi="宋体" w:eastAsia="宋体" w:cs="宋体"/>
          <w:color w:val="auto"/>
        </w:rPr>
        <w:t>初步验收合格后，方可进行包装。由于本项目涉及到的主要设备是电控柜和电器元件，所以要求包装须能够满足防尘防水的要求，电柜内部必须放置干燥剂，然后用塑料布进行密封防尘，最后用木材进行封装。包装工作应该由专业的包装公司负责完成，包装箱须有足够的强度，满足现场吊装和道路运输要求。包装箱表面用显著地字体标明设备名称，重量，等信息。</w:t>
      </w:r>
    </w:p>
    <w:p w14:paraId="286B379D">
      <w:pPr>
        <w:pStyle w:val="210"/>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3.20 在施工设计过程中或在施工图中未能达到招标文件要求，</w:t>
      </w:r>
      <w:r>
        <w:rPr>
          <w:rFonts w:hint="eastAsia" w:ascii="宋体" w:hAnsi="宋体" w:cs="宋体"/>
          <w:color w:val="auto"/>
          <w:lang w:eastAsia="zh-CN"/>
        </w:rPr>
        <w:t>招标人</w:t>
      </w:r>
      <w:r>
        <w:rPr>
          <w:rFonts w:hint="eastAsia" w:ascii="宋体" w:hAnsi="宋体" w:eastAsia="宋体" w:cs="宋体"/>
          <w:color w:val="auto"/>
        </w:rPr>
        <w:t>提出调整或更改，</w:t>
      </w:r>
      <w:r>
        <w:rPr>
          <w:rFonts w:hint="eastAsia" w:ascii="宋体" w:hAnsi="宋体" w:cs="宋体"/>
          <w:color w:val="auto"/>
          <w:lang w:eastAsia="zh-CN"/>
        </w:rPr>
        <w:t>投标人</w:t>
      </w:r>
      <w:r>
        <w:rPr>
          <w:rFonts w:hint="eastAsia" w:ascii="宋体" w:hAnsi="宋体" w:eastAsia="宋体" w:cs="宋体"/>
          <w:color w:val="auto"/>
        </w:rPr>
        <w:t>应按</w:t>
      </w:r>
      <w:r>
        <w:rPr>
          <w:rFonts w:hint="eastAsia" w:ascii="宋体" w:hAnsi="宋体" w:cs="宋体"/>
          <w:color w:val="auto"/>
          <w:lang w:eastAsia="zh-CN"/>
        </w:rPr>
        <w:t>招标人</w:t>
      </w:r>
      <w:r>
        <w:rPr>
          <w:rFonts w:hint="eastAsia" w:ascii="宋体" w:hAnsi="宋体" w:eastAsia="宋体" w:cs="宋体"/>
          <w:color w:val="auto"/>
        </w:rPr>
        <w:t>要求执行并按期完成，更改通知单须经双方技术主管签字有效，若发生费用均已包含在该项目的合同价中。</w:t>
      </w:r>
    </w:p>
    <w:p w14:paraId="6AA3E1CF">
      <w:pPr>
        <w:pStyle w:val="210"/>
        <w:pageBreakBefore w:val="0"/>
        <w:numPr>
          <w:ilvl w:val="0"/>
          <w:numId w:val="4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所有设计总图及主要部件图、流程图、电气原理图、电气平面布置图等须经</w:t>
      </w:r>
      <w:r>
        <w:rPr>
          <w:rFonts w:hint="eastAsia" w:ascii="宋体" w:hAnsi="宋体" w:cs="宋体"/>
          <w:color w:val="auto"/>
          <w:lang w:eastAsia="zh-CN"/>
        </w:rPr>
        <w:t>招标人</w:t>
      </w:r>
      <w:r>
        <w:rPr>
          <w:rFonts w:hint="eastAsia" w:ascii="宋体" w:hAnsi="宋体" w:eastAsia="宋体" w:cs="宋体"/>
          <w:color w:val="auto"/>
        </w:rPr>
        <w:t>会签,未经</w:t>
      </w:r>
      <w:r>
        <w:rPr>
          <w:rFonts w:hint="eastAsia" w:ascii="宋体" w:hAnsi="宋体" w:cs="宋体"/>
          <w:color w:val="auto"/>
          <w:lang w:eastAsia="zh-CN"/>
        </w:rPr>
        <w:t>招标人</w:t>
      </w:r>
      <w:r>
        <w:rPr>
          <w:rFonts w:hint="eastAsia" w:ascii="宋体" w:hAnsi="宋体" w:eastAsia="宋体" w:cs="宋体"/>
          <w:color w:val="auto"/>
        </w:rPr>
        <w:t>会签的总图及主要部件图不允许用作施工图纸。</w:t>
      </w:r>
    </w:p>
    <w:p w14:paraId="037932FC">
      <w:pPr>
        <w:pStyle w:val="210"/>
        <w:pageBreakBefore w:val="0"/>
        <w:numPr>
          <w:ilvl w:val="0"/>
          <w:numId w:val="4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涂装涂装线设备设计及施工要符合有关涂装行业、安全、防火、环保、卫生、法律法规的要求。</w:t>
      </w:r>
    </w:p>
    <w:p w14:paraId="1D8EA07C">
      <w:pPr>
        <w:pStyle w:val="210"/>
        <w:pageBreakBefore w:val="0"/>
        <w:numPr>
          <w:ilvl w:val="0"/>
          <w:numId w:val="4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设备制造用国产金属材料中，采用国家定点大、中型企业优质产品。不锈钢全部采用316L或不锈钢304不锈钢。</w:t>
      </w:r>
    </w:p>
    <w:p w14:paraId="6297AF7D">
      <w:pPr>
        <w:pStyle w:val="210"/>
        <w:pageBreakBefore w:val="0"/>
        <w:numPr>
          <w:ilvl w:val="0"/>
          <w:numId w:val="4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设备制造用非金属材料中，如喷漆室、底板防护喷涂室、打磨室等采用夹胶玻璃，其所有密封用橡胶条及密封胶等不含硅酮，要耐有机溶剂。空气过滤材料不得掉纤维起尘、落尘。其它非金属材料中均不得含硅酮。</w:t>
      </w:r>
    </w:p>
    <w:p w14:paraId="6E1A35F6">
      <w:pPr>
        <w:pStyle w:val="210"/>
        <w:pageBreakBefore w:val="0"/>
        <w:numPr>
          <w:ilvl w:val="0"/>
          <w:numId w:val="437"/>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考虑正常生产照明，还须考虑设备维修照明要求（分段控制开关）、以及保洁照明的需求（分线控制开关--即一片区域中可以仅开关部分照明）。</w:t>
      </w:r>
    </w:p>
    <w:p w14:paraId="04A2C386">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购买外购件中所有与酸性液体接触的不锈钢设备或部件材质为316L不锈钢，</w:t>
      </w:r>
      <w:r>
        <w:rPr>
          <w:rFonts w:hint="eastAsia" w:ascii="宋体" w:hAnsi="宋体" w:cs="宋体"/>
          <w:color w:val="auto"/>
          <w:lang w:eastAsia="zh-CN"/>
        </w:rPr>
        <w:t>投标人</w:t>
      </w:r>
      <w:r>
        <w:rPr>
          <w:rFonts w:hint="eastAsia" w:ascii="宋体" w:hAnsi="宋体" w:eastAsia="宋体" w:cs="宋体"/>
          <w:color w:val="auto"/>
        </w:rPr>
        <w:t>必须对自己所购外购件中的材质和制造质量负责。所有外购件中必须有内容齐全的设备铭牌，设备使用维护说明书，产品质量合格证、备件明细表、培训资料等，这些技术资料在设备验收时完整转交</w:t>
      </w:r>
      <w:r>
        <w:rPr>
          <w:rFonts w:hint="eastAsia" w:ascii="宋体" w:hAnsi="宋体" w:cs="宋体"/>
          <w:color w:val="auto"/>
          <w:lang w:eastAsia="zh-CN"/>
        </w:rPr>
        <w:t>招标人</w:t>
      </w:r>
      <w:r>
        <w:rPr>
          <w:rFonts w:hint="eastAsia" w:ascii="宋体" w:hAnsi="宋体" w:eastAsia="宋体" w:cs="宋体"/>
          <w:color w:val="auto"/>
        </w:rPr>
        <w:t>，否则不具备验收条件。</w:t>
      </w:r>
    </w:p>
    <w:p w14:paraId="0A6C1E20">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必须保证所购材料、设备、元器件的质量（包括制造质量、配套件质量和保温材料质量等），</w:t>
      </w:r>
      <w:r>
        <w:rPr>
          <w:rFonts w:hint="eastAsia" w:ascii="宋体" w:hAnsi="宋体" w:cs="宋体"/>
          <w:color w:val="auto"/>
          <w:lang w:eastAsia="zh-CN"/>
        </w:rPr>
        <w:t>招标人</w:t>
      </w:r>
      <w:r>
        <w:rPr>
          <w:rFonts w:hint="eastAsia" w:ascii="宋体" w:hAnsi="宋体" w:eastAsia="宋体" w:cs="宋体"/>
          <w:color w:val="auto"/>
        </w:rPr>
        <w:t>有权进行抽查或全检，发现质量问题</w:t>
      </w:r>
      <w:r>
        <w:rPr>
          <w:rFonts w:hint="eastAsia" w:ascii="宋体" w:hAnsi="宋体" w:cs="宋体"/>
          <w:color w:val="auto"/>
          <w:lang w:eastAsia="zh-CN"/>
        </w:rPr>
        <w:t>招标人</w:t>
      </w:r>
      <w:r>
        <w:rPr>
          <w:rFonts w:hint="eastAsia" w:ascii="宋体" w:hAnsi="宋体" w:eastAsia="宋体" w:cs="宋体"/>
          <w:color w:val="auto"/>
        </w:rPr>
        <w:t>有权拒绝使用，由此造成的损失由</w:t>
      </w:r>
      <w:r>
        <w:rPr>
          <w:rFonts w:hint="eastAsia" w:ascii="宋体" w:hAnsi="宋体" w:cs="宋体"/>
          <w:color w:val="auto"/>
          <w:lang w:eastAsia="zh-CN"/>
        </w:rPr>
        <w:t>投标人</w:t>
      </w:r>
      <w:r>
        <w:rPr>
          <w:rFonts w:hint="eastAsia" w:ascii="宋体" w:hAnsi="宋体" w:eastAsia="宋体" w:cs="宋体"/>
          <w:color w:val="auto"/>
        </w:rPr>
        <w:t>负责。</w:t>
      </w:r>
    </w:p>
    <w:p w14:paraId="08108EBA">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由</w:t>
      </w:r>
      <w:r>
        <w:rPr>
          <w:rFonts w:hint="eastAsia" w:ascii="宋体" w:hAnsi="宋体" w:cs="宋体"/>
          <w:color w:val="auto"/>
          <w:lang w:eastAsia="zh-CN"/>
        </w:rPr>
        <w:t>投标人</w:t>
      </w:r>
      <w:r>
        <w:rPr>
          <w:rFonts w:hint="eastAsia" w:ascii="宋体" w:hAnsi="宋体" w:eastAsia="宋体" w:cs="宋体"/>
          <w:color w:val="auto"/>
        </w:rPr>
        <w:t>施工设计、制造、供货、安装、调试等不能满足</w:t>
      </w:r>
      <w:r>
        <w:rPr>
          <w:rFonts w:hint="eastAsia" w:ascii="宋体" w:hAnsi="宋体" w:cs="宋体"/>
          <w:color w:val="auto"/>
          <w:lang w:eastAsia="zh-CN"/>
        </w:rPr>
        <w:t>招标人</w:t>
      </w:r>
      <w:r>
        <w:rPr>
          <w:rFonts w:hint="eastAsia" w:ascii="宋体" w:hAnsi="宋体" w:eastAsia="宋体" w:cs="宋体"/>
          <w:color w:val="auto"/>
        </w:rPr>
        <w:t>要求而给</w:t>
      </w:r>
      <w:r>
        <w:rPr>
          <w:rFonts w:hint="eastAsia" w:ascii="宋体" w:hAnsi="宋体" w:cs="宋体"/>
          <w:color w:val="auto"/>
          <w:lang w:eastAsia="zh-CN"/>
        </w:rPr>
        <w:t>招标人</w:t>
      </w:r>
      <w:r>
        <w:rPr>
          <w:rFonts w:hint="eastAsia" w:ascii="宋体" w:hAnsi="宋体" w:eastAsia="宋体" w:cs="宋体"/>
          <w:color w:val="auto"/>
        </w:rPr>
        <w:t>造成的损失，全部由</w:t>
      </w:r>
      <w:r>
        <w:rPr>
          <w:rFonts w:hint="eastAsia" w:ascii="宋体" w:hAnsi="宋体" w:cs="宋体"/>
          <w:color w:val="auto"/>
          <w:lang w:eastAsia="zh-CN"/>
        </w:rPr>
        <w:t>投标人</w:t>
      </w:r>
      <w:r>
        <w:rPr>
          <w:rFonts w:hint="eastAsia" w:ascii="宋体" w:hAnsi="宋体" w:eastAsia="宋体" w:cs="宋体"/>
          <w:color w:val="auto"/>
        </w:rPr>
        <w:t>负责。</w:t>
      </w:r>
      <w:r>
        <w:rPr>
          <w:rFonts w:hint="eastAsia" w:ascii="宋体" w:hAnsi="宋体" w:cs="宋体"/>
          <w:color w:val="auto"/>
          <w:lang w:eastAsia="zh-CN"/>
        </w:rPr>
        <w:t>投标人</w:t>
      </w:r>
      <w:r>
        <w:rPr>
          <w:rFonts w:hint="eastAsia" w:ascii="宋体" w:hAnsi="宋体" w:eastAsia="宋体" w:cs="宋体"/>
          <w:color w:val="auto"/>
        </w:rPr>
        <w:t>在设计、制造、安装、调试过程中发现与</w:t>
      </w:r>
      <w:r>
        <w:rPr>
          <w:rFonts w:hint="eastAsia" w:ascii="宋体" w:hAnsi="宋体" w:cs="宋体"/>
          <w:color w:val="auto"/>
          <w:lang w:eastAsia="zh-CN"/>
        </w:rPr>
        <w:t>招标人</w:t>
      </w:r>
      <w:r>
        <w:rPr>
          <w:rFonts w:hint="eastAsia" w:ascii="宋体" w:hAnsi="宋体" w:eastAsia="宋体" w:cs="宋体"/>
          <w:color w:val="auto"/>
        </w:rPr>
        <w:t>要求不符或确实达不到</w:t>
      </w:r>
      <w:r>
        <w:rPr>
          <w:rFonts w:hint="eastAsia" w:ascii="宋体" w:hAnsi="宋体" w:cs="宋体"/>
          <w:color w:val="auto"/>
          <w:lang w:eastAsia="zh-CN"/>
        </w:rPr>
        <w:t>招标人</w:t>
      </w:r>
      <w:r>
        <w:rPr>
          <w:rFonts w:hint="eastAsia" w:ascii="宋体" w:hAnsi="宋体" w:eastAsia="宋体" w:cs="宋体"/>
          <w:color w:val="auto"/>
        </w:rPr>
        <w:t>要求的及其它存在的技术问题，</w:t>
      </w:r>
      <w:r>
        <w:rPr>
          <w:rFonts w:hint="eastAsia" w:ascii="宋体" w:hAnsi="宋体" w:cs="宋体"/>
          <w:color w:val="auto"/>
          <w:lang w:eastAsia="zh-CN"/>
        </w:rPr>
        <w:t>投标人</w:t>
      </w:r>
      <w:r>
        <w:rPr>
          <w:rFonts w:hint="eastAsia" w:ascii="宋体" w:hAnsi="宋体" w:eastAsia="宋体" w:cs="宋体"/>
          <w:color w:val="auto"/>
        </w:rPr>
        <w:t>应以书面形式通知</w:t>
      </w:r>
      <w:r>
        <w:rPr>
          <w:rFonts w:hint="eastAsia" w:ascii="宋体" w:hAnsi="宋体" w:cs="宋体"/>
          <w:color w:val="auto"/>
          <w:lang w:eastAsia="zh-CN"/>
        </w:rPr>
        <w:t>招标人</w:t>
      </w:r>
      <w:r>
        <w:rPr>
          <w:rFonts w:hint="eastAsia" w:ascii="宋体" w:hAnsi="宋体" w:eastAsia="宋体" w:cs="宋体"/>
          <w:color w:val="auto"/>
        </w:rPr>
        <w:t>，及时与</w:t>
      </w:r>
      <w:r>
        <w:rPr>
          <w:rFonts w:hint="eastAsia" w:ascii="宋体" w:hAnsi="宋体" w:cs="宋体"/>
          <w:color w:val="auto"/>
          <w:lang w:eastAsia="zh-CN"/>
        </w:rPr>
        <w:t>招标人</w:t>
      </w:r>
      <w:r>
        <w:rPr>
          <w:rFonts w:hint="eastAsia" w:ascii="宋体" w:hAnsi="宋体" w:eastAsia="宋体" w:cs="宋体"/>
          <w:color w:val="auto"/>
        </w:rPr>
        <w:t>协商，并应尽快予以解决落实。</w:t>
      </w:r>
    </w:p>
    <w:p w14:paraId="1CFB5D8C">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在设备制造安装调试过程中</w:t>
      </w:r>
      <w:r>
        <w:rPr>
          <w:rFonts w:hint="eastAsia" w:ascii="宋体" w:hAnsi="宋体" w:cs="宋体"/>
          <w:color w:val="auto"/>
          <w:lang w:eastAsia="zh-CN"/>
        </w:rPr>
        <w:t>招标人</w:t>
      </w:r>
      <w:r>
        <w:rPr>
          <w:rFonts w:hint="eastAsia" w:ascii="宋体" w:hAnsi="宋体" w:eastAsia="宋体" w:cs="宋体"/>
          <w:color w:val="auto"/>
        </w:rPr>
        <w:t>提出更改，</w:t>
      </w:r>
      <w:r>
        <w:rPr>
          <w:rFonts w:hint="eastAsia" w:ascii="宋体" w:hAnsi="宋体" w:cs="宋体"/>
          <w:color w:val="auto"/>
          <w:lang w:eastAsia="zh-CN"/>
        </w:rPr>
        <w:t>招标人</w:t>
      </w:r>
      <w:r>
        <w:rPr>
          <w:rFonts w:hint="eastAsia" w:ascii="宋体" w:hAnsi="宋体" w:eastAsia="宋体" w:cs="宋体"/>
          <w:color w:val="auto"/>
        </w:rPr>
        <w:t>将以书面形式通知</w:t>
      </w:r>
      <w:r>
        <w:rPr>
          <w:rFonts w:hint="eastAsia" w:ascii="宋体" w:hAnsi="宋体" w:cs="宋体"/>
          <w:color w:val="auto"/>
          <w:lang w:eastAsia="zh-CN"/>
        </w:rPr>
        <w:t>投标人</w:t>
      </w:r>
      <w:r>
        <w:rPr>
          <w:rFonts w:hint="eastAsia" w:ascii="宋体" w:hAnsi="宋体" w:eastAsia="宋体" w:cs="宋体"/>
          <w:color w:val="auto"/>
        </w:rPr>
        <w:t>，发生的增减费用按合同执行，</w:t>
      </w:r>
      <w:r>
        <w:rPr>
          <w:rFonts w:hint="eastAsia" w:ascii="宋体" w:hAnsi="宋体" w:cs="宋体"/>
          <w:color w:val="auto"/>
          <w:lang w:eastAsia="zh-CN"/>
        </w:rPr>
        <w:t>投标人</w:t>
      </w:r>
      <w:r>
        <w:rPr>
          <w:rFonts w:hint="eastAsia" w:ascii="宋体" w:hAnsi="宋体" w:eastAsia="宋体" w:cs="宋体"/>
          <w:color w:val="auto"/>
        </w:rPr>
        <w:t>应及时按</w:t>
      </w:r>
      <w:r>
        <w:rPr>
          <w:rFonts w:hint="eastAsia" w:ascii="宋体" w:hAnsi="宋体" w:cs="宋体"/>
          <w:color w:val="auto"/>
          <w:lang w:eastAsia="zh-CN"/>
        </w:rPr>
        <w:t>招标人</w:t>
      </w:r>
      <w:r>
        <w:rPr>
          <w:rFonts w:hint="eastAsia" w:ascii="宋体" w:hAnsi="宋体" w:eastAsia="宋体" w:cs="宋体"/>
          <w:color w:val="auto"/>
        </w:rPr>
        <w:t>要求执行。双方必须将工程更改核定单妥善保管，以便核查；工程更改核定单必须有双方技术主管签字方为有效。</w:t>
      </w:r>
    </w:p>
    <w:p w14:paraId="6B2AFC3C">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所有软件具备升级功能，如果出现运行故障，在质保期内</w:t>
      </w:r>
      <w:r>
        <w:rPr>
          <w:rFonts w:hint="eastAsia" w:ascii="宋体" w:hAnsi="宋体" w:cs="宋体"/>
          <w:color w:val="auto"/>
          <w:lang w:eastAsia="zh-CN"/>
        </w:rPr>
        <w:t>投标人</w:t>
      </w:r>
      <w:r>
        <w:rPr>
          <w:rFonts w:hint="eastAsia" w:ascii="宋体" w:hAnsi="宋体" w:eastAsia="宋体" w:cs="宋体"/>
          <w:color w:val="auto"/>
        </w:rPr>
        <w:t>负责免费升级。</w:t>
      </w:r>
    </w:p>
    <w:p w14:paraId="2C95E0FA">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在质保期内，在运行过程中出现难以调整修复的质量问题，</w:t>
      </w:r>
      <w:r>
        <w:rPr>
          <w:rFonts w:hint="eastAsia" w:ascii="宋体" w:hAnsi="宋体" w:cs="宋体"/>
          <w:color w:val="auto"/>
          <w:lang w:eastAsia="zh-CN"/>
        </w:rPr>
        <w:t>投标人</w:t>
      </w:r>
      <w:r>
        <w:rPr>
          <w:rFonts w:hint="eastAsia" w:ascii="宋体" w:hAnsi="宋体" w:eastAsia="宋体" w:cs="宋体"/>
          <w:color w:val="auto"/>
        </w:rPr>
        <w:t>应以不影响</w:t>
      </w:r>
      <w:r>
        <w:rPr>
          <w:rFonts w:hint="eastAsia" w:ascii="宋体" w:hAnsi="宋体" w:cs="宋体"/>
          <w:color w:val="auto"/>
          <w:lang w:eastAsia="zh-CN"/>
        </w:rPr>
        <w:t>招标人</w:t>
      </w:r>
      <w:r>
        <w:rPr>
          <w:rFonts w:hint="eastAsia" w:ascii="宋体" w:hAnsi="宋体" w:eastAsia="宋体" w:cs="宋体"/>
          <w:color w:val="auto"/>
        </w:rPr>
        <w:t>生产为原则，及时地免费给予更换零件、部件元件或设备（易耗品除外）。</w:t>
      </w:r>
    </w:p>
    <w:p w14:paraId="741E68B5">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针对合同内容做出详细切实可行的设计、制造、供应、安装、调试网络计划，经</w:t>
      </w:r>
      <w:r>
        <w:rPr>
          <w:rFonts w:hint="eastAsia" w:ascii="宋体" w:hAnsi="宋体" w:cs="宋体"/>
          <w:color w:val="auto"/>
          <w:lang w:eastAsia="zh-CN"/>
        </w:rPr>
        <w:t>招标人</w:t>
      </w:r>
      <w:r>
        <w:rPr>
          <w:rFonts w:hint="eastAsia" w:ascii="宋体" w:hAnsi="宋体" w:eastAsia="宋体" w:cs="宋体"/>
          <w:color w:val="auto"/>
        </w:rPr>
        <w:t>认可后，在双方签定合同前报</w:t>
      </w:r>
      <w:r>
        <w:rPr>
          <w:rFonts w:hint="eastAsia" w:ascii="宋体" w:hAnsi="宋体" w:cs="宋体"/>
          <w:color w:val="auto"/>
          <w:lang w:eastAsia="zh-CN"/>
        </w:rPr>
        <w:t>招标人</w:t>
      </w:r>
      <w:r>
        <w:rPr>
          <w:rFonts w:hint="eastAsia" w:ascii="宋体" w:hAnsi="宋体" w:eastAsia="宋体" w:cs="宋体"/>
          <w:color w:val="auto"/>
        </w:rPr>
        <w:t>备案并作为该项目合同的附件，由</w:t>
      </w:r>
      <w:r>
        <w:rPr>
          <w:rFonts w:hint="eastAsia" w:ascii="宋体" w:hAnsi="宋体" w:cs="宋体"/>
          <w:color w:val="auto"/>
          <w:lang w:eastAsia="zh-CN"/>
        </w:rPr>
        <w:t>投标人</w:t>
      </w:r>
      <w:r>
        <w:rPr>
          <w:rFonts w:hint="eastAsia" w:ascii="宋体" w:hAnsi="宋体" w:eastAsia="宋体" w:cs="宋体"/>
          <w:color w:val="auto"/>
        </w:rPr>
        <w:t>原因造成工期延误按合同中有关条款执行。</w:t>
      </w:r>
    </w:p>
    <w:p w14:paraId="4A1F9714">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各项目管理由</w:t>
      </w:r>
      <w:r>
        <w:rPr>
          <w:rFonts w:hint="eastAsia" w:ascii="宋体" w:hAnsi="宋体" w:cs="宋体"/>
          <w:color w:val="auto"/>
          <w:lang w:eastAsia="zh-CN"/>
        </w:rPr>
        <w:t>投标人</w:t>
      </w:r>
      <w:r>
        <w:rPr>
          <w:rFonts w:hint="eastAsia" w:ascii="宋体" w:hAnsi="宋体" w:eastAsia="宋体" w:cs="宋体"/>
          <w:color w:val="auto"/>
        </w:rPr>
        <w:t>负总责，由</w:t>
      </w:r>
      <w:r>
        <w:rPr>
          <w:rFonts w:hint="eastAsia" w:ascii="宋体" w:hAnsi="宋体" w:cs="宋体"/>
          <w:color w:val="auto"/>
          <w:lang w:eastAsia="zh-CN"/>
        </w:rPr>
        <w:t>投标人</w:t>
      </w:r>
      <w:r>
        <w:rPr>
          <w:rFonts w:hint="eastAsia" w:ascii="宋体" w:hAnsi="宋体" w:eastAsia="宋体" w:cs="宋体"/>
          <w:color w:val="auto"/>
        </w:rPr>
        <w:t>根据详细技术要求推荐施工单位和配套设备生产厂家，由</w:t>
      </w:r>
      <w:r>
        <w:rPr>
          <w:rFonts w:hint="eastAsia" w:ascii="宋体" w:hAnsi="宋体" w:cs="宋体"/>
          <w:color w:val="auto"/>
          <w:lang w:eastAsia="zh-CN"/>
        </w:rPr>
        <w:t>招标人</w:t>
      </w:r>
      <w:r>
        <w:rPr>
          <w:rFonts w:hint="eastAsia" w:ascii="宋体" w:hAnsi="宋体" w:eastAsia="宋体" w:cs="宋体"/>
          <w:color w:val="auto"/>
        </w:rPr>
        <w:t>、</w:t>
      </w:r>
      <w:r>
        <w:rPr>
          <w:rFonts w:hint="eastAsia" w:ascii="宋体" w:hAnsi="宋体" w:cs="宋体"/>
          <w:color w:val="auto"/>
          <w:lang w:eastAsia="zh-CN"/>
        </w:rPr>
        <w:t>投标人</w:t>
      </w:r>
      <w:r>
        <w:rPr>
          <w:rFonts w:hint="eastAsia" w:ascii="宋体" w:hAnsi="宋体" w:eastAsia="宋体" w:cs="宋体"/>
          <w:color w:val="auto"/>
        </w:rPr>
        <w:t>双方考察承制实力后，共同商定侯选厂家，</w:t>
      </w:r>
      <w:r>
        <w:rPr>
          <w:rFonts w:hint="eastAsia" w:ascii="宋体" w:hAnsi="宋体" w:cs="宋体"/>
          <w:color w:val="auto"/>
          <w:lang w:eastAsia="zh-CN"/>
        </w:rPr>
        <w:t>招标人</w:t>
      </w:r>
      <w:r>
        <w:rPr>
          <w:rFonts w:hint="eastAsia" w:ascii="宋体" w:hAnsi="宋体" w:eastAsia="宋体" w:cs="宋体"/>
          <w:color w:val="auto"/>
        </w:rPr>
        <w:t>、</w:t>
      </w:r>
      <w:r>
        <w:rPr>
          <w:rFonts w:hint="eastAsia" w:ascii="宋体" w:hAnsi="宋体" w:cs="宋体"/>
          <w:color w:val="auto"/>
          <w:lang w:eastAsia="zh-CN"/>
        </w:rPr>
        <w:t>投标人</w:t>
      </w:r>
      <w:r>
        <w:rPr>
          <w:rFonts w:hint="eastAsia" w:ascii="宋体" w:hAnsi="宋体" w:eastAsia="宋体" w:cs="宋体"/>
          <w:color w:val="auto"/>
        </w:rPr>
        <w:t>双方确定厂家。在设备安装调试过程中，</w:t>
      </w:r>
      <w:r>
        <w:rPr>
          <w:rFonts w:hint="eastAsia" w:ascii="宋体" w:hAnsi="宋体" w:cs="宋体"/>
          <w:color w:val="auto"/>
          <w:lang w:eastAsia="zh-CN"/>
        </w:rPr>
        <w:t>投标人</w:t>
      </w:r>
      <w:r>
        <w:rPr>
          <w:rFonts w:hint="eastAsia" w:ascii="宋体" w:hAnsi="宋体" w:eastAsia="宋体" w:cs="宋体"/>
          <w:color w:val="auto"/>
        </w:rPr>
        <w:t>应绝对按</w:t>
      </w:r>
      <w:r>
        <w:rPr>
          <w:rFonts w:hint="eastAsia" w:ascii="宋体" w:hAnsi="宋体" w:cs="宋体"/>
          <w:color w:val="auto"/>
          <w:lang w:eastAsia="zh-CN"/>
        </w:rPr>
        <w:t>招标人</w:t>
      </w:r>
      <w:r>
        <w:rPr>
          <w:rFonts w:hint="eastAsia" w:ascii="宋体" w:hAnsi="宋体" w:eastAsia="宋体" w:cs="宋体"/>
          <w:color w:val="auto"/>
        </w:rPr>
        <w:t>要求指挥相关施工单位安装调试及问题处理，要求与其它施工单位协调配合好，不得扯皮。</w:t>
      </w:r>
    </w:p>
    <w:p w14:paraId="027794A9">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应绝对保证</w:t>
      </w:r>
      <w:r>
        <w:rPr>
          <w:rFonts w:hint="eastAsia" w:ascii="宋体" w:hAnsi="宋体" w:cs="宋体"/>
          <w:color w:val="auto"/>
          <w:lang w:eastAsia="zh-CN"/>
        </w:rPr>
        <w:t>招标人</w:t>
      </w:r>
      <w:r>
        <w:rPr>
          <w:rFonts w:hint="eastAsia" w:ascii="宋体" w:hAnsi="宋体" w:eastAsia="宋体" w:cs="宋体"/>
          <w:color w:val="auto"/>
        </w:rPr>
        <w:t>设备安装现场的环境卫生，不得在施工现场进行大面积打磨、除锈工作；生产、生活垃圾必须当日及时清理干净，材料设备堆放整齐。为保证整个现场和设备内部安装过程中的清洁，</w:t>
      </w:r>
      <w:r>
        <w:rPr>
          <w:rFonts w:hint="eastAsia" w:ascii="宋体" w:hAnsi="宋体" w:cs="宋体"/>
          <w:color w:val="auto"/>
          <w:lang w:eastAsia="zh-CN"/>
        </w:rPr>
        <w:t>投标人</w:t>
      </w:r>
      <w:r>
        <w:rPr>
          <w:rFonts w:hint="eastAsia" w:ascii="宋体" w:hAnsi="宋体" w:eastAsia="宋体" w:cs="宋体"/>
          <w:color w:val="auto"/>
        </w:rPr>
        <w:t>应采取切实可行的措施，如利用工业吸尘器、擦布等及时清除灰尘，各个施工单位必须设兼职及专职清扫人员，保证施工现场清洁。现场及设备内部不清洁或施工人员不文明施工，</w:t>
      </w:r>
      <w:r>
        <w:rPr>
          <w:rFonts w:hint="eastAsia" w:ascii="宋体" w:hAnsi="宋体" w:cs="宋体"/>
          <w:color w:val="auto"/>
          <w:lang w:eastAsia="zh-CN"/>
        </w:rPr>
        <w:t>招标人</w:t>
      </w:r>
      <w:r>
        <w:rPr>
          <w:rFonts w:hint="eastAsia" w:ascii="宋体" w:hAnsi="宋体" w:eastAsia="宋体" w:cs="宋体"/>
          <w:color w:val="auto"/>
        </w:rPr>
        <w:t>有权责令停止施工或取消施工资格，由此造成的进度影响，由</w:t>
      </w:r>
      <w:r>
        <w:rPr>
          <w:rFonts w:hint="eastAsia" w:ascii="宋体" w:hAnsi="宋体" w:cs="宋体"/>
          <w:color w:val="auto"/>
          <w:lang w:eastAsia="zh-CN"/>
        </w:rPr>
        <w:t>投标人</w:t>
      </w:r>
      <w:r>
        <w:rPr>
          <w:rFonts w:hint="eastAsia" w:ascii="宋体" w:hAnsi="宋体" w:eastAsia="宋体" w:cs="宋体"/>
          <w:color w:val="auto"/>
        </w:rPr>
        <w:t>负责。要求施工单位要配备不同颜色和式样的工作服，以便施工管理。</w:t>
      </w:r>
    </w:p>
    <w:p w14:paraId="34AD58D8">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在</w:t>
      </w:r>
      <w:r>
        <w:rPr>
          <w:rFonts w:hint="eastAsia" w:ascii="宋体" w:hAnsi="宋体" w:cs="宋体"/>
          <w:color w:val="auto"/>
          <w:lang w:eastAsia="zh-CN"/>
        </w:rPr>
        <w:t>招标人</w:t>
      </w:r>
      <w:r>
        <w:rPr>
          <w:rFonts w:hint="eastAsia" w:ascii="宋体" w:hAnsi="宋体" w:eastAsia="宋体" w:cs="宋体"/>
          <w:color w:val="auto"/>
        </w:rPr>
        <w:t>安装现场施工时，必须严格遵守</w:t>
      </w:r>
      <w:r>
        <w:rPr>
          <w:rFonts w:hint="eastAsia" w:ascii="宋体" w:hAnsi="宋体" w:cs="宋体"/>
          <w:color w:val="auto"/>
          <w:lang w:eastAsia="zh-CN"/>
        </w:rPr>
        <w:t>招标人</w:t>
      </w:r>
      <w:r>
        <w:rPr>
          <w:rFonts w:hint="eastAsia" w:ascii="宋体" w:hAnsi="宋体" w:eastAsia="宋体" w:cs="宋体"/>
          <w:color w:val="auto"/>
        </w:rPr>
        <w:t>制定的安全、防火规定和其它规章制度，如因</w:t>
      </w:r>
      <w:r>
        <w:rPr>
          <w:rFonts w:hint="eastAsia" w:ascii="宋体" w:hAnsi="宋体" w:cs="宋体"/>
          <w:color w:val="auto"/>
          <w:lang w:eastAsia="zh-CN"/>
        </w:rPr>
        <w:t>投标人</w:t>
      </w:r>
      <w:r>
        <w:rPr>
          <w:rFonts w:hint="eastAsia" w:ascii="宋体" w:hAnsi="宋体" w:eastAsia="宋体" w:cs="宋体"/>
          <w:color w:val="auto"/>
        </w:rPr>
        <w:t>施工人员不遵守规章制度而造成的各种损失由</w:t>
      </w:r>
      <w:r>
        <w:rPr>
          <w:rFonts w:hint="eastAsia" w:ascii="宋体" w:hAnsi="宋体" w:cs="宋体"/>
          <w:color w:val="auto"/>
          <w:lang w:eastAsia="zh-CN"/>
        </w:rPr>
        <w:t>投标人</w:t>
      </w:r>
      <w:r>
        <w:rPr>
          <w:rFonts w:hint="eastAsia" w:ascii="宋体" w:hAnsi="宋体" w:eastAsia="宋体" w:cs="宋体"/>
          <w:color w:val="auto"/>
        </w:rPr>
        <w:t>负全责并清出施工现场。</w:t>
      </w:r>
    </w:p>
    <w:p w14:paraId="7BDDAB18">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在整个项目施工期间，直到该项目工程</w:t>
      </w:r>
      <w:r>
        <w:rPr>
          <w:rFonts w:hint="eastAsia" w:ascii="宋体" w:hAnsi="宋体" w:cs="宋体"/>
          <w:color w:val="auto"/>
          <w:lang w:eastAsia="zh-CN"/>
        </w:rPr>
        <w:t>调试验收</w:t>
      </w:r>
      <w:r>
        <w:rPr>
          <w:rFonts w:hint="eastAsia" w:ascii="宋体" w:hAnsi="宋体" w:eastAsia="宋体" w:cs="宋体"/>
          <w:color w:val="auto"/>
        </w:rPr>
        <w:t>之前，所有设备、材料、工具、零件、制成品等均由</w:t>
      </w:r>
      <w:r>
        <w:rPr>
          <w:rFonts w:hint="eastAsia" w:ascii="宋体" w:hAnsi="宋体" w:cs="宋体"/>
          <w:color w:val="auto"/>
          <w:lang w:eastAsia="zh-CN"/>
        </w:rPr>
        <w:t>投标人</w:t>
      </w:r>
      <w:r>
        <w:rPr>
          <w:rFonts w:hint="eastAsia" w:ascii="宋体" w:hAnsi="宋体" w:eastAsia="宋体" w:cs="宋体"/>
          <w:color w:val="auto"/>
        </w:rPr>
        <w:t>负责看管、保护，若损坏、丢失财物</w:t>
      </w:r>
      <w:r>
        <w:rPr>
          <w:rFonts w:hint="eastAsia" w:ascii="宋体" w:hAnsi="宋体" w:cs="宋体"/>
          <w:color w:val="auto"/>
          <w:lang w:eastAsia="zh-CN"/>
        </w:rPr>
        <w:t>招标人</w:t>
      </w:r>
      <w:r>
        <w:rPr>
          <w:rFonts w:hint="eastAsia" w:ascii="宋体" w:hAnsi="宋体" w:eastAsia="宋体" w:cs="宋体"/>
          <w:color w:val="auto"/>
        </w:rPr>
        <w:t>不负任何责任。</w:t>
      </w:r>
    </w:p>
    <w:p w14:paraId="349F5B24">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涂装设备制造、安装、调试、验收，依据按技术要求、设计图纸、相关的规范和标准、技术问题联系单、变更单中的要求进行。</w:t>
      </w:r>
    </w:p>
    <w:p w14:paraId="680B513C">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厂房设备涂漆要求详见涂装设备及钢结构涂装技术规范，设备底漆、面漆涂漆由</w:t>
      </w:r>
      <w:r>
        <w:rPr>
          <w:rFonts w:hint="eastAsia" w:ascii="宋体" w:hAnsi="宋体" w:cs="宋体"/>
          <w:color w:val="auto"/>
          <w:lang w:eastAsia="zh-CN"/>
        </w:rPr>
        <w:t>投标人</w:t>
      </w:r>
      <w:r>
        <w:rPr>
          <w:rFonts w:hint="eastAsia" w:ascii="宋体" w:hAnsi="宋体" w:eastAsia="宋体" w:cs="宋体"/>
          <w:color w:val="auto"/>
        </w:rPr>
        <w:t>统一负责刷或喷涂，由</w:t>
      </w:r>
      <w:r>
        <w:rPr>
          <w:rFonts w:hint="eastAsia" w:ascii="宋体" w:hAnsi="宋体" w:cs="宋体"/>
          <w:color w:val="auto"/>
          <w:lang w:eastAsia="zh-CN"/>
        </w:rPr>
        <w:t>招标人</w:t>
      </w:r>
      <w:r>
        <w:rPr>
          <w:rFonts w:hint="eastAsia" w:ascii="宋体" w:hAnsi="宋体" w:eastAsia="宋体" w:cs="宋体"/>
          <w:color w:val="auto"/>
        </w:rPr>
        <w:t>指定漆种和颜色。</w:t>
      </w:r>
    </w:p>
    <w:p w14:paraId="7106E923">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在调试过程中，</w:t>
      </w:r>
      <w:r>
        <w:rPr>
          <w:rFonts w:hint="eastAsia" w:ascii="宋体" w:hAnsi="宋体" w:cs="宋体"/>
          <w:color w:val="auto"/>
          <w:lang w:eastAsia="zh-CN"/>
        </w:rPr>
        <w:t>投标人</w:t>
      </w:r>
      <w:r>
        <w:rPr>
          <w:rFonts w:hint="eastAsia" w:ascii="宋体" w:hAnsi="宋体" w:eastAsia="宋体" w:cs="宋体"/>
          <w:color w:val="auto"/>
        </w:rPr>
        <w:t>必须对出现的问题及时解决，不得延误设备调试时间。</w:t>
      </w:r>
    </w:p>
    <w:p w14:paraId="367A1B1E">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cs="宋体"/>
          <w:color w:val="auto"/>
          <w:lang w:eastAsia="zh-CN"/>
        </w:rPr>
        <w:t>投标人</w:t>
      </w:r>
      <w:r>
        <w:rPr>
          <w:rFonts w:hint="eastAsia" w:ascii="宋体" w:hAnsi="宋体" w:eastAsia="宋体" w:cs="宋体"/>
          <w:color w:val="auto"/>
        </w:rPr>
        <w:t>必须认真配合</w:t>
      </w:r>
      <w:r>
        <w:rPr>
          <w:rFonts w:hint="eastAsia" w:ascii="宋体" w:hAnsi="宋体" w:cs="宋体"/>
          <w:color w:val="auto"/>
          <w:lang w:eastAsia="zh-CN"/>
        </w:rPr>
        <w:t>招标人</w:t>
      </w:r>
      <w:r>
        <w:rPr>
          <w:rFonts w:hint="eastAsia" w:ascii="宋体" w:hAnsi="宋体" w:eastAsia="宋体" w:cs="宋体"/>
          <w:color w:val="auto"/>
        </w:rPr>
        <w:t>工艺调试，并积极主动协助解决有关设备问题。</w:t>
      </w:r>
    </w:p>
    <w:p w14:paraId="6C863D02">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设备预制均在</w:t>
      </w:r>
      <w:r>
        <w:rPr>
          <w:rFonts w:hint="eastAsia" w:ascii="宋体" w:hAnsi="宋体" w:cs="宋体"/>
          <w:color w:val="auto"/>
          <w:lang w:eastAsia="zh-CN"/>
        </w:rPr>
        <w:t>投标人</w:t>
      </w:r>
      <w:r>
        <w:rPr>
          <w:rFonts w:hint="eastAsia" w:ascii="宋体" w:hAnsi="宋体" w:eastAsia="宋体" w:cs="宋体"/>
          <w:color w:val="auto"/>
        </w:rPr>
        <w:t>工厂进行，在车间内只能做安装工作。</w:t>
      </w:r>
    </w:p>
    <w:p w14:paraId="1ECC9F1A">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施工用电由</w:t>
      </w:r>
      <w:r>
        <w:rPr>
          <w:rFonts w:hint="eastAsia" w:ascii="宋体" w:hAnsi="宋体" w:cs="宋体"/>
          <w:color w:val="auto"/>
          <w:lang w:eastAsia="zh-CN"/>
        </w:rPr>
        <w:t>投标人</w:t>
      </w:r>
      <w:r>
        <w:rPr>
          <w:rFonts w:hint="eastAsia" w:ascii="宋体" w:hAnsi="宋体" w:eastAsia="宋体" w:cs="宋体"/>
          <w:color w:val="auto"/>
        </w:rPr>
        <w:t>自备计量表和空开电箱。</w:t>
      </w:r>
    </w:p>
    <w:p w14:paraId="4FF9FC5D">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设备联合调试期，由</w:t>
      </w:r>
      <w:r>
        <w:rPr>
          <w:rFonts w:hint="eastAsia" w:ascii="宋体" w:hAnsi="宋体" w:cs="宋体"/>
          <w:color w:val="auto"/>
          <w:lang w:eastAsia="zh-CN"/>
        </w:rPr>
        <w:t>投标人</w:t>
      </w:r>
      <w:r>
        <w:rPr>
          <w:rFonts w:hint="eastAsia" w:ascii="宋体" w:hAnsi="宋体" w:eastAsia="宋体" w:cs="宋体"/>
          <w:color w:val="auto"/>
        </w:rPr>
        <w:t xml:space="preserve">负责组织协调各单位进行调试。 </w:t>
      </w:r>
    </w:p>
    <w:p w14:paraId="3BF9E264">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设备所有内外表面的壁板不允许划、碰伤，不允许有水印。</w:t>
      </w:r>
    </w:p>
    <w:p w14:paraId="0818857B">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凡属要求密封的设备，必须保证不漏、不渗及不透风等，否则返工或重做。</w:t>
      </w:r>
    </w:p>
    <w:p w14:paraId="32CCFA39">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凡属影响设备强度、刚性的制件，必须保证强度，无变形、无倾斜、低噪声、无共振。所有弯管均要采用圆弧过渡，凡接支管处，主管内加导流板。否则，返工或报废。</w:t>
      </w:r>
    </w:p>
    <w:p w14:paraId="5C375823">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凡影响产品质量的工艺设备、工艺参数要与相关的设备联锁，自动及手动调整和控制，并自动显示。</w:t>
      </w:r>
    </w:p>
    <w:p w14:paraId="64BC6963">
      <w:pPr>
        <w:pStyle w:val="210"/>
        <w:pageBreakBefore w:val="0"/>
        <w:numPr>
          <w:ilvl w:val="0"/>
          <w:numId w:val="438"/>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bCs/>
          <w:color w:val="auto"/>
        </w:rPr>
      </w:pPr>
      <w:r>
        <w:rPr>
          <w:rFonts w:hint="eastAsia" w:ascii="宋体" w:hAnsi="宋体" w:eastAsia="宋体" w:cs="宋体"/>
          <w:color w:val="auto"/>
        </w:rPr>
        <w:t>设备在</w:t>
      </w:r>
      <w:r>
        <w:rPr>
          <w:rFonts w:hint="eastAsia" w:ascii="宋体" w:hAnsi="宋体" w:cs="宋体"/>
          <w:color w:val="auto"/>
          <w:lang w:eastAsia="zh-CN"/>
        </w:rPr>
        <w:t>投标人</w:t>
      </w:r>
      <w:r>
        <w:rPr>
          <w:rFonts w:hint="eastAsia" w:ascii="宋体" w:hAnsi="宋体" w:eastAsia="宋体" w:cs="宋体"/>
          <w:color w:val="auto"/>
        </w:rPr>
        <w:t>工厂预制调试期间，</w:t>
      </w:r>
      <w:r>
        <w:rPr>
          <w:rFonts w:hint="eastAsia" w:ascii="宋体" w:hAnsi="宋体" w:cs="宋体"/>
          <w:color w:val="auto"/>
          <w:lang w:eastAsia="zh-CN"/>
        </w:rPr>
        <w:t>投标人</w:t>
      </w:r>
      <w:r>
        <w:rPr>
          <w:rFonts w:hint="eastAsia" w:ascii="宋体" w:hAnsi="宋体" w:eastAsia="宋体" w:cs="宋体"/>
          <w:color w:val="auto"/>
        </w:rPr>
        <w:t>要负责全过程质量监督，</w:t>
      </w:r>
      <w:r>
        <w:rPr>
          <w:rFonts w:hint="eastAsia" w:ascii="宋体" w:hAnsi="宋体" w:cs="宋体"/>
          <w:color w:val="auto"/>
          <w:lang w:eastAsia="zh-CN"/>
        </w:rPr>
        <w:t>招标人</w:t>
      </w:r>
      <w:r>
        <w:rPr>
          <w:rFonts w:hint="eastAsia" w:ascii="宋体" w:hAnsi="宋体" w:eastAsia="宋体" w:cs="宋体"/>
          <w:color w:val="auto"/>
        </w:rPr>
        <w:t>有权到</w:t>
      </w:r>
      <w:r>
        <w:rPr>
          <w:rFonts w:hint="eastAsia" w:ascii="宋体" w:hAnsi="宋体" w:cs="宋体"/>
          <w:color w:val="auto"/>
          <w:lang w:eastAsia="zh-CN"/>
        </w:rPr>
        <w:t>投标人</w:t>
      </w:r>
      <w:r>
        <w:rPr>
          <w:rFonts w:hint="eastAsia" w:ascii="宋体" w:hAnsi="宋体" w:eastAsia="宋体" w:cs="宋体"/>
          <w:color w:val="auto"/>
        </w:rPr>
        <w:t>工厂进行监制、质量抽检，</w:t>
      </w:r>
      <w:r>
        <w:rPr>
          <w:rFonts w:hint="eastAsia" w:ascii="宋体" w:hAnsi="宋体" w:cs="宋体"/>
          <w:color w:val="auto"/>
          <w:lang w:eastAsia="zh-CN"/>
        </w:rPr>
        <w:t>招标人</w:t>
      </w:r>
      <w:r>
        <w:rPr>
          <w:rFonts w:hint="eastAsia" w:ascii="宋体" w:hAnsi="宋体" w:eastAsia="宋体" w:cs="宋体"/>
          <w:color w:val="auto"/>
        </w:rPr>
        <w:t>核查确认为合格的制件，方可运往现场，</w:t>
      </w:r>
      <w:r>
        <w:rPr>
          <w:rFonts w:hint="eastAsia" w:ascii="宋体" w:hAnsi="宋体" w:cs="宋体"/>
          <w:color w:val="auto"/>
          <w:lang w:eastAsia="zh-CN"/>
        </w:rPr>
        <w:t>投标人</w:t>
      </w:r>
      <w:r>
        <w:rPr>
          <w:rFonts w:hint="eastAsia" w:ascii="宋体" w:hAnsi="宋体" w:eastAsia="宋体" w:cs="宋体"/>
          <w:color w:val="auto"/>
        </w:rPr>
        <w:t>负责运输全过程的质量及设备完好保护，否则由</w:t>
      </w:r>
      <w:r>
        <w:rPr>
          <w:rFonts w:hint="eastAsia" w:ascii="宋体" w:hAnsi="宋体" w:cs="宋体"/>
          <w:color w:val="auto"/>
          <w:lang w:eastAsia="zh-CN"/>
        </w:rPr>
        <w:t>投标人</w:t>
      </w:r>
      <w:r>
        <w:rPr>
          <w:rFonts w:hint="eastAsia" w:ascii="宋体" w:hAnsi="宋体" w:eastAsia="宋体" w:cs="宋体"/>
          <w:color w:val="auto"/>
        </w:rPr>
        <w:t>免费给予处理。</w:t>
      </w:r>
    </w:p>
    <w:p w14:paraId="3C398FF7">
      <w:pPr>
        <w:pStyle w:val="316"/>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sz w:val="24"/>
          <w:szCs w:val="24"/>
        </w:rPr>
      </w:pPr>
      <w:r>
        <w:rPr>
          <w:rFonts w:hint="eastAsia" w:ascii="宋体" w:hAnsi="宋体" w:eastAsia="宋体" w:cs="宋体"/>
          <w:b/>
          <w:sz w:val="24"/>
          <w:szCs w:val="24"/>
        </w:rPr>
        <w:t>四、培训</w:t>
      </w:r>
    </w:p>
    <w:p w14:paraId="575391D9">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在培训开始2周前，提供所有培训课程教材和培训计划，其他培训都在</w:t>
      </w:r>
      <w:r>
        <w:rPr>
          <w:rFonts w:hint="eastAsia" w:ascii="宋体" w:hAnsi="宋体" w:cs="宋体"/>
          <w:sz w:val="24"/>
          <w:lang w:eastAsia="zh-CN"/>
        </w:rPr>
        <w:t>招标人</w:t>
      </w:r>
      <w:r>
        <w:rPr>
          <w:rFonts w:hint="eastAsia" w:ascii="宋体" w:hAnsi="宋体" w:eastAsia="宋体" w:cs="宋体"/>
          <w:sz w:val="24"/>
        </w:rPr>
        <w:t>车间现场及培训教室。培训效果要求实际操作和理论试卷确认，双方共同讨论测试课题，</w:t>
      </w:r>
      <w:r>
        <w:rPr>
          <w:rFonts w:hint="eastAsia" w:ascii="宋体" w:hAnsi="宋体" w:cs="宋体"/>
          <w:sz w:val="24"/>
          <w:lang w:eastAsia="zh-CN"/>
        </w:rPr>
        <w:t>招标人</w:t>
      </w:r>
      <w:r>
        <w:rPr>
          <w:rFonts w:hint="eastAsia" w:ascii="宋体" w:hAnsi="宋体" w:eastAsia="宋体" w:cs="宋体"/>
          <w:sz w:val="24"/>
        </w:rPr>
        <w:t>员工需达到独立操作、维护、保养设备，机械部件更换，PLC 编程组态及排除故障等。</w:t>
      </w:r>
    </w:p>
    <w:p w14:paraId="47026CFB">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4.1 具体的培训清单如下：</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45"/>
        <w:gridCol w:w="1355"/>
        <w:gridCol w:w="3798"/>
        <w:gridCol w:w="908"/>
        <w:gridCol w:w="1433"/>
        <w:gridCol w:w="1315"/>
      </w:tblGrid>
      <w:tr w14:paraId="4EBEE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90" w:hRule="atLeast"/>
          <w:jc w:val="center"/>
        </w:trPr>
        <w:tc>
          <w:tcPr>
            <w:tcW w:w="341" w:type="pct"/>
            <w:shd w:val="clear" w:color="auto" w:fill="auto"/>
            <w:tcMar>
              <w:top w:w="15" w:type="dxa"/>
              <w:left w:w="15" w:type="dxa"/>
              <w:bottom w:w="0" w:type="dxa"/>
              <w:right w:w="15" w:type="dxa"/>
            </w:tcMar>
            <w:vAlign w:val="center"/>
          </w:tcPr>
          <w:p w14:paraId="1C4A8FB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序号</w:t>
            </w:r>
          </w:p>
        </w:tc>
        <w:tc>
          <w:tcPr>
            <w:tcW w:w="716" w:type="pct"/>
            <w:shd w:val="clear" w:color="auto" w:fill="auto"/>
            <w:tcMar>
              <w:top w:w="15" w:type="dxa"/>
              <w:left w:w="15" w:type="dxa"/>
              <w:bottom w:w="0" w:type="dxa"/>
              <w:right w:w="15" w:type="dxa"/>
            </w:tcMar>
            <w:vAlign w:val="center"/>
          </w:tcPr>
          <w:p w14:paraId="756F152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培训项目</w:t>
            </w:r>
          </w:p>
        </w:tc>
        <w:tc>
          <w:tcPr>
            <w:tcW w:w="2007" w:type="pct"/>
            <w:shd w:val="clear" w:color="auto" w:fill="auto"/>
            <w:tcMar>
              <w:top w:w="15" w:type="dxa"/>
              <w:left w:w="15" w:type="dxa"/>
              <w:bottom w:w="0" w:type="dxa"/>
              <w:right w:w="15" w:type="dxa"/>
            </w:tcMar>
            <w:vAlign w:val="center"/>
          </w:tcPr>
          <w:p w14:paraId="7B987D4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培训内容</w:t>
            </w:r>
          </w:p>
        </w:tc>
        <w:tc>
          <w:tcPr>
            <w:tcW w:w="480" w:type="pct"/>
            <w:shd w:val="clear" w:color="auto" w:fill="auto"/>
            <w:tcMar>
              <w:top w:w="15" w:type="dxa"/>
              <w:left w:w="15" w:type="dxa"/>
              <w:bottom w:w="0" w:type="dxa"/>
              <w:right w:w="15" w:type="dxa"/>
            </w:tcMar>
            <w:vAlign w:val="center"/>
          </w:tcPr>
          <w:p w14:paraId="3F7B56F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课时</w:t>
            </w:r>
          </w:p>
        </w:tc>
        <w:tc>
          <w:tcPr>
            <w:tcW w:w="757" w:type="pct"/>
            <w:shd w:val="clear" w:color="auto" w:fill="auto"/>
            <w:tcMar>
              <w:top w:w="15" w:type="dxa"/>
              <w:left w:w="15" w:type="dxa"/>
              <w:bottom w:w="0" w:type="dxa"/>
              <w:right w:w="15" w:type="dxa"/>
            </w:tcMar>
            <w:vAlign w:val="center"/>
          </w:tcPr>
          <w:p w14:paraId="5591F2A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培训时间</w:t>
            </w:r>
          </w:p>
        </w:tc>
        <w:tc>
          <w:tcPr>
            <w:tcW w:w="695" w:type="pct"/>
            <w:shd w:val="clear" w:color="auto" w:fill="auto"/>
            <w:vAlign w:val="center"/>
          </w:tcPr>
          <w:p w14:paraId="20123CE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Cs/>
                <w:sz w:val="24"/>
              </w:rPr>
            </w:pPr>
            <w:r>
              <w:rPr>
                <w:rFonts w:hint="eastAsia" w:ascii="宋体" w:hAnsi="宋体" w:eastAsia="宋体" w:cs="宋体"/>
                <w:bCs/>
                <w:sz w:val="24"/>
              </w:rPr>
              <w:t>培训对象</w:t>
            </w:r>
          </w:p>
        </w:tc>
      </w:tr>
      <w:tr w14:paraId="5BF5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15" w:hRule="atLeast"/>
          <w:jc w:val="center"/>
        </w:trPr>
        <w:tc>
          <w:tcPr>
            <w:tcW w:w="341" w:type="pct"/>
            <w:shd w:val="clear" w:color="auto" w:fill="auto"/>
            <w:tcMar>
              <w:top w:w="15" w:type="dxa"/>
              <w:left w:w="15" w:type="dxa"/>
              <w:bottom w:w="0" w:type="dxa"/>
              <w:right w:w="15" w:type="dxa"/>
            </w:tcMar>
            <w:vAlign w:val="center"/>
          </w:tcPr>
          <w:p w14:paraId="5F4B4C9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w:t>
            </w:r>
          </w:p>
        </w:tc>
        <w:tc>
          <w:tcPr>
            <w:tcW w:w="716" w:type="pct"/>
            <w:shd w:val="clear" w:color="auto" w:fill="auto"/>
            <w:tcMar>
              <w:top w:w="15" w:type="dxa"/>
              <w:left w:w="15" w:type="dxa"/>
              <w:bottom w:w="0" w:type="dxa"/>
              <w:right w:w="15" w:type="dxa"/>
            </w:tcMar>
            <w:vAlign w:val="center"/>
          </w:tcPr>
          <w:p w14:paraId="4972068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设备使用说明书</w:t>
            </w:r>
          </w:p>
        </w:tc>
        <w:tc>
          <w:tcPr>
            <w:tcW w:w="2007" w:type="pct"/>
            <w:shd w:val="clear" w:color="auto" w:fill="auto"/>
            <w:tcMar>
              <w:top w:w="15" w:type="dxa"/>
              <w:left w:w="15" w:type="dxa"/>
              <w:bottom w:w="0" w:type="dxa"/>
              <w:right w:w="15" w:type="dxa"/>
            </w:tcMar>
            <w:vAlign w:val="center"/>
          </w:tcPr>
          <w:p w14:paraId="1CC668DC">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设备安全操作、点检、保养、润滑、一般故障处理等</w:t>
            </w:r>
          </w:p>
        </w:tc>
        <w:tc>
          <w:tcPr>
            <w:tcW w:w="480" w:type="pct"/>
            <w:shd w:val="clear" w:color="auto" w:fill="auto"/>
            <w:tcMar>
              <w:top w:w="15" w:type="dxa"/>
              <w:left w:w="15" w:type="dxa"/>
              <w:bottom w:w="0" w:type="dxa"/>
              <w:right w:w="15" w:type="dxa"/>
            </w:tcMar>
            <w:vAlign w:val="center"/>
          </w:tcPr>
          <w:p w14:paraId="46E08B7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shd w:val="clear" w:color="auto" w:fill="auto"/>
            <w:tcMar>
              <w:top w:w="15" w:type="dxa"/>
              <w:left w:w="15" w:type="dxa"/>
              <w:bottom w:w="0" w:type="dxa"/>
              <w:right w:w="15" w:type="dxa"/>
            </w:tcMar>
            <w:vAlign w:val="center"/>
          </w:tcPr>
          <w:p w14:paraId="5F1308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设备安装调试结束后2个月之内</w:t>
            </w:r>
          </w:p>
        </w:tc>
        <w:tc>
          <w:tcPr>
            <w:tcW w:w="695" w:type="pct"/>
            <w:shd w:val="clear" w:color="auto" w:fill="auto"/>
            <w:vAlign w:val="center"/>
          </w:tcPr>
          <w:p w14:paraId="6CD28E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操作工、维修工、技师、设备工程师</w:t>
            </w:r>
          </w:p>
        </w:tc>
      </w:tr>
      <w:tr w14:paraId="4B43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099" w:hRule="atLeast"/>
          <w:jc w:val="center"/>
        </w:trPr>
        <w:tc>
          <w:tcPr>
            <w:tcW w:w="341" w:type="pct"/>
            <w:shd w:val="clear" w:color="auto" w:fill="auto"/>
            <w:tcMar>
              <w:top w:w="15" w:type="dxa"/>
              <w:left w:w="15" w:type="dxa"/>
              <w:bottom w:w="0" w:type="dxa"/>
              <w:right w:w="15" w:type="dxa"/>
            </w:tcMar>
            <w:vAlign w:val="center"/>
          </w:tcPr>
          <w:p w14:paraId="2E9769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w:t>
            </w:r>
          </w:p>
        </w:tc>
        <w:tc>
          <w:tcPr>
            <w:tcW w:w="716" w:type="pct"/>
            <w:shd w:val="clear" w:color="auto" w:fill="auto"/>
            <w:tcMar>
              <w:top w:w="15" w:type="dxa"/>
              <w:left w:w="15" w:type="dxa"/>
              <w:bottom w:w="0" w:type="dxa"/>
              <w:right w:w="15" w:type="dxa"/>
            </w:tcMar>
            <w:vAlign w:val="center"/>
          </w:tcPr>
          <w:p w14:paraId="6971ED3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电气培训</w:t>
            </w:r>
          </w:p>
        </w:tc>
        <w:tc>
          <w:tcPr>
            <w:tcW w:w="2007" w:type="pct"/>
            <w:shd w:val="clear" w:color="auto" w:fill="auto"/>
            <w:tcMar>
              <w:top w:w="15" w:type="dxa"/>
              <w:left w:w="15" w:type="dxa"/>
              <w:bottom w:w="0" w:type="dxa"/>
              <w:right w:w="15" w:type="dxa"/>
            </w:tcMar>
            <w:vAlign w:val="center"/>
          </w:tcPr>
          <w:p w14:paraId="2768792E">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1、PLC基础知识；</w:t>
            </w:r>
          </w:p>
          <w:p w14:paraId="1F1D671A">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2、编程软件使用，硬件组态；</w:t>
            </w:r>
          </w:p>
          <w:p w14:paraId="5CEF67AB">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3、程序修改及编程，常用指令使用</w:t>
            </w:r>
          </w:p>
        </w:tc>
        <w:tc>
          <w:tcPr>
            <w:tcW w:w="480" w:type="pct"/>
            <w:shd w:val="clear" w:color="auto" w:fill="auto"/>
            <w:tcMar>
              <w:top w:w="15" w:type="dxa"/>
              <w:left w:w="15" w:type="dxa"/>
              <w:bottom w:w="0" w:type="dxa"/>
              <w:right w:w="15" w:type="dxa"/>
            </w:tcMar>
            <w:vAlign w:val="center"/>
          </w:tcPr>
          <w:p w14:paraId="2AC74A2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40小时</w:t>
            </w:r>
          </w:p>
        </w:tc>
        <w:tc>
          <w:tcPr>
            <w:tcW w:w="757" w:type="pct"/>
            <w:shd w:val="clear" w:color="auto" w:fill="auto"/>
            <w:tcMar>
              <w:top w:w="15" w:type="dxa"/>
              <w:left w:w="15" w:type="dxa"/>
              <w:bottom w:w="0" w:type="dxa"/>
              <w:right w:w="15" w:type="dxa"/>
            </w:tcMar>
            <w:vAlign w:val="center"/>
          </w:tcPr>
          <w:p w14:paraId="28F2452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设备进厂期间</w:t>
            </w:r>
          </w:p>
        </w:tc>
        <w:tc>
          <w:tcPr>
            <w:tcW w:w="695" w:type="pct"/>
            <w:vMerge w:val="restart"/>
            <w:shd w:val="clear" w:color="auto" w:fill="auto"/>
            <w:vAlign w:val="center"/>
          </w:tcPr>
          <w:p w14:paraId="64F76B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维修技师、设备工程师</w:t>
            </w:r>
          </w:p>
        </w:tc>
      </w:tr>
      <w:tr w14:paraId="5BFC6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1442" w:hRule="atLeast"/>
          <w:jc w:val="center"/>
        </w:trPr>
        <w:tc>
          <w:tcPr>
            <w:tcW w:w="341" w:type="pct"/>
            <w:shd w:val="clear" w:color="auto" w:fill="auto"/>
            <w:tcMar>
              <w:top w:w="15" w:type="dxa"/>
              <w:left w:w="15" w:type="dxa"/>
              <w:bottom w:w="0" w:type="dxa"/>
              <w:right w:w="15" w:type="dxa"/>
            </w:tcMar>
            <w:vAlign w:val="center"/>
          </w:tcPr>
          <w:p w14:paraId="1114708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3</w:t>
            </w:r>
          </w:p>
        </w:tc>
        <w:tc>
          <w:tcPr>
            <w:tcW w:w="716" w:type="pct"/>
            <w:vMerge w:val="restart"/>
            <w:shd w:val="clear" w:color="auto" w:fill="auto"/>
            <w:tcMar>
              <w:top w:w="15" w:type="dxa"/>
              <w:left w:w="15" w:type="dxa"/>
              <w:bottom w:w="0" w:type="dxa"/>
              <w:right w:w="15" w:type="dxa"/>
            </w:tcMar>
            <w:vAlign w:val="center"/>
          </w:tcPr>
          <w:p w14:paraId="4652C47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电气现场培训</w:t>
            </w:r>
          </w:p>
        </w:tc>
        <w:tc>
          <w:tcPr>
            <w:tcW w:w="2007" w:type="pct"/>
            <w:shd w:val="clear" w:color="auto" w:fill="auto"/>
            <w:tcMar>
              <w:top w:w="15" w:type="dxa"/>
              <w:left w:w="15" w:type="dxa"/>
              <w:bottom w:w="0" w:type="dxa"/>
              <w:right w:w="15" w:type="dxa"/>
            </w:tcMar>
            <w:vAlign w:val="center"/>
          </w:tcPr>
          <w:p w14:paraId="30493968">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1、PLC程序上传下载步骤；</w:t>
            </w:r>
          </w:p>
          <w:p w14:paraId="128A0CC1">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2、各区域程序结构、控制逻辑；</w:t>
            </w:r>
          </w:p>
          <w:p w14:paraId="190556D0">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3、网络故障查找步骤方法；</w:t>
            </w:r>
          </w:p>
          <w:p w14:paraId="42C63014">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4、日常使用注意事项</w:t>
            </w:r>
          </w:p>
        </w:tc>
        <w:tc>
          <w:tcPr>
            <w:tcW w:w="480" w:type="pct"/>
            <w:shd w:val="clear" w:color="auto" w:fill="auto"/>
            <w:tcMar>
              <w:top w:w="15" w:type="dxa"/>
              <w:left w:w="15" w:type="dxa"/>
              <w:bottom w:w="0" w:type="dxa"/>
              <w:right w:w="15" w:type="dxa"/>
            </w:tcMar>
            <w:vAlign w:val="center"/>
          </w:tcPr>
          <w:p w14:paraId="416A5DD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40小时</w:t>
            </w:r>
          </w:p>
        </w:tc>
        <w:tc>
          <w:tcPr>
            <w:tcW w:w="757" w:type="pct"/>
            <w:shd w:val="clear" w:color="auto" w:fill="auto"/>
            <w:tcMar>
              <w:top w:w="15" w:type="dxa"/>
              <w:left w:w="15" w:type="dxa"/>
              <w:bottom w:w="0" w:type="dxa"/>
              <w:right w:w="15" w:type="dxa"/>
            </w:tcMar>
            <w:vAlign w:val="center"/>
          </w:tcPr>
          <w:p w14:paraId="034AB96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w:t>
            </w:r>
            <w:r>
              <w:rPr>
                <w:rFonts w:hint="eastAsia" w:ascii="宋体" w:hAnsi="宋体" w:cs="宋体"/>
                <w:sz w:val="24"/>
                <w:lang w:eastAsia="zh-CN"/>
              </w:rPr>
              <w:t>调试验收</w:t>
            </w:r>
            <w:r>
              <w:rPr>
                <w:rFonts w:hint="eastAsia" w:ascii="宋体" w:hAnsi="宋体" w:eastAsia="宋体" w:cs="宋体"/>
                <w:sz w:val="24"/>
              </w:rPr>
              <w:t>前</w:t>
            </w:r>
          </w:p>
        </w:tc>
        <w:tc>
          <w:tcPr>
            <w:tcW w:w="695" w:type="pct"/>
            <w:vMerge w:val="continue"/>
            <w:shd w:val="clear" w:color="auto" w:fill="auto"/>
            <w:vAlign w:val="center"/>
          </w:tcPr>
          <w:p w14:paraId="26061EA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4347D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59" w:hRule="atLeast"/>
          <w:jc w:val="center"/>
        </w:trPr>
        <w:tc>
          <w:tcPr>
            <w:tcW w:w="341" w:type="pct"/>
            <w:shd w:val="clear" w:color="auto" w:fill="auto"/>
            <w:tcMar>
              <w:top w:w="15" w:type="dxa"/>
              <w:left w:w="15" w:type="dxa"/>
              <w:bottom w:w="0" w:type="dxa"/>
              <w:right w:w="15" w:type="dxa"/>
            </w:tcMar>
            <w:vAlign w:val="center"/>
          </w:tcPr>
          <w:p w14:paraId="5E74E3F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w:t>
            </w:r>
          </w:p>
        </w:tc>
        <w:tc>
          <w:tcPr>
            <w:tcW w:w="716" w:type="pct"/>
            <w:vMerge w:val="continue"/>
            <w:shd w:val="clear" w:color="auto" w:fill="auto"/>
            <w:tcMar>
              <w:top w:w="15" w:type="dxa"/>
              <w:left w:w="15" w:type="dxa"/>
              <w:bottom w:w="0" w:type="dxa"/>
              <w:right w:w="15" w:type="dxa"/>
            </w:tcMar>
            <w:vAlign w:val="center"/>
          </w:tcPr>
          <w:p w14:paraId="31266E2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1DA6782A">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现场电气原理图、接线图</w:t>
            </w:r>
          </w:p>
        </w:tc>
        <w:tc>
          <w:tcPr>
            <w:tcW w:w="480" w:type="pct"/>
            <w:shd w:val="clear" w:color="auto" w:fill="auto"/>
            <w:tcMar>
              <w:top w:w="15" w:type="dxa"/>
              <w:left w:w="15" w:type="dxa"/>
              <w:bottom w:w="0" w:type="dxa"/>
              <w:right w:w="15" w:type="dxa"/>
            </w:tcMar>
            <w:vAlign w:val="center"/>
          </w:tcPr>
          <w:p w14:paraId="65A9F0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vMerge w:val="restart"/>
            <w:shd w:val="clear" w:color="auto" w:fill="auto"/>
            <w:tcMar>
              <w:top w:w="15" w:type="dxa"/>
              <w:left w:w="15" w:type="dxa"/>
              <w:bottom w:w="0" w:type="dxa"/>
              <w:right w:w="15" w:type="dxa"/>
            </w:tcMar>
            <w:vAlign w:val="center"/>
          </w:tcPr>
          <w:p w14:paraId="5ECC93B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设备安装调试结束后2个月之内</w:t>
            </w:r>
          </w:p>
        </w:tc>
        <w:tc>
          <w:tcPr>
            <w:tcW w:w="695" w:type="pct"/>
            <w:vMerge w:val="continue"/>
            <w:shd w:val="clear" w:color="auto" w:fill="auto"/>
            <w:vAlign w:val="center"/>
          </w:tcPr>
          <w:p w14:paraId="68236A4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7EE3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1160" w:hRule="atLeast"/>
          <w:jc w:val="center"/>
        </w:trPr>
        <w:tc>
          <w:tcPr>
            <w:tcW w:w="341" w:type="pct"/>
            <w:shd w:val="clear" w:color="auto" w:fill="auto"/>
            <w:tcMar>
              <w:top w:w="15" w:type="dxa"/>
              <w:left w:w="15" w:type="dxa"/>
              <w:bottom w:w="0" w:type="dxa"/>
              <w:right w:w="15" w:type="dxa"/>
            </w:tcMar>
            <w:vAlign w:val="center"/>
          </w:tcPr>
          <w:p w14:paraId="7D563EF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5</w:t>
            </w:r>
          </w:p>
        </w:tc>
        <w:tc>
          <w:tcPr>
            <w:tcW w:w="716" w:type="pct"/>
            <w:vMerge w:val="continue"/>
            <w:shd w:val="clear" w:color="auto" w:fill="auto"/>
            <w:tcMar>
              <w:top w:w="15" w:type="dxa"/>
              <w:left w:w="15" w:type="dxa"/>
              <w:bottom w:w="0" w:type="dxa"/>
              <w:right w:w="15" w:type="dxa"/>
            </w:tcMar>
            <w:vAlign w:val="center"/>
          </w:tcPr>
          <w:p w14:paraId="68FA90D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18F9E1EE">
            <w:pPr>
              <w:pageBreakBefore w:val="0"/>
              <w:kinsoku/>
              <w:wordWrap/>
              <w:topLinePunct w:val="0"/>
              <w:autoSpaceDE w:val="0"/>
              <w:autoSpaceDN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1、变频调速参数设定；</w:t>
            </w:r>
          </w:p>
          <w:p w14:paraId="222F3FCA">
            <w:pPr>
              <w:pageBreakBefore w:val="0"/>
              <w:kinsoku/>
              <w:wordWrap/>
              <w:topLinePunct w:val="0"/>
              <w:autoSpaceDE w:val="0"/>
              <w:autoSpaceDN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2、变频器日常保养；</w:t>
            </w:r>
          </w:p>
          <w:p w14:paraId="7CFF9F4B">
            <w:pPr>
              <w:pageBreakBefore w:val="0"/>
              <w:kinsoku/>
              <w:wordWrap/>
              <w:topLinePunct w:val="0"/>
              <w:autoSpaceDE w:val="0"/>
              <w:autoSpaceDN w:val="0"/>
              <w:bidi w:val="0"/>
              <w:adjustRightInd w:val="0"/>
              <w:snapToGrid w:val="0"/>
              <w:spacing w:afterAutospacing="0" w:line="240" w:lineRule="auto"/>
              <w:ind w:left="0" w:leftChars="0" w:firstLine="0" w:firstLineChars="0"/>
              <w:jc w:val="both"/>
              <w:rPr>
                <w:rFonts w:hint="eastAsia" w:ascii="宋体" w:hAnsi="宋体" w:eastAsia="宋体" w:cs="宋体"/>
                <w:kern w:val="0"/>
                <w:sz w:val="24"/>
              </w:rPr>
            </w:pPr>
            <w:r>
              <w:rPr>
                <w:rFonts w:hint="eastAsia" w:ascii="宋体" w:hAnsi="宋体" w:eastAsia="宋体" w:cs="宋体"/>
                <w:sz w:val="24"/>
              </w:rPr>
              <w:t>3、常见故障处理</w:t>
            </w:r>
          </w:p>
        </w:tc>
        <w:tc>
          <w:tcPr>
            <w:tcW w:w="480" w:type="pct"/>
            <w:shd w:val="clear" w:color="auto" w:fill="auto"/>
            <w:tcMar>
              <w:top w:w="15" w:type="dxa"/>
              <w:left w:w="15" w:type="dxa"/>
              <w:bottom w:w="0" w:type="dxa"/>
              <w:right w:w="15" w:type="dxa"/>
            </w:tcMar>
            <w:vAlign w:val="center"/>
          </w:tcPr>
          <w:p w14:paraId="1A5A579E">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vMerge w:val="continue"/>
            <w:shd w:val="clear" w:color="auto" w:fill="auto"/>
            <w:tcMar>
              <w:top w:w="15" w:type="dxa"/>
              <w:left w:w="15" w:type="dxa"/>
              <w:bottom w:w="0" w:type="dxa"/>
              <w:right w:w="15" w:type="dxa"/>
            </w:tcMar>
            <w:vAlign w:val="center"/>
          </w:tcPr>
          <w:p w14:paraId="7DC7AFB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vMerge w:val="continue"/>
            <w:shd w:val="clear" w:color="auto" w:fill="auto"/>
            <w:vAlign w:val="center"/>
          </w:tcPr>
          <w:p w14:paraId="5C58D52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DE9E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1049" w:hRule="atLeast"/>
          <w:jc w:val="center"/>
        </w:trPr>
        <w:tc>
          <w:tcPr>
            <w:tcW w:w="341" w:type="pct"/>
            <w:shd w:val="clear" w:color="auto" w:fill="auto"/>
            <w:tcMar>
              <w:top w:w="15" w:type="dxa"/>
              <w:left w:w="15" w:type="dxa"/>
              <w:bottom w:w="0" w:type="dxa"/>
              <w:right w:w="15" w:type="dxa"/>
            </w:tcMar>
            <w:vAlign w:val="center"/>
          </w:tcPr>
          <w:p w14:paraId="75616DD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6</w:t>
            </w:r>
          </w:p>
        </w:tc>
        <w:tc>
          <w:tcPr>
            <w:tcW w:w="716" w:type="pct"/>
            <w:vMerge w:val="continue"/>
            <w:shd w:val="clear" w:color="auto" w:fill="auto"/>
            <w:tcMar>
              <w:top w:w="15" w:type="dxa"/>
              <w:left w:w="15" w:type="dxa"/>
              <w:bottom w:w="0" w:type="dxa"/>
              <w:right w:w="15" w:type="dxa"/>
            </w:tcMar>
            <w:vAlign w:val="center"/>
          </w:tcPr>
          <w:p w14:paraId="79F044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4BACA74E">
            <w:pPr>
              <w:pageBreakBefore w:val="0"/>
              <w:kinsoku/>
              <w:wordWrap/>
              <w:topLinePunct w:val="0"/>
              <w:autoSpaceDE w:val="0"/>
              <w:autoSpaceDN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1、HMI人机界面的操作、运行；</w:t>
            </w:r>
          </w:p>
        </w:tc>
        <w:tc>
          <w:tcPr>
            <w:tcW w:w="480" w:type="pct"/>
            <w:shd w:val="clear" w:color="auto" w:fill="auto"/>
            <w:tcMar>
              <w:top w:w="15" w:type="dxa"/>
              <w:left w:w="15" w:type="dxa"/>
              <w:bottom w:w="0" w:type="dxa"/>
              <w:right w:w="15" w:type="dxa"/>
            </w:tcMar>
            <w:vAlign w:val="center"/>
          </w:tcPr>
          <w:p w14:paraId="6CF2CC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vMerge w:val="continue"/>
            <w:shd w:val="clear" w:color="auto" w:fill="auto"/>
            <w:tcMar>
              <w:top w:w="15" w:type="dxa"/>
              <w:left w:w="15" w:type="dxa"/>
              <w:bottom w:w="0" w:type="dxa"/>
              <w:right w:w="15" w:type="dxa"/>
            </w:tcMar>
            <w:vAlign w:val="center"/>
          </w:tcPr>
          <w:p w14:paraId="0C9227C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shd w:val="clear" w:color="auto" w:fill="auto"/>
            <w:vAlign w:val="center"/>
          </w:tcPr>
          <w:p w14:paraId="33619F1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操作工、维修工、设备工程师</w:t>
            </w:r>
          </w:p>
        </w:tc>
      </w:tr>
      <w:tr w14:paraId="0968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422" w:hRule="atLeast"/>
          <w:jc w:val="center"/>
        </w:trPr>
        <w:tc>
          <w:tcPr>
            <w:tcW w:w="341" w:type="pct"/>
            <w:shd w:val="clear" w:color="auto" w:fill="auto"/>
            <w:tcMar>
              <w:top w:w="15" w:type="dxa"/>
              <w:left w:w="15" w:type="dxa"/>
              <w:bottom w:w="0" w:type="dxa"/>
              <w:right w:w="15" w:type="dxa"/>
            </w:tcMar>
            <w:vAlign w:val="center"/>
          </w:tcPr>
          <w:p w14:paraId="3485B45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7</w:t>
            </w:r>
          </w:p>
        </w:tc>
        <w:tc>
          <w:tcPr>
            <w:tcW w:w="716" w:type="pct"/>
            <w:vMerge w:val="continue"/>
            <w:shd w:val="clear" w:color="auto" w:fill="auto"/>
            <w:tcMar>
              <w:top w:w="15" w:type="dxa"/>
              <w:left w:w="15" w:type="dxa"/>
              <w:bottom w:w="0" w:type="dxa"/>
              <w:right w:w="15" w:type="dxa"/>
            </w:tcMar>
            <w:vAlign w:val="center"/>
          </w:tcPr>
          <w:p w14:paraId="0E77E25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2E062436">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现场故障查询及处理</w:t>
            </w:r>
          </w:p>
        </w:tc>
        <w:tc>
          <w:tcPr>
            <w:tcW w:w="480" w:type="pct"/>
            <w:shd w:val="clear" w:color="auto" w:fill="auto"/>
            <w:tcMar>
              <w:top w:w="15" w:type="dxa"/>
              <w:left w:w="15" w:type="dxa"/>
              <w:bottom w:w="0" w:type="dxa"/>
              <w:right w:w="15" w:type="dxa"/>
            </w:tcMar>
            <w:vAlign w:val="center"/>
          </w:tcPr>
          <w:p w14:paraId="4FD89D0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vMerge w:val="continue"/>
            <w:shd w:val="clear" w:color="auto" w:fill="auto"/>
            <w:tcMar>
              <w:top w:w="15" w:type="dxa"/>
              <w:left w:w="15" w:type="dxa"/>
              <w:bottom w:w="0" w:type="dxa"/>
              <w:right w:w="15" w:type="dxa"/>
            </w:tcMar>
            <w:vAlign w:val="center"/>
          </w:tcPr>
          <w:p w14:paraId="58AA7D54">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vMerge w:val="restart"/>
            <w:shd w:val="clear" w:color="auto" w:fill="auto"/>
            <w:vAlign w:val="center"/>
          </w:tcPr>
          <w:p w14:paraId="6C42EB8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操作工、维修技师、设备工程师</w:t>
            </w:r>
          </w:p>
        </w:tc>
      </w:tr>
      <w:tr w14:paraId="7B6AB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6" w:hRule="atLeast"/>
          <w:jc w:val="center"/>
        </w:trPr>
        <w:tc>
          <w:tcPr>
            <w:tcW w:w="341" w:type="pct"/>
            <w:shd w:val="clear" w:color="auto" w:fill="auto"/>
            <w:tcMar>
              <w:top w:w="15" w:type="dxa"/>
              <w:left w:w="15" w:type="dxa"/>
              <w:bottom w:w="0" w:type="dxa"/>
              <w:right w:w="15" w:type="dxa"/>
            </w:tcMar>
            <w:vAlign w:val="center"/>
          </w:tcPr>
          <w:p w14:paraId="13A41A5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w:t>
            </w:r>
          </w:p>
        </w:tc>
        <w:tc>
          <w:tcPr>
            <w:tcW w:w="716" w:type="pct"/>
            <w:vMerge w:val="continue"/>
            <w:shd w:val="clear" w:color="auto" w:fill="auto"/>
            <w:tcMar>
              <w:top w:w="15" w:type="dxa"/>
              <w:left w:w="15" w:type="dxa"/>
              <w:bottom w:w="0" w:type="dxa"/>
              <w:right w:w="15" w:type="dxa"/>
            </w:tcMar>
            <w:vAlign w:val="center"/>
          </w:tcPr>
          <w:p w14:paraId="2EF17E0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75D1EDB3">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设备数据、程序备份</w:t>
            </w:r>
          </w:p>
        </w:tc>
        <w:tc>
          <w:tcPr>
            <w:tcW w:w="480" w:type="pct"/>
            <w:shd w:val="clear" w:color="auto" w:fill="auto"/>
            <w:tcMar>
              <w:top w:w="15" w:type="dxa"/>
              <w:left w:w="15" w:type="dxa"/>
              <w:bottom w:w="0" w:type="dxa"/>
              <w:right w:w="15" w:type="dxa"/>
            </w:tcMar>
            <w:vAlign w:val="center"/>
          </w:tcPr>
          <w:p w14:paraId="018A94C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4小时</w:t>
            </w:r>
          </w:p>
        </w:tc>
        <w:tc>
          <w:tcPr>
            <w:tcW w:w="757" w:type="pct"/>
            <w:vMerge w:val="continue"/>
            <w:shd w:val="clear" w:color="auto" w:fill="auto"/>
            <w:tcMar>
              <w:top w:w="15" w:type="dxa"/>
              <w:left w:w="15" w:type="dxa"/>
              <w:bottom w:w="0" w:type="dxa"/>
              <w:right w:w="15" w:type="dxa"/>
            </w:tcMar>
            <w:vAlign w:val="center"/>
          </w:tcPr>
          <w:p w14:paraId="75536BB7">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vMerge w:val="continue"/>
            <w:shd w:val="clear" w:color="auto" w:fill="auto"/>
            <w:vAlign w:val="center"/>
          </w:tcPr>
          <w:p w14:paraId="436431BB">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24AB6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405" w:hRule="atLeast"/>
          <w:jc w:val="center"/>
        </w:trPr>
        <w:tc>
          <w:tcPr>
            <w:tcW w:w="341" w:type="pct"/>
            <w:shd w:val="clear" w:color="auto" w:fill="auto"/>
            <w:tcMar>
              <w:top w:w="15" w:type="dxa"/>
              <w:left w:w="15" w:type="dxa"/>
              <w:bottom w:w="0" w:type="dxa"/>
              <w:right w:w="15" w:type="dxa"/>
            </w:tcMar>
            <w:vAlign w:val="center"/>
          </w:tcPr>
          <w:p w14:paraId="03B17D1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9</w:t>
            </w:r>
          </w:p>
        </w:tc>
        <w:tc>
          <w:tcPr>
            <w:tcW w:w="716" w:type="pct"/>
            <w:vMerge w:val="restart"/>
            <w:shd w:val="clear" w:color="auto" w:fill="auto"/>
            <w:tcMar>
              <w:top w:w="15" w:type="dxa"/>
              <w:left w:w="15" w:type="dxa"/>
              <w:bottom w:w="0" w:type="dxa"/>
              <w:right w:w="15" w:type="dxa"/>
            </w:tcMar>
            <w:vAlign w:val="center"/>
          </w:tcPr>
          <w:p w14:paraId="61C4FF1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机械培训</w:t>
            </w:r>
          </w:p>
        </w:tc>
        <w:tc>
          <w:tcPr>
            <w:tcW w:w="2007" w:type="pct"/>
            <w:shd w:val="clear" w:color="auto" w:fill="auto"/>
            <w:tcMar>
              <w:top w:w="15" w:type="dxa"/>
              <w:left w:w="15" w:type="dxa"/>
              <w:bottom w:w="0" w:type="dxa"/>
              <w:right w:w="15" w:type="dxa"/>
            </w:tcMar>
            <w:vAlign w:val="center"/>
          </w:tcPr>
          <w:p w14:paraId="124E3D04">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设备机械结构，设备机械图纸</w:t>
            </w:r>
          </w:p>
        </w:tc>
        <w:tc>
          <w:tcPr>
            <w:tcW w:w="480" w:type="pct"/>
            <w:shd w:val="clear" w:color="auto" w:fill="auto"/>
            <w:tcMar>
              <w:top w:w="15" w:type="dxa"/>
              <w:left w:w="15" w:type="dxa"/>
              <w:bottom w:w="0" w:type="dxa"/>
              <w:right w:w="15" w:type="dxa"/>
            </w:tcMar>
            <w:vAlign w:val="center"/>
          </w:tcPr>
          <w:p w14:paraId="590F62F9">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24小时</w:t>
            </w:r>
          </w:p>
        </w:tc>
        <w:tc>
          <w:tcPr>
            <w:tcW w:w="757" w:type="pct"/>
            <w:vMerge w:val="restart"/>
            <w:shd w:val="clear" w:color="auto" w:fill="auto"/>
            <w:tcMar>
              <w:top w:w="15" w:type="dxa"/>
              <w:left w:w="15" w:type="dxa"/>
              <w:bottom w:w="0" w:type="dxa"/>
              <w:right w:w="15" w:type="dxa"/>
            </w:tcMar>
            <w:vAlign w:val="center"/>
          </w:tcPr>
          <w:p w14:paraId="63FEAFE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设备安装调试结束后2个月之内</w:t>
            </w:r>
          </w:p>
        </w:tc>
        <w:tc>
          <w:tcPr>
            <w:tcW w:w="695" w:type="pct"/>
            <w:vMerge w:val="continue"/>
            <w:shd w:val="clear" w:color="auto" w:fill="auto"/>
            <w:vAlign w:val="center"/>
          </w:tcPr>
          <w:p w14:paraId="4BF7EEE3">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39858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397" w:hRule="atLeast"/>
          <w:jc w:val="center"/>
        </w:trPr>
        <w:tc>
          <w:tcPr>
            <w:tcW w:w="341" w:type="pct"/>
            <w:shd w:val="clear" w:color="auto" w:fill="auto"/>
            <w:tcMar>
              <w:top w:w="15" w:type="dxa"/>
              <w:left w:w="15" w:type="dxa"/>
              <w:bottom w:w="0" w:type="dxa"/>
              <w:right w:w="15" w:type="dxa"/>
            </w:tcMar>
            <w:vAlign w:val="center"/>
          </w:tcPr>
          <w:p w14:paraId="18EC88B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10</w:t>
            </w:r>
          </w:p>
        </w:tc>
        <w:tc>
          <w:tcPr>
            <w:tcW w:w="716" w:type="pct"/>
            <w:vMerge w:val="continue"/>
            <w:shd w:val="clear" w:color="auto" w:fill="auto"/>
            <w:tcMar>
              <w:top w:w="15" w:type="dxa"/>
              <w:left w:w="15" w:type="dxa"/>
              <w:bottom w:w="0" w:type="dxa"/>
              <w:right w:w="15" w:type="dxa"/>
            </w:tcMar>
            <w:vAlign w:val="center"/>
          </w:tcPr>
          <w:p w14:paraId="08A740AF">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2608B0F5">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设备润滑及保养</w:t>
            </w:r>
          </w:p>
        </w:tc>
        <w:tc>
          <w:tcPr>
            <w:tcW w:w="480" w:type="pct"/>
            <w:shd w:val="clear" w:color="auto" w:fill="auto"/>
            <w:tcMar>
              <w:top w:w="15" w:type="dxa"/>
              <w:left w:w="15" w:type="dxa"/>
              <w:bottom w:w="0" w:type="dxa"/>
              <w:right w:w="15" w:type="dxa"/>
            </w:tcMar>
            <w:vAlign w:val="center"/>
          </w:tcPr>
          <w:p w14:paraId="38039571">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8小时</w:t>
            </w:r>
          </w:p>
        </w:tc>
        <w:tc>
          <w:tcPr>
            <w:tcW w:w="757" w:type="pct"/>
            <w:vMerge w:val="continue"/>
            <w:shd w:val="clear" w:color="auto" w:fill="auto"/>
            <w:tcMar>
              <w:top w:w="15" w:type="dxa"/>
              <w:left w:w="15" w:type="dxa"/>
              <w:bottom w:w="0" w:type="dxa"/>
              <w:right w:w="15" w:type="dxa"/>
            </w:tcMar>
            <w:vAlign w:val="center"/>
          </w:tcPr>
          <w:p w14:paraId="6D052A9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vMerge w:val="continue"/>
            <w:shd w:val="clear" w:color="auto" w:fill="auto"/>
            <w:vAlign w:val="center"/>
          </w:tcPr>
          <w:p w14:paraId="0698090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68FC5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0" w:hRule="atLeast"/>
          <w:jc w:val="center"/>
        </w:trPr>
        <w:tc>
          <w:tcPr>
            <w:tcW w:w="341" w:type="pct"/>
            <w:shd w:val="clear" w:color="auto" w:fill="auto"/>
            <w:tcMar>
              <w:top w:w="15" w:type="dxa"/>
              <w:left w:w="15" w:type="dxa"/>
              <w:bottom w:w="0" w:type="dxa"/>
              <w:right w:w="15" w:type="dxa"/>
            </w:tcMar>
            <w:vAlign w:val="center"/>
          </w:tcPr>
          <w:p w14:paraId="5F630EF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11</w:t>
            </w:r>
          </w:p>
        </w:tc>
        <w:tc>
          <w:tcPr>
            <w:tcW w:w="716" w:type="pct"/>
            <w:vMerge w:val="continue"/>
            <w:shd w:val="clear" w:color="auto" w:fill="auto"/>
            <w:tcMar>
              <w:top w:w="15" w:type="dxa"/>
              <w:left w:w="15" w:type="dxa"/>
              <w:bottom w:w="0" w:type="dxa"/>
              <w:right w:w="15" w:type="dxa"/>
            </w:tcMar>
            <w:vAlign w:val="center"/>
          </w:tcPr>
          <w:p w14:paraId="5CB8EB9C">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3729BD8E">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设备易损件更换及维修</w:t>
            </w:r>
          </w:p>
        </w:tc>
        <w:tc>
          <w:tcPr>
            <w:tcW w:w="480" w:type="pct"/>
            <w:shd w:val="clear" w:color="auto" w:fill="auto"/>
            <w:tcMar>
              <w:top w:w="15" w:type="dxa"/>
              <w:left w:w="15" w:type="dxa"/>
              <w:bottom w:w="0" w:type="dxa"/>
              <w:right w:w="15" w:type="dxa"/>
            </w:tcMar>
            <w:vAlign w:val="center"/>
          </w:tcPr>
          <w:p w14:paraId="66ADF47D">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vMerge w:val="continue"/>
            <w:shd w:val="clear" w:color="auto" w:fill="auto"/>
            <w:tcMar>
              <w:top w:w="15" w:type="dxa"/>
              <w:left w:w="15" w:type="dxa"/>
              <w:bottom w:w="0" w:type="dxa"/>
              <w:right w:w="15" w:type="dxa"/>
            </w:tcMar>
            <w:vAlign w:val="center"/>
          </w:tcPr>
          <w:p w14:paraId="31580A78">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vMerge w:val="continue"/>
            <w:shd w:val="clear" w:color="auto" w:fill="auto"/>
            <w:vAlign w:val="center"/>
          </w:tcPr>
          <w:p w14:paraId="6E746512">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r w14:paraId="02A5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cantSplit/>
          <w:trHeight w:val="435" w:hRule="atLeast"/>
          <w:jc w:val="center"/>
        </w:trPr>
        <w:tc>
          <w:tcPr>
            <w:tcW w:w="341" w:type="pct"/>
            <w:shd w:val="clear" w:color="auto" w:fill="auto"/>
            <w:tcMar>
              <w:top w:w="15" w:type="dxa"/>
              <w:left w:w="15" w:type="dxa"/>
              <w:bottom w:w="0" w:type="dxa"/>
              <w:right w:w="15" w:type="dxa"/>
            </w:tcMar>
            <w:vAlign w:val="center"/>
          </w:tcPr>
          <w:p w14:paraId="398FEB3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12</w:t>
            </w:r>
          </w:p>
        </w:tc>
        <w:tc>
          <w:tcPr>
            <w:tcW w:w="716" w:type="pct"/>
            <w:vMerge w:val="continue"/>
            <w:shd w:val="clear" w:color="auto" w:fill="auto"/>
            <w:tcMar>
              <w:top w:w="15" w:type="dxa"/>
              <w:left w:w="15" w:type="dxa"/>
              <w:bottom w:w="0" w:type="dxa"/>
              <w:right w:w="15" w:type="dxa"/>
            </w:tcMar>
            <w:vAlign w:val="center"/>
          </w:tcPr>
          <w:p w14:paraId="0BEFD735">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2007" w:type="pct"/>
            <w:shd w:val="clear" w:color="auto" w:fill="auto"/>
            <w:tcMar>
              <w:top w:w="15" w:type="dxa"/>
              <w:left w:w="15" w:type="dxa"/>
              <w:bottom w:w="0" w:type="dxa"/>
              <w:right w:w="15" w:type="dxa"/>
            </w:tcMar>
            <w:vAlign w:val="center"/>
          </w:tcPr>
          <w:p w14:paraId="3AD748E3">
            <w:pPr>
              <w:pageBreakBefore w:val="0"/>
              <w:kinsoku/>
              <w:wordWrap/>
              <w:topLinePunct w:val="0"/>
              <w:bidi w:val="0"/>
              <w:adjustRightInd w:val="0"/>
              <w:snapToGrid w:val="0"/>
              <w:spacing w:afterAutospacing="0" w:line="240" w:lineRule="auto"/>
              <w:ind w:left="0" w:leftChars="0" w:firstLine="0" w:firstLineChars="0"/>
              <w:jc w:val="both"/>
              <w:rPr>
                <w:rFonts w:hint="eastAsia" w:ascii="宋体" w:hAnsi="宋体" w:eastAsia="宋体" w:cs="宋体"/>
                <w:sz w:val="24"/>
              </w:rPr>
            </w:pPr>
            <w:r>
              <w:rPr>
                <w:rFonts w:hint="eastAsia" w:ascii="宋体" w:hAnsi="宋体" w:eastAsia="宋体" w:cs="宋体"/>
                <w:sz w:val="24"/>
              </w:rPr>
              <w:t>主要机械部件更换及维修</w:t>
            </w:r>
          </w:p>
        </w:tc>
        <w:tc>
          <w:tcPr>
            <w:tcW w:w="480" w:type="pct"/>
            <w:shd w:val="clear" w:color="auto" w:fill="auto"/>
            <w:tcMar>
              <w:top w:w="15" w:type="dxa"/>
              <w:left w:w="15" w:type="dxa"/>
              <w:bottom w:w="0" w:type="dxa"/>
              <w:right w:w="15" w:type="dxa"/>
            </w:tcMar>
            <w:vAlign w:val="center"/>
          </w:tcPr>
          <w:p w14:paraId="399A1B90">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r>
              <w:rPr>
                <w:rFonts w:hint="eastAsia" w:ascii="宋体" w:hAnsi="宋体" w:eastAsia="宋体" w:cs="宋体"/>
                <w:sz w:val="24"/>
              </w:rPr>
              <w:t>16小时</w:t>
            </w:r>
          </w:p>
        </w:tc>
        <w:tc>
          <w:tcPr>
            <w:tcW w:w="757" w:type="pct"/>
            <w:vMerge w:val="continue"/>
            <w:shd w:val="clear" w:color="auto" w:fill="auto"/>
            <w:tcMar>
              <w:top w:w="15" w:type="dxa"/>
              <w:left w:w="15" w:type="dxa"/>
              <w:bottom w:w="0" w:type="dxa"/>
              <w:right w:w="15" w:type="dxa"/>
            </w:tcMar>
            <w:vAlign w:val="center"/>
          </w:tcPr>
          <w:p w14:paraId="145906CA">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c>
          <w:tcPr>
            <w:tcW w:w="695" w:type="pct"/>
            <w:vMerge w:val="continue"/>
            <w:shd w:val="clear" w:color="auto" w:fill="auto"/>
            <w:vAlign w:val="center"/>
          </w:tcPr>
          <w:p w14:paraId="07E25666">
            <w:pPr>
              <w:pageBreakBefore w:val="0"/>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sz w:val="24"/>
              </w:rPr>
            </w:pPr>
          </w:p>
        </w:tc>
      </w:tr>
    </w:tbl>
    <w:p w14:paraId="5F93C690">
      <w:pPr>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4.2</w:t>
      </w:r>
      <w:r>
        <w:rPr>
          <w:rFonts w:hint="eastAsia" w:ascii="宋体" w:hAnsi="宋体" w:cs="宋体"/>
          <w:sz w:val="24"/>
          <w:lang w:eastAsia="zh-CN"/>
        </w:rPr>
        <w:t>招标人</w:t>
      </w:r>
      <w:r>
        <w:rPr>
          <w:rFonts w:hint="eastAsia" w:ascii="宋体" w:hAnsi="宋体" w:eastAsia="宋体" w:cs="宋体"/>
          <w:sz w:val="24"/>
        </w:rPr>
        <w:t>受训人员掌握技能目标：</w:t>
      </w:r>
    </w:p>
    <w:p w14:paraId="5EA87128">
      <w:pPr>
        <w:pStyle w:val="154"/>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参加培训的人员可以独立正确操作、点检及保养设备。</w:t>
      </w:r>
    </w:p>
    <w:p w14:paraId="05C2B26C">
      <w:pPr>
        <w:pStyle w:val="154"/>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能熟练的浏览人机界面及利用人机界面查找故障。</w:t>
      </w:r>
    </w:p>
    <w:p w14:paraId="59EC38A4">
      <w:pPr>
        <w:pStyle w:val="154"/>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参加培训的人员能掌握设备的电气原理、机械结构及性能。</w:t>
      </w:r>
    </w:p>
    <w:p w14:paraId="241E740D">
      <w:pPr>
        <w:pStyle w:val="316"/>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能够进行电气、机械故障排查及维修。</w:t>
      </w:r>
    </w:p>
    <w:p w14:paraId="7F4AB3D3">
      <w:pPr>
        <w:pStyle w:val="316"/>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能够熟练使用编程软件、程序查看、程序修改、上传和下载程序。</w:t>
      </w:r>
    </w:p>
    <w:p w14:paraId="1407645D">
      <w:pPr>
        <w:pStyle w:val="316"/>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能够熟练使用人机界面编程软件并能对人机画面修改，并对程序下载。</w:t>
      </w:r>
    </w:p>
    <w:p w14:paraId="0DC3AA2C">
      <w:pPr>
        <w:pStyle w:val="316"/>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能够熟练对变频器参数进行修改，并知道每个参数的功能及作用。</w:t>
      </w:r>
    </w:p>
    <w:p w14:paraId="39DBD739">
      <w:pPr>
        <w:pStyle w:val="154"/>
        <w:pageBreakBefore w:val="0"/>
        <w:numPr>
          <w:ilvl w:val="0"/>
          <w:numId w:val="439"/>
        </w:numPr>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能够独立更换电气及机械元件。</w:t>
      </w:r>
    </w:p>
    <w:p w14:paraId="4CE37F74">
      <w:pPr>
        <w:pStyle w:val="316"/>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必须确保培训的有效性，使受培训的</w:t>
      </w:r>
      <w:r>
        <w:rPr>
          <w:rFonts w:hint="eastAsia" w:ascii="宋体" w:hAnsi="宋体" w:eastAsia="宋体" w:cs="宋体"/>
          <w:sz w:val="24"/>
          <w:szCs w:val="24"/>
          <w:lang w:eastAsia="zh-CN"/>
        </w:rPr>
        <w:t>招标人</w:t>
      </w:r>
      <w:r>
        <w:rPr>
          <w:rFonts w:hint="eastAsia" w:ascii="宋体" w:hAnsi="宋体" w:eastAsia="宋体" w:cs="宋体"/>
          <w:sz w:val="24"/>
          <w:szCs w:val="24"/>
        </w:rPr>
        <w:t>员工能够独立地解决和排除相应的设备问题。</w:t>
      </w:r>
    </w:p>
    <w:p w14:paraId="38F7594E">
      <w:pPr>
        <w:pStyle w:val="316"/>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b/>
          <w:sz w:val="24"/>
          <w:szCs w:val="24"/>
        </w:rPr>
      </w:pPr>
      <w:r>
        <w:rPr>
          <w:rFonts w:hint="eastAsia" w:ascii="宋体" w:hAnsi="宋体" w:eastAsia="宋体" w:cs="宋体"/>
          <w:b/>
          <w:sz w:val="24"/>
          <w:szCs w:val="24"/>
        </w:rPr>
        <w:t>五、资料、辅件</w:t>
      </w:r>
    </w:p>
    <w:p w14:paraId="2D45468E">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资料提供要求</w:t>
      </w:r>
    </w:p>
    <w:tbl>
      <w:tblPr>
        <w:tblStyle w:val="44"/>
        <w:tblW w:w="5000" w:type="pct"/>
        <w:tblInd w:w="0" w:type="dxa"/>
        <w:tblLayout w:type="autofit"/>
        <w:tblCellMar>
          <w:top w:w="0" w:type="dxa"/>
          <w:left w:w="108" w:type="dxa"/>
          <w:bottom w:w="0" w:type="dxa"/>
          <w:right w:w="108" w:type="dxa"/>
        </w:tblCellMar>
      </w:tblPr>
      <w:tblGrid>
        <w:gridCol w:w="1098"/>
        <w:gridCol w:w="6457"/>
        <w:gridCol w:w="821"/>
        <w:gridCol w:w="821"/>
        <w:gridCol w:w="457"/>
      </w:tblGrid>
      <w:tr w14:paraId="79F6B5C1">
        <w:tblPrEx>
          <w:tblCellMar>
            <w:top w:w="0" w:type="dxa"/>
            <w:left w:w="108" w:type="dxa"/>
            <w:bottom w:w="0" w:type="dxa"/>
            <w:right w:w="108" w:type="dxa"/>
          </w:tblCellMar>
        </w:tblPrEx>
        <w:trPr>
          <w:trHeight w:val="408" w:hRule="atLeast"/>
        </w:trPr>
        <w:tc>
          <w:tcPr>
            <w:tcW w:w="56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68E37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r>
              <w:rPr>
                <w:rFonts w:hint="eastAsia" w:ascii="宋体" w:hAnsi="宋体" w:eastAsia="宋体" w:cs="宋体"/>
                <w:b/>
                <w:bCs/>
                <w:kern w:val="0"/>
                <w:sz w:val="24"/>
              </w:rPr>
              <w:t>序号</w:t>
            </w:r>
          </w:p>
        </w:tc>
        <w:tc>
          <w:tcPr>
            <w:tcW w:w="3343"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B260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r>
              <w:rPr>
                <w:rFonts w:hint="eastAsia" w:ascii="宋体" w:hAnsi="宋体" w:eastAsia="宋体" w:cs="宋体"/>
                <w:b/>
                <w:bCs/>
                <w:kern w:val="0"/>
                <w:sz w:val="24"/>
              </w:rPr>
              <w:t>资料名称</w:t>
            </w:r>
          </w:p>
        </w:tc>
        <w:tc>
          <w:tcPr>
            <w:tcW w:w="850" w:type="pct"/>
            <w:gridSpan w:val="2"/>
            <w:tcBorders>
              <w:top w:val="single" w:color="auto" w:sz="4" w:space="0"/>
              <w:left w:val="nil"/>
              <w:bottom w:val="single" w:color="auto" w:sz="4" w:space="0"/>
              <w:right w:val="single" w:color="auto" w:sz="4" w:space="0"/>
            </w:tcBorders>
            <w:shd w:val="clear" w:color="auto" w:fill="auto"/>
            <w:vAlign w:val="center"/>
          </w:tcPr>
          <w:p w14:paraId="494636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r>
              <w:rPr>
                <w:rFonts w:hint="eastAsia" w:ascii="宋体" w:hAnsi="宋体" w:eastAsia="宋体" w:cs="宋体"/>
                <w:b/>
                <w:bCs/>
                <w:kern w:val="0"/>
                <w:sz w:val="24"/>
              </w:rPr>
              <w:t>资料形式</w:t>
            </w:r>
          </w:p>
        </w:tc>
        <w:tc>
          <w:tcPr>
            <w:tcW w:w="236"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4569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r>
              <w:rPr>
                <w:rFonts w:hint="eastAsia" w:ascii="宋体" w:hAnsi="宋体" w:eastAsia="宋体" w:cs="宋体"/>
                <w:b/>
                <w:bCs/>
                <w:kern w:val="0"/>
                <w:sz w:val="24"/>
              </w:rPr>
              <w:t>备注</w:t>
            </w:r>
          </w:p>
        </w:tc>
      </w:tr>
      <w:tr w14:paraId="5DDBA2FA">
        <w:tblPrEx>
          <w:tblCellMar>
            <w:top w:w="0" w:type="dxa"/>
            <w:left w:w="108" w:type="dxa"/>
            <w:bottom w:w="0" w:type="dxa"/>
            <w:right w:w="108" w:type="dxa"/>
          </w:tblCellMar>
        </w:tblPrEx>
        <w:trPr>
          <w:trHeight w:val="408" w:hRule="atLeast"/>
        </w:trPr>
        <w:tc>
          <w:tcPr>
            <w:tcW w:w="569" w:type="pct"/>
            <w:vMerge w:val="continue"/>
            <w:tcBorders>
              <w:top w:val="single" w:color="auto" w:sz="4" w:space="0"/>
              <w:left w:val="single" w:color="auto" w:sz="4" w:space="0"/>
              <w:bottom w:val="single" w:color="auto" w:sz="4" w:space="0"/>
              <w:right w:val="single" w:color="auto" w:sz="4" w:space="0"/>
            </w:tcBorders>
            <w:vAlign w:val="center"/>
          </w:tcPr>
          <w:p w14:paraId="1676957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p>
        </w:tc>
        <w:tc>
          <w:tcPr>
            <w:tcW w:w="3343" w:type="pct"/>
            <w:vMerge w:val="continue"/>
            <w:tcBorders>
              <w:top w:val="single" w:color="auto" w:sz="4" w:space="0"/>
              <w:left w:val="single" w:color="auto" w:sz="4" w:space="0"/>
              <w:bottom w:val="single" w:color="auto" w:sz="4" w:space="0"/>
              <w:right w:val="single" w:color="auto" w:sz="4" w:space="0"/>
            </w:tcBorders>
            <w:vAlign w:val="center"/>
          </w:tcPr>
          <w:p w14:paraId="161F577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p>
        </w:tc>
        <w:tc>
          <w:tcPr>
            <w:tcW w:w="425" w:type="pct"/>
            <w:tcBorders>
              <w:top w:val="nil"/>
              <w:left w:val="nil"/>
              <w:bottom w:val="single" w:color="auto" w:sz="4" w:space="0"/>
              <w:right w:val="single" w:color="auto" w:sz="4" w:space="0"/>
            </w:tcBorders>
            <w:shd w:val="clear" w:color="auto" w:fill="auto"/>
            <w:vAlign w:val="center"/>
          </w:tcPr>
          <w:p w14:paraId="4621FC7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书面版</w:t>
            </w:r>
          </w:p>
        </w:tc>
        <w:tc>
          <w:tcPr>
            <w:tcW w:w="425" w:type="pct"/>
            <w:tcBorders>
              <w:top w:val="nil"/>
              <w:left w:val="nil"/>
              <w:bottom w:val="single" w:color="auto" w:sz="4" w:space="0"/>
              <w:right w:val="single" w:color="auto" w:sz="4" w:space="0"/>
            </w:tcBorders>
            <w:shd w:val="clear" w:color="auto" w:fill="auto"/>
            <w:vAlign w:val="center"/>
          </w:tcPr>
          <w:p w14:paraId="2FA68C3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电子版</w:t>
            </w:r>
          </w:p>
        </w:tc>
        <w:tc>
          <w:tcPr>
            <w:tcW w:w="236" w:type="pct"/>
            <w:vMerge w:val="continue"/>
            <w:tcBorders>
              <w:top w:val="single" w:color="auto" w:sz="4" w:space="0"/>
              <w:left w:val="single" w:color="auto" w:sz="4" w:space="0"/>
              <w:bottom w:val="single" w:color="auto" w:sz="4" w:space="0"/>
              <w:right w:val="single" w:color="auto" w:sz="4" w:space="0"/>
            </w:tcBorders>
            <w:vAlign w:val="center"/>
          </w:tcPr>
          <w:p w14:paraId="465EBD3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b/>
                <w:bCs/>
                <w:kern w:val="0"/>
                <w:sz w:val="24"/>
              </w:rPr>
            </w:pPr>
          </w:p>
        </w:tc>
      </w:tr>
      <w:tr w14:paraId="1DF2D74B">
        <w:tblPrEx>
          <w:tblCellMar>
            <w:top w:w="0" w:type="dxa"/>
            <w:left w:w="108" w:type="dxa"/>
            <w:bottom w:w="0" w:type="dxa"/>
            <w:right w:w="108" w:type="dxa"/>
          </w:tblCellMar>
        </w:tblPrEx>
        <w:trPr>
          <w:trHeight w:val="276" w:hRule="atLeast"/>
        </w:trPr>
        <w:tc>
          <w:tcPr>
            <w:tcW w:w="569" w:type="pct"/>
            <w:vMerge w:val="restart"/>
            <w:tcBorders>
              <w:top w:val="nil"/>
              <w:left w:val="single" w:color="auto" w:sz="4" w:space="0"/>
              <w:bottom w:val="single" w:color="auto" w:sz="4" w:space="0"/>
              <w:right w:val="single" w:color="auto" w:sz="4" w:space="0"/>
            </w:tcBorders>
            <w:shd w:val="clear" w:color="auto" w:fill="auto"/>
            <w:vAlign w:val="center"/>
          </w:tcPr>
          <w:p w14:paraId="5E77171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设计完成</w:t>
            </w:r>
          </w:p>
        </w:tc>
        <w:tc>
          <w:tcPr>
            <w:tcW w:w="3343" w:type="pct"/>
            <w:tcBorders>
              <w:top w:val="nil"/>
              <w:left w:val="nil"/>
              <w:bottom w:val="single" w:color="auto" w:sz="4" w:space="0"/>
              <w:right w:val="single" w:color="auto" w:sz="4" w:space="0"/>
            </w:tcBorders>
            <w:shd w:val="clear" w:color="auto" w:fill="auto"/>
            <w:vAlign w:val="center"/>
          </w:tcPr>
          <w:p w14:paraId="428D633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设备平面布置图</w:t>
            </w:r>
          </w:p>
        </w:tc>
        <w:tc>
          <w:tcPr>
            <w:tcW w:w="425" w:type="pct"/>
            <w:tcBorders>
              <w:top w:val="nil"/>
              <w:left w:val="nil"/>
              <w:bottom w:val="single" w:color="auto" w:sz="4" w:space="0"/>
              <w:right w:val="single" w:color="auto" w:sz="4" w:space="0"/>
            </w:tcBorders>
            <w:shd w:val="clear" w:color="auto" w:fill="auto"/>
            <w:vAlign w:val="center"/>
          </w:tcPr>
          <w:p w14:paraId="25E8771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931141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restart"/>
            <w:tcBorders>
              <w:top w:val="nil"/>
              <w:left w:val="single" w:color="auto" w:sz="4" w:space="0"/>
              <w:bottom w:val="single" w:color="auto" w:sz="4" w:space="0"/>
              <w:right w:val="single" w:color="auto" w:sz="4" w:space="0"/>
            </w:tcBorders>
            <w:shd w:val="clear" w:color="auto" w:fill="auto"/>
            <w:vAlign w:val="center"/>
          </w:tcPr>
          <w:p w14:paraId="3931491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5EC418C4">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1B358AA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24BF71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设备动能使用点及其用量图、所有管道走向布置图</w:t>
            </w:r>
          </w:p>
        </w:tc>
        <w:tc>
          <w:tcPr>
            <w:tcW w:w="425" w:type="pct"/>
            <w:tcBorders>
              <w:top w:val="nil"/>
              <w:left w:val="nil"/>
              <w:bottom w:val="single" w:color="auto" w:sz="4" w:space="0"/>
              <w:right w:val="single" w:color="auto" w:sz="4" w:space="0"/>
            </w:tcBorders>
            <w:shd w:val="clear" w:color="auto" w:fill="auto"/>
            <w:vAlign w:val="center"/>
          </w:tcPr>
          <w:p w14:paraId="41620AE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51FFC9C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7E2327C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5FCB3011">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3765697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6E18894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设备动作描述图</w:t>
            </w:r>
          </w:p>
        </w:tc>
        <w:tc>
          <w:tcPr>
            <w:tcW w:w="425" w:type="pct"/>
            <w:tcBorders>
              <w:top w:val="nil"/>
              <w:left w:val="nil"/>
              <w:bottom w:val="single" w:color="auto" w:sz="4" w:space="0"/>
              <w:right w:val="single" w:color="auto" w:sz="4" w:space="0"/>
            </w:tcBorders>
            <w:shd w:val="clear" w:color="auto" w:fill="auto"/>
            <w:vAlign w:val="center"/>
          </w:tcPr>
          <w:p w14:paraId="0EA4610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30143C9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785FDEE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38D0C209">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4DD417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436308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设备总图、原理图、流程图、断面图、设备安装图（装配图）、部件图。</w:t>
            </w:r>
          </w:p>
        </w:tc>
        <w:tc>
          <w:tcPr>
            <w:tcW w:w="425" w:type="pct"/>
            <w:tcBorders>
              <w:top w:val="nil"/>
              <w:left w:val="nil"/>
              <w:bottom w:val="single" w:color="auto" w:sz="4" w:space="0"/>
              <w:right w:val="single" w:color="auto" w:sz="4" w:space="0"/>
            </w:tcBorders>
            <w:shd w:val="clear" w:color="auto" w:fill="auto"/>
            <w:vAlign w:val="center"/>
          </w:tcPr>
          <w:p w14:paraId="091C840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4EAFD50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6AD3BAA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0F716DC3">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799676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54FEFB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外购件明细表（含型号、规格、数量、能源消耗及备选厂家）</w:t>
            </w:r>
          </w:p>
        </w:tc>
        <w:tc>
          <w:tcPr>
            <w:tcW w:w="425" w:type="pct"/>
            <w:tcBorders>
              <w:top w:val="nil"/>
              <w:left w:val="nil"/>
              <w:bottom w:val="single" w:color="auto" w:sz="4" w:space="0"/>
              <w:right w:val="single" w:color="auto" w:sz="4" w:space="0"/>
            </w:tcBorders>
            <w:shd w:val="clear" w:color="auto" w:fill="auto"/>
            <w:vAlign w:val="center"/>
          </w:tcPr>
          <w:p w14:paraId="37F22B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38AF67D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23FCCE6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7692539">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2BD5544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4433F71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材料清单</w:t>
            </w:r>
          </w:p>
        </w:tc>
        <w:tc>
          <w:tcPr>
            <w:tcW w:w="425" w:type="pct"/>
            <w:tcBorders>
              <w:top w:val="nil"/>
              <w:left w:val="nil"/>
              <w:bottom w:val="single" w:color="auto" w:sz="4" w:space="0"/>
              <w:right w:val="single" w:color="auto" w:sz="4" w:space="0"/>
            </w:tcBorders>
            <w:shd w:val="clear" w:color="auto" w:fill="auto"/>
            <w:vAlign w:val="center"/>
          </w:tcPr>
          <w:p w14:paraId="522AB9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27A32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4D037AA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343D04A2">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ECB213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3233E64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标准件清单</w:t>
            </w:r>
          </w:p>
        </w:tc>
        <w:tc>
          <w:tcPr>
            <w:tcW w:w="425" w:type="pct"/>
            <w:tcBorders>
              <w:top w:val="nil"/>
              <w:left w:val="nil"/>
              <w:bottom w:val="single" w:color="auto" w:sz="4" w:space="0"/>
              <w:right w:val="single" w:color="auto" w:sz="4" w:space="0"/>
            </w:tcBorders>
            <w:shd w:val="clear" w:color="auto" w:fill="auto"/>
            <w:vAlign w:val="center"/>
          </w:tcPr>
          <w:p w14:paraId="42D6CDB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6F94B29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195EE3E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7E0350FD">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53BC38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04017E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备件清单</w:t>
            </w:r>
          </w:p>
        </w:tc>
        <w:tc>
          <w:tcPr>
            <w:tcW w:w="425" w:type="pct"/>
            <w:tcBorders>
              <w:top w:val="nil"/>
              <w:left w:val="nil"/>
              <w:bottom w:val="single" w:color="auto" w:sz="4" w:space="0"/>
              <w:right w:val="single" w:color="auto" w:sz="4" w:space="0"/>
            </w:tcBorders>
            <w:shd w:val="clear" w:color="auto" w:fill="auto"/>
            <w:vAlign w:val="center"/>
          </w:tcPr>
          <w:p w14:paraId="1B403F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030158B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19644C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B75DA86">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5C29710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17900F5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专用工具清单</w:t>
            </w:r>
          </w:p>
        </w:tc>
        <w:tc>
          <w:tcPr>
            <w:tcW w:w="425" w:type="pct"/>
            <w:tcBorders>
              <w:top w:val="nil"/>
              <w:left w:val="nil"/>
              <w:bottom w:val="single" w:color="auto" w:sz="4" w:space="0"/>
              <w:right w:val="single" w:color="auto" w:sz="4" w:space="0"/>
            </w:tcBorders>
            <w:shd w:val="clear" w:color="auto" w:fill="auto"/>
            <w:vAlign w:val="center"/>
          </w:tcPr>
          <w:p w14:paraId="461312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1EC1067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028A85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5A05948">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1B93DD8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2C6DC4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项目实施方案及计划</w:t>
            </w:r>
          </w:p>
        </w:tc>
        <w:tc>
          <w:tcPr>
            <w:tcW w:w="425" w:type="pct"/>
            <w:tcBorders>
              <w:top w:val="nil"/>
              <w:left w:val="nil"/>
              <w:bottom w:val="single" w:color="auto" w:sz="4" w:space="0"/>
              <w:right w:val="single" w:color="auto" w:sz="4" w:space="0"/>
            </w:tcBorders>
            <w:shd w:val="clear" w:color="auto" w:fill="auto"/>
            <w:vAlign w:val="center"/>
          </w:tcPr>
          <w:p w14:paraId="6C80977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1F1D335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2625C6D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7F0E377">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0EFAC07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25D15FB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技术服务方案及人员培训计划</w:t>
            </w:r>
          </w:p>
        </w:tc>
        <w:tc>
          <w:tcPr>
            <w:tcW w:w="425" w:type="pct"/>
            <w:tcBorders>
              <w:top w:val="nil"/>
              <w:left w:val="nil"/>
              <w:bottom w:val="single" w:color="auto" w:sz="4" w:space="0"/>
              <w:right w:val="single" w:color="auto" w:sz="4" w:space="0"/>
            </w:tcBorders>
            <w:shd w:val="clear" w:color="auto" w:fill="auto"/>
            <w:vAlign w:val="center"/>
          </w:tcPr>
          <w:p w14:paraId="088DC5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3343541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vMerge w:val="continue"/>
            <w:tcBorders>
              <w:top w:val="nil"/>
              <w:left w:val="single" w:color="auto" w:sz="4" w:space="0"/>
              <w:bottom w:val="single" w:color="auto" w:sz="4" w:space="0"/>
              <w:right w:val="single" w:color="auto" w:sz="4" w:space="0"/>
            </w:tcBorders>
            <w:vAlign w:val="center"/>
          </w:tcPr>
          <w:p w14:paraId="306C71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3FB29023">
        <w:tblPrEx>
          <w:tblCellMar>
            <w:top w:w="0" w:type="dxa"/>
            <w:left w:w="108" w:type="dxa"/>
            <w:bottom w:w="0" w:type="dxa"/>
            <w:right w:w="108" w:type="dxa"/>
          </w:tblCellMar>
        </w:tblPrEx>
        <w:trPr>
          <w:trHeight w:val="408" w:hRule="atLeast"/>
        </w:trPr>
        <w:tc>
          <w:tcPr>
            <w:tcW w:w="569" w:type="pct"/>
            <w:vMerge w:val="restart"/>
            <w:tcBorders>
              <w:top w:val="nil"/>
              <w:left w:val="single" w:color="auto" w:sz="4" w:space="0"/>
              <w:bottom w:val="single" w:color="auto" w:sz="4" w:space="0"/>
              <w:right w:val="single" w:color="auto" w:sz="4" w:space="0"/>
            </w:tcBorders>
            <w:shd w:val="clear" w:color="auto" w:fill="auto"/>
            <w:vAlign w:val="center"/>
          </w:tcPr>
          <w:p w14:paraId="1B4B4B5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工程施工</w:t>
            </w:r>
          </w:p>
        </w:tc>
        <w:tc>
          <w:tcPr>
            <w:tcW w:w="3343" w:type="pct"/>
            <w:tcBorders>
              <w:top w:val="nil"/>
              <w:left w:val="nil"/>
              <w:bottom w:val="single" w:color="auto" w:sz="4" w:space="0"/>
              <w:right w:val="single" w:color="auto" w:sz="4" w:space="0"/>
            </w:tcBorders>
            <w:shd w:val="clear" w:color="auto" w:fill="auto"/>
            <w:vAlign w:val="center"/>
          </w:tcPr>
          <w:p w14:paraId="439EBC5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装箱清单</w:t>
            </w:r>
          </w:p>
        </w:tc>
        <w:tc>
          <w:tcPr>
            <w:tcW w:w="425" w:type="pct"/>
            <w:tcBorders>
              <w:top w:val="nil"/>
              <w:left w:val="nil"/>
              <w:bottom w:val="single" w:color="auto" w:sz="4" w:space="0"/>
              <w:right w:val="single" w:color="auto" w:sz="4" w:space="0"/>
            </w:tcBorders>
            <w:shd w:val="clear" w:color="auto" w:fill="auto"/>
            <w:vAlign w:val="center"/>
          </w:tcPr>
          <w:p w14:paraId="6130A88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4F8CB66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59F38A0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730D2C3">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0C55B6D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1D7D0BA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施工图</w:t>
            </w:r>
          </w:p>
        </w:tc>
        <w:tc>
          <w:tcPr>
            <w:tcW w:w="425" w:type="pct"/>
            <w:tcBorders>
              <w:top w:val="nil"/>
              <w:left w:val="nil"/>
              <w:bottom w:val="single" w:color="auto" w:sz="4" w:space="0"/>
              <w:right w:val="single" w:color="auto" w:sz="4" w:space="0"/>
            </w:tcBorders>
            <w:shd w:val="clear" w:color="auto" w:fill="auto"/>
            <w:vAlign w:val="center"/>
          </w:tcPr>
          <w:p w14:paraId="7EAE20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4D435F7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039C90F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4F801BF7">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5D0107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2EC404E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设备系统原理图</w:t>
            </w:r>
          </w:p>
        </w:tc>
        <w:tc>
          <w:tcPr>
            <w:tcW w:w="425" w:type="pct"/>
            <w:tcBorders>
              <w:top w:val="nil"/>
              <w:left w:val="nil"/>
              <w:bottom w:val="single" w:color="auto" w:sz="4" w:space="0"/>
              <w:right w:val="single" w:color="auto" w:sz="4" w:space="0"/>
            </w:tcBorders>
            <w:shd w:val="clear" w:color="auto" w:fill="auto"/>
            <w:vAlign w:val="center"/>
          </w:tcPr>
          <w:p w14:paraId="50CBF22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0DDA5E6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46CC74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1364CD03">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72F87FE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7058072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安装检查记录</w:t>
            </w:r>
          </w:p>
        </w:tc>
        <w:tc>
          <w:tcPr>
            <w:tcW w:w="425" w:type="pct"/>
            <w:tcBorders>
              <w:top w:val="nil"/>
              <w:left w:val="nil"/>
              <w:bottom w:val="single" w:color="auto" w:sz="4" w:space="0"/>
              <w:right w:val="single" w:color="auto" w:sz="4" w:space="0"/>
            </w:tcBorders>
            <w:shd w:val="clear" w:color="auto" w:fill="auto"/>
            <w:vAlign w:val="center"/>
          </w:tcPr>
          <w:p w14:paraId="021BAA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477ECF0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38912C7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C10A685">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4711A33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502CC03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材质报告</w:t>
            </w:r>
          </w:p>
        </w:tc>
        <w:tc>
          <w:tcPr>
            <w:tcW w:w="425" w:type="pct"/>
            <w:tcBorders>
              <w:top w:val="nil"/>
              <w:left w:val="nil"/>
              <w:bottom w:val="single" w:color="auto" w:sz="4" w:space="0"/>
              <w:right w:val="single" w:color="auto" w:sz="4" w:space="0"/>
            </w:tcBorders>
            <w:shd w:val="clear" w:color="auto" w:fill="auto"/>
            <w:vAlign w:val="center"/>
          </w:tcPr>
          <w:p w14:paraId="44279D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ED7DD0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7E9943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4F002A29">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AC81AF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6D21282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设备关键零件热处理记录</w:t>
            </w:r>
          </w:p>
        </w:tc>
        <w:tc>
          <w:tcPr>
            <w:tcW w:w="425" w:type="pct"/>
            <w:tcBorders>
              <w:top w:val="nil"/>
              <w:left w:val="nil"/>
              <w:bottom w:val="single" w:color="auto" w:sz="4" w:space="0"/>
              <w:right w:val="single" w:color="auto" w:sz="4" w:space="0"/>
            </w:tcBorders>
            <w:shd w:val="clear" w:color="auto" w:fill="auto"/>
            <w:vAlign w:val="center"/>
          </w:tcPr>
          <w:p w14:paraId="33E50B9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AB234A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6AD9378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2F8235E0">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5726833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3A0C93D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产品合格证</w:t>
            </w:r>
          </w:p>
        </w:tc>
        <w:tc>
          <w:tcPr>
            <w:tcW w:w="425" w:type="pct"/>
            <w:tcBorders>
              <w:top w:val="nil"/>
              <w:left w:val="nil"/>
              <w:bottom w:val="single" w:color="auto" w:sz="4" w:space="0"/>
              <w:right w:val="single" w:color="auto" w:sz="4" w:space="0"/>
            </w:tcBorders>
            <w:shd w:val="clear" w:color="auto" w:fill="auto"/>
            <w:vAlign w:val="center"/>
          </w:tcPr>
          <w:p w14:paraId="707FBA8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6FD5DF2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7680A1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18652351">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38E49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43E4AFE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异常记录</w:t>
            </w:r>
          </w:p>
        </w:tc>
        <w:tc>
          <w:tcPr>
            <w:tcW w:w="425" w:type="pct"/>
            <w:tcBorders>
              <w:top w:val="nil"/>
              <w:left w:val="nil"/>
              <w:bottom w:val="single" w:color="auto" w:sz="4" w:space="0"/>
              <w:right w:val="single" w:color="auto" w:sz="4" w:space="0"/>
            </w:tcBorders>
            <w:shd w:val="clear" w:color="auto" w:fill="auto"/>
            <w:vAlign w:val="center"/>
          </w:tcPr>
          <w:p w14:paraId="1333274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1285F8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09D4052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12E27216">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4A8A65A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099AA48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施工规范</w:t>
            </w:r>
          </w:p>
        </w:tc>
        <w:tc>
          <w:tcPr>
            <w:tcW w:w="425" w:type="pct"/>
            <w:tcBorders>
              <w:top w:val="nil"/>
              <w:left w:val="nil"/>
              <w:bottom w:val="single" w:color="auto" w:sz="4" w:space="0"/>
              <w:right w:val="single" w:color="auto" w:sz="4" w:space="0"/>
            </w:tcBorders>
            <w:shd w:val="clear" w:color="auto" w:fill="auto"/>
            <w:vAlign w:val="center"/>
          </w:tcPr>
          <w:p w14:paraId="3CFF7B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10A9214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59E8C93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35A1F440">
        <w:tblPrEx>
          <w:tblCellMar>
            <w:top w:w="0" w:type="dxa"/>
            <w:left w:w="108" w:type="dxa"/>
            <w:bottom w:w="0" w:type="dxa"/>
            <w:right w:w="108" w:type="dxa"/>
          </w:tblCellMar>
        </w:tblPrEx>
        <w:trPr>
          <w:trHeight w:val="408" w:hRule="atLeast"/>
        </w:trPr>
        <w:tc>
          <w:tcPr>
            <w:tcW w:w="569" w:type="pct"/>
            <w:vMerge w:val="restart"/>
            <w:tcBorders>
              <w:top w:val="nil"/>
              <w:left w:val="single" w:color="auto" w:sz="4" w:space="0"/>
              <w:bottom w:val="single" w:color="auto" w:sz="4" w:space="0"/>
              <w:right w:val="single" w:color="auto" w:sz="4" w:space="0"/>
            </w:tcBorders>
            <w:shd w:val="clear" w:color="auto" w:fill="auto"/>
            <w:vAlign w:val="center"/>
          </w:tcPr>
          <w:p w14:paraId="55E870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设备调试～SOP</w:t>
            </w:r>
          </w:p>
        </w:tc>
        <w:tc>
          <w:tcPr>
            <w:tcW w:w="3343" w:type="pct"/>
            <w:tcBorders>
              <w:top w:val="nil"/>
              <w:left w:val="nil"/>
              <w:bottom w:val="single" w:color="auto" w:sz="4" w:space="0"/>
              <w:right w:val="single" w:color="auto" w:sz="4" w:space="0"/>
            </w:tcBorders>
            <w:shd w:val="clear" w:color="auto" w:fill="auto"/>
            <w:vAlign w:val="center"/>
          </w:tcPr>
          <w:p w14:paraId="17296AE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各设备操作说明</w:t>
            </w:r>
          </w:p>
        </w:tc>
        <w:tc>
          <w:tcPr>
            <w:tcW w:w="425" w:type="pct"/>
            <w:tcBorders>
              <w:top w:val="nil"/>
              <w:left w:val="nil"/>
              <w:bottom w:val="single" w:color="auto" w:sz="4" w:space="0"/>
              <w:right w:val="single" w:color="auto" w:sz="4" w:space="0"/>
            </w:tcBorders>
            <w:shd w:val="clear" w:color="auto" w:fill="auto"/>
            <w:vAlign w:val="center"/>
          </w:tcPr>
          <w:p w14:paraId="6345430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955C06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37BE581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70702EE9">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591B100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76BAA6F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各设备点检、保养说明书</w:t>
            </w:r>
          </w:p>
        </w:tc>
        <w:tc>
          <w:tcPr>
            <w:tcW w:w="425" w:type="pct"/>
            <w:tcBorders>
              <w:top w:val="nil"/>
              <w:left w:val="nil"/>
              <w:bottom w:val="single" w:color="auto" w:sz="4" w:space="0"/>
              <w:right w:val="single" w:color="auto" w:sz="4" w:space="0"/>
            </w:tcBorders>
            <w:shd w:val="clear" w:color="auto" w:fill="auto"/>
            <w:vAlign w:val="center"/>
          </w:tcPr>
          <w:p w14:paraId="20B13C8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551AD6C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2F69D65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7DE7DD58">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0079BEA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5BBEFE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电气原理图、硬件接线图</w:t>
            </w:r>
          </w:p>
        </w:tc>
        <w:tc>
          <w:tcPr>
            <w:tcW w:w="425" w:type="pct"/>
            <w:tcBorders>
              <w:top w:val="nil"/>
              <w:left w:val="nil"/>
              <w:bottom w:val="single" w:color="auto" w:sz="4" w:space="0"/>
              <w:right w:val="single" w:color="auto" w:sz="4" w:space="0"/>
            </w:tcBorders>
            <w:shd w:val="clear" w:color="auto" w:fill="auto"/>
            <w:vAlign w:val="center"/>
          </w:tcPr>
          <w:p w14:paraId="1F4D5CD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E68CBE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2CDA54A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0855079D">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146DF14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1AE1F53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PLC最终程序（中文注释）、HMI画面程序</w:t>
            </w:r>
          </w:p>
        </w:tc>
        <w:tc>
          <w:tcPr>
            <w:tcW w:w="425" w:type="pct"/>
            <w:tcBorders>
              <w:top w:val="nil"/>
              <w:left w:val="nil"/>
              <w:bottom w:val="single" w:color="auto" w:sz="4" w:space="0"/>
              <w:right w:val="single" w:color="auto" w:sz="4" w:space="0"/>
            </w:tcBorders>
            <w:shd w:val="clear" w:color="auto" w:fill="auto"/>
            <w:vAlign w:val="center"/>
          </w:tcPr>
          <w:p w14:paraId="5BB3A53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5555FD5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77B871F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7868DD4E">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147D04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4336B25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调试、试运转记录</w:t>
            </w:r>
          </w:p>
        </w:tc>
        <w:tc>
          <w:tcPr>
            <w:tcW w:w="425" w:type="pct"/>
            <w:tcBorders>
              <w:top w:val="nil"/>
              <w:left w:val="nil"/>
              <w:bottom w:val="single" w:color="auto" w:sz="4" w:space="0"/>
              <w:right w:val="single" w:color="auto" w:sz="4" w:space="0"/>
            </w:tcBorders>
            <w:shd w:val="clear" w:color="auto" w:fill="auto"/>
            <w:vAlign w:val="center"/>
          </w:tcPr>
          <w:p w14:paraId="1B7D6E1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0BD28B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27B1B6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6BC43008">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3E5163E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21E7DD5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参数设定记录</w:t>
            </w:r>
          </w:p>
        </w:tc>
        <w:tc>
          <w:tcPr>
            <w:tcW w:w="425" w:type="pct"/>
            <w:tcBorders>
              <w:top w:val="nil"/>
              <w:left w:val="nil"/>
              <w:bottom w:val="single" w:color="auto" w:sz="4" w:space="0"/>
              <w:right w:val="single" w:color="auto" w:sz="4" w:space="0"/>
            </w:tcBorders>
            <w:shd w:val="clear" w:color="auto" w:fill="auto"/>
            <w:vAlign w:val="center"/>
          </w:tcPr>
          <w:p w14:paraId="72B0D77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28E386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7E7D2C5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4792FF4D">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7FD826D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7DC386C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电气绝缘检测记录</w:t>
            </w:r>
          </w:p>
        </w:tc>
        <w:tc>
          <w:tcPr>
            <w:tcW w:w="425" w:type="pct"/>
            <w:tcBorders>
              <w:top w:val="nil"/>
              <w:left w:val="nil"/>
              <w:bottom w:val="single" w:color="auto" w:sz="4" w:space="0"/>
              <w:right w:val="single" w:color="auto" w:sz="4" w:space="0"/>
            </w:tcBorders>
            <w:shd w:val="clear" w:color="auto" w:fill="auto"/>
            <w:vAlign w:val="center"/>
          </w:tcPr>
          <w:p w14:paraId="793EF7B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6376DE5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4FB710A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557BCC78">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3198656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18B7ABC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异常记录</w:t>
            </w:r>
          </w:p>
        </w:tc>
        <w:tc>
          <w:tcPr>
            <w:tcW w:w="425" w:type="pct"/>
            <w:tcBorders>
              <w:top w:val="nil"/>
              <w:left w:val="nil"/>
              <w:bottom w:val="single" w:color="auto" w:sz="4" w:space="0"/>
              <w:right w:val="single" w:color="auto" w:sz="4" w:space="0"/>
            </w:tcBorders>
            <w:shd w:val="clear" w:color="auto" w:fill="auto"/>
            <w:vAlign w:val="center"/>
          </w:tcPr>
          <w:p w14:paraId="1975743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08B2E77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727D9F2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0461FC73">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77B256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433FB99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设备说明书</w:t>
            </w:r>
          </w:p>
        </w:tc>
        <w:tc>
          <w:tcPr>
            <w:tcW w:w="425" w:type="pct"/>
            <w:tcBorders>
              <w:top w:val="nil"/>
              <w:left w:val="nil"/>
              <w:bottom w:val="single" w:color="auto" w:sz="4" w:space="0"/>
              <w:right w:val="single" w:color="auto" w:sz="4" w:space="0"/>
            </w:tcBorders>
            <w:shd w:val="clear" w:color="auto" w:fill="auto"/>
            <w:vAlign w:val="center"/>
          </w:tcPr>
          <w:p w14:paraId="30F98BA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F53B68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50E720B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156A3C43">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42BE23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5C5AE1D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备件清单（包括型号、厂家、使用位置、现场安装数量）</w:t>
            </w:r>
          </w:p>
        </w:tc>
        <w:tc>
          <w:tcPr>
            <w:tcW w:w="425" w:type="pct"/>
            <w:tcBorders>
              <w:top w:val="nil"/>
              <w:left w:val="nil"/>
              <w:bottom w:val="single" w:color="auto" w:sz="4" w:space="0"/>
              <w:right w:val="single" w:color="auto" w:sz="4" w:space="0"/>
            </w:tcBorders>
            <w:shd w:val="clear" w:color="auto" w:fill="auto"/>
            <w:vAlign w:val="center"/>
          </w:tcPr>
          <w:p w14:paraId="3250384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123F5EF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0CC19D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492B16C7">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28D4BF7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0F24AE9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精度检测报告</w:t>
            </w:r>
          </w:p>
        </w:tc>
        <w:tc>
          <w:tcPr>
            <w:tcW w:w="425" w:type="pct"/>
            <w:tcBorders>
              <w:top w:val="nil"/>
              <w:left w:val="nil"/>
              <w:bottom w:val="single" w:color="auto" w:sz="4" w:space="0"/>
              <w:right w:val="single" w:color="auto" w:sz="4" w:space="0"/>
            </w:tcBorders>
            <w:shd w:val="clear" w:color="auto" w:fill="auto"/>
            <w:vAlign w:val="center"/>
          </w:tcPr>
          <w:p w14:paraId="666DCB9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00EC95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19B88AD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2140DFD6">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5FB69B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6E49C5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培训教材</w:t>
            </w:r>
          </w:p>
        </w:tc>
        <w:tc>
          <w:tcPr>
            <w:tcW w:w="425" w:type="pct"/>
            <w:tcBorders>
              <w:top w:val="nil"/>
              <w:left w:val="nil"/>
              <w:bottom w:val="single" w:color="auto" w:sz="4" w:space="0"/>
              <w:right w:val="single" w:color="auto" w:sz="4" w:space="0"/>
            </w:tcBorders>
            <w:shd w:val="clear" w:color="auto" w:fill="auto"/>
            <w:vAlign w:val="center"/>
          </w:tcPr>
          <w:p w14:paraId="17B1E52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68A1A16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6D887D2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52D02B15">
        <w:tblPrEx>
          <w:tblCellMar>
            <w:top w:w="0" w:type="dxa"/>
            <w:left w:w="108" w:type="dxa"/>
            <w:bottom w:w="0" w:type="dxa"/>
            <w:right w:w="108" w:type="dxa"/>
          </w:tblCellMar>
        </w:tblPrEx>
        <w:trPr>
          <w:trHeight w:val="408" w:hRule="atLeast"/>
        </w:trPr>
        <w:tc>
          <w:tcPr>
            <w:tcW w:w="569" w:type="pct"/>
            <w:vMerge w:val="restart"/>
            <w:tcBorders>
              <w:top w:val="nil"/>
              <w:left w:val="single" w:color="auto" w:sz="4" w:space="0"/>
              <w:bottom w:val="single" w:color="auto" w:sz="4" w:space="0"/>
              <w:right w:val="single" w:color="auto" w:sz="4" w:space="0"/>
            </w:tcBorders>
            <w:shd w:val="clear" w:color="auto" w:fill="auto"/>
            <w:vAlign w:val="center"/>
          </w:tcPr>
          <w:p w14:paraId="585DAA4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lang w:eastAsia="zh-CN"/>
              </w:rPr>
            </w:pPr>
            <w:r>
              <w:rPr>
                <w:rFonts w:hint="eastAsia" w:ascii="宋体" w:hAnsi="宋体" w:eastAsia="宋体" w:cs="宋体"/>
                <w:kern w:val="0"/>
                <w:sz w:val="24"/>
              </w:rPr>
              <w:t>最</w:t>
            </w:r>
            <w:r>
              <w:rPr>
                <w:rFonts w:hint="eastAsia" w:ascii="宋体" w:hAnsi="宋体" w:cs="宋体"/>
                <w:kern w:val="0"/>
                <w:sz w:val="24"/>
                <w:lang w:eastAsia="zh-CN"/>
              </w:rPr>
              <w:t>调试验收</w:t>
            </w:r>
          </w:p>
        </w:tc>
        <w:tc>
          <w:tcPr>
            <w:tcW w:w="3343" w:type="pct"/>
            <w:tcBorders>
              <w:top w:val="nil"/>
              <w:left w:val="nil"/>
              <w:bottom w:val="single" w:color="auto" w:sz="4" w:space="0"/>
              <w:right w:val="single" w:color="auto" w:sz="4" w:space="0"/>
            </w:tcBorders>
            <w:shd w:val="clear" w:color="auto" w:fill="auto"/>
            <w:vAlign w:val="center"/>
          </w:tcPr>
          <w:p w14:paraId="51E6FA6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设备竣工图</w:t>
            </w:r>
          </w:p>
        </w:tc>
        <w:tc>
          <w:tcPr>
            <w:tcW w:w="425" w:type="pct"/>
            <w:tcBorders>
              <w:top w:val="nil"/>
              <w:left w:val="nil"/>
              <w:bottom w:val="single" w:color="auto" w:sz="4" w:space="0"/>
              <w:right w:val="single" w:color="auto" w:sz="4" w:space="0"/>
            </w:tcBorders>
            <w:shd w:val="clear" w:color="auto" w:fill="auto"/>
            <w:vAlign w:val="center"/>
          </w:tcPr>
          <w:p w14:paraId="02C2B8E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F0D020D">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0CEA241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3EA5F06D">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31225F2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602FB85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最终PLC程序、HMI监控画面程序（画面程序可以不提供纸档）</w:t>
            </w:r>
          </w:p>
        </w:tc>
        <w:tc>
          <w:tcPr>
            <w:tcW w:w="425" w:type="pct"/>
            <w:tcBorders>
              <w:top w:val="nil"/>
              <w:left w:val="nil"/>
              <w:bottom w:val="single" w:color="auto" w:sz="4" w:space="0"/>
              <w:right w:val="single" w:color="auto" w:sz="4" w:space="0"/>
            </w:tcBorders>
            <w:shd w:val="clear" w:color="auto" w:fill="auto"/>
            <w:vAlign w:val="center"/>
          </w:tcPr>
          <w:p w14:paraId="04C5808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8B81C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65C6DC96">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258CA60C">
        <w:tblPrEx>
          <w:tblCellMar>
            <w:top w:w="0" w:type="dxa"/>
            <w:left w:w="108" w:type="dxa"/>
            <w:bottom w:w="0" w:type="dxa"/>
            <w:right w:w="108" w:type="dxa"/>
          </w:tblCellMar>
        </w:tblPrEx>
        <w:trPr>
          <w:trHeight w:val="756" w:hRule="atLeast"/>
        </w:trPr>
        <w:tc>
          <w:tcPr>
            <w:tcW w:w="569" w:type="pct"/>
            <w:vMerge w:val="continue"/>
            <w:tcBorders>
              <w:top w:val="nil"/>
              <w:left w:val="single" w:color="auto" w:sz="4" w:space="0"/>
              <w:bottom w:val="single" w:color="auto" w:sz="4" w:space="0"/>
              <w:right w:val="single" w:color="auto" w:sz="4" w:space="0"/>
            </w:tcBorders>
            <w:vAlign w:val="center"/>
          </w:tcPr>
          <w:p w14:paraId="52A301E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11A3E5A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PLC设备程序、HMI画面正版制作程序、变频器正版调试程序</w:t>
            </w:r>
          </w:p>
        </w:tc>
        <w:tc>
          <w:tcPr>
            <w:tcW w:w="425" w:type="pct"/>
            <w:tcBorders>
              <w:top w:val="nil"/>
              <w:left w:val="nil"/>
              <w:bottom w:val="single" w:color="auto" w:sz="4" w:space="0"/>
              <w:right w:val="single" w:color="auto" w:sz="4" w:space="0"/>
            </w:tcBorders>
            <w:shd w:val="clear" w:color="auto" w:fill="auto"/>
            <w:vAlign w:val="center"/>
          </w:tcPr>
          <w:p w14:paraId="1B4B664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690B40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28B4589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36F850BF">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7688CF9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60336F8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最终电气接线图（和现场保持一致）</w:t>
            </w:r>
          </w:p>
        </w:tc>
        <w:tc>
          <w:tcPr>
            <w:tcW w:w="425" w:type="pct"/>
            <w:tcBorders>
              <w:top w:val="nil"/>
              <w:left w:val="nil"/>
              <w:bottom w:val="single" w:color="auto" w:sz="4" w:space="0"/>
              <w:right w:val="single" w:color="auto" w:sz="4" w:space="0"/>
            </w:tcBorders>
            <w:shd w:val="clear" w:color="auto" w:fill="auto"/>
            <w:vAlign w:val="center"/>
          </w:tcPr>
          <w:p w14:paraId="325052D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5468CEE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75BB971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05532803">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430D6C9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6632A21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所有系列型号变频器等功能仪表设定参数表</w:t>
            </w:r>
          </w:p>
        </w:tc>
        <w:tc>
          <w:tcPr>
            <w:tcW w:w="425" w:type="pct"/>
            <w:tcBorders>
              <w:top w:val="nil"/>
              <w:left w:val="nil"/>
              <w:bottom w:val="single" w:color="auto" w:sz="4" w:space="0"/>
              <w:right w:val="single" w:color="auto" w:sz="4" w:space="0"/>
            </w:tcBorders>
            <w:shd w:val="clear" w:color="auto" w:fill="auto"/>
            <w:vAlign w:val="center"/>
          </w:tcPr>
          <w:p w14:paraId="35667C12">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762908E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1B6889C9">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5410558C">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1B56CD5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7977883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现场网络布置，I/O地址分配表</w:t>
            </w:r>
          </w:p>
        </w:tc>
        <w:tc>
          <w:tcPr>
            <w:tcW w:w="425" w:type="pct"/>
            <w:tcBorders>
              <w:top w:val="nil"/>
              <w:left w:val="nil"/>
              <w:bottom w:val="single" w:color="auto" w:sz="4" w:space="0"/>
              <w:right w:val="single" w:color="auto" w:sz="4" w:space="0"/>
            </w:tcBorders>
            <w:shd w:val="clear" w:color="auto" w:fill="auto"/>
            <w:vAlign w:val="center"/>
          </w:tcPr>
          <w:p w14:paraId="00CC1BF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103FFBB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3D70CE9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073BEB47">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32A94B85">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733A354A">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所有设计图、机械及电气原理图</w:t>
            </w:r>
          </w:p>
        </w:tc>
        <w:tc>
          <w:tcPr>
            <w:tcW w:w="425" w:type="pct"/>
            <w:tcBorders>
              <w:top w:val="nil"/>
              <w:left w:val="nil"/>
              <w:bottom w:val="single" w:color="auto" w:sz="4" w:space="0"/>
              <w:right w:val="single" w:color="auto" w:sz="4" w:space="0"/>
            </w:tcBorders>
            <w:shd w:val="clear" w:color="auto" w:fill="auto"/>
            <w:vAlign w:val="center"/>
          </w:tcPr>
          <w:p w14:paraId="744A3CF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2A39270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5D253DE4">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7513313B">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A9BFEB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0900959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易损机械部件图</w:t>
            </w:r>
          </w:p>
        </w:tc>
        <w:tc>
          <w:tcPr>
            <w:tcW w:w="425" w:type="pct"/>
            <w:tcBorders>
              <w:top w:val="nil"/>
              <w:left w:val="nil"/>
              <w:bottom w:val="single" w:color="auto" w:sz="4" w:space="0"/>
              <w:right w:val="single" w:color="auto" w:sz="4" w:space="0"/>
            </w:tcBorders>
            <w:shd w:val="clear" w:color="auto" w:fill="auto"/>
            <w:vAlign w:val="center"/>
          </w:tcPr>
          <w:p w14:paraId="2634224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459E3C08">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6F1CDC5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4C35C064">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6784E1C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791BAEE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设备维护保养手册，上面要明确零部件润滑周期，及检查更换零部件的检查周期及方法。</w:t>
            </w:r>
          </w:p>
        </w:tc>
        <w:tc>
          <w:tcPr>
            <w:tcW w:w="425" w:type="pct"/>
            <w:tcBorders>
              <w:top w:val="nil"/>
              <w:left w:val="nil"/>
              <w:bottom w:val="single" w:color="auto" w:sz="4" w:space="0"/>
              <w:right w:val="single" w:color="auto" w:sz="4" w:space="0"/>
            </w:tcBorders>
            <w:shd w:val="clear" w:color="auto" w:fill="auto"/>
            <w:vAlign w:val="center"/>
          </w:tcPr>
          <w:p w14:paraId="2B628851">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4DA7BE9E">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0CAAB313">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r w14:paraId="51791357">
        <w:tblPrEx>
          <w:tblCellMar>
            <w:top w:w="0" w:type="dxa"/>
            <w:left w:w="108" w:type="dxa"/>
            <w:bottom w:w="0" w:type="dxa"/>
            <w:right w:w="108" w:type="dxa"/>
          </w:tblCellMar>
        </w:tblPrEx>
        <w:trPr>
          <w:trHeight w:val="408" w:hRule="atLeast"/>
        </w:trPr>
        <w:tc>
          <w:tcPr>
            <w:tcW w:w="569" w:type="pct"/>
            <w:vMerge w:val="continue"/>
            <w:tcBorders>
              <w:top w:val="nil"/>
              <w:left w:val="single" w:color="auto" w:sz="4" w:space="0"/>
              <w:bottom w:val="single" w:color="auto" w:sz="4" w:space="0"/>
              <w:right w:val="single" w:color="auto" w:sz="4" w:space="0"/>
            </w:tcBorders>
            <w:vAlign w:val="center"/>
          </w:tcPr>
          <w:p w14:paraId="4AA8BFAF">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c>
          <w:tcPr>
            <w:tcW w:w="3343" w:type="pct"/>
            <w:tcBorders>
              <w:top w:val="nil"/>
              <w:left w:val="nil"/>
              <w:bottom w:val="single" w:color="auto" w:sz="4" w:space="0"/>
              <w:right w:val="single" w:color="auto" w:sz="4" w:space="0"/>
            </w:tcBorders>
            <w:shd w:val="clear" w:color="auto" w:fill="auto"/>
            <w:vAlign w:val="center"/>
          </w:tcPr>
          <w:p w14:paraId="4BE1E540">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PLC、变频器、电动推杆等重要元器件产品手册及相关资料。</w:t>
            </w:r>
          </w:p>
        </w:tc>
        <w:tc>
          <w:tcPr>
            <w:tcW w:w="425" w:type="pct"/>
            <w:tcBorders>
              <w:top w:val="nil"/>
              <w:left w:val="nil"/>
              <w:bottom w:val="single" w:color="auto" w:sz="4" w:space="0"/>
              <w:right w:val="single" w:color="auto" w:sz="4" w:space="0"/>
            </w:tcBorders>
            <w:shd w:val="clear" w:color="auto" w:fill="auto"/>
            <w:vAlign w:val="center"/>
          </w:tcPr>
          <w:p w14:paraId="04B89BF7">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eastAsia="宋体" w:cs="宋体"/>
                <w:kern w:val="0"/>
                <w:sz w:val="24"/>
              </w:rPr>
              <w:t>4份</w:t>
            </w:r>
          </w:p>
        </w:tc>
        <w:tc>
          <w:tcPr>
            <w:tcW w:w="425" w:type="pct"/>
            <w:tcBorders>
              <w:top w:val="nil"/>
              <w:left w:val="nil"/>
              <w:bottom w:val="single" w:color="auto" w:sz="4" w:space="0"/>
              <w:right w:val="single" w:color="auto" w:sz="4" w:space="0"/>
            </w:tcBorders>
            <w:shd w:val="clear" w:color="auto" w:fill="auto"/>
            <w:vAlign w:val="center"/>
          </w:tcPr>
          <w:p w14:paraId="3892EAAC">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r>
              <w:rPr>
                <w:rFonts w:hint="eastAsia" w:ascii="宋体" w:hAnsi="宋体" w:cs="宋体"/>
                <w:kern w:val="0"/>
                <w:sz w:val="24"/>
                <w:lang w:val="en-US" w:eastAsia="zh-CN"/>
              </w:rPr>
              <w:t>2</w:t>
            </w:r>
            <w:r>
              <w:rPr>
                <w:rFonts w:hint="eastAsia" w:ascii="宋体" w:hAnsi="宋体" w:eastAsia="宋体" w:cs="宋体"/>
                <w:kern w:val="0"/>
                <w:sz w:val="24"/>
              </w:rPr>
              <w:t>份</w:t>
            </w:r>
          </w:p>
        </w:tc>
        <w:tc>
          <w:tcPr>
            <w:tcW w:w="236" w:type="pct"/>
            <w:tcBorders>
              <w:top w:val="nil"/>
              <w:left w:val="nil"/>
              <w:bottom w:val="single" w:color="auto" w:sz="4" w:space="0"/>
              <w:right w:val="single" w:color="auto" w:sz="4" w:space="0"/>
            </w:tcBorders>
            <w:shd w:val="clear" w:color="auto" w:fill="auto"/>
            <w:vAlign w:val="center"/>
          </w:tcPr>
          <w:p w14:paraId="41555E2B">
            <w:pPr>
              <w:pageBreakBefore w:val="0"/>
              <w:widowControl/>
              <w:kinsoku/>
              <w:wordWrap/>
              <w:topLinePunct w:val="0"/>
              <w:bidi w:val="0"/>
              <w:adjustRightInd w:val="0"/>
              <w:snapToGrid w:val="0"/>
              <w:spacing w:afterAutospacing="0" w:line="240" w:lineRule="auto"/>
              <w:ind w:left="0" w:leftChars="0" w:firstLine="0" w:firstLineChars="0"/>
              <w:jc w:val="center"/>
              <w:rPr>
                <w:rFonts w:hint="eastAsia" w:ascii="宋体" w:hAnsi="宋体" w:eastAsia="宋体" w:cs="宋体"/>
                <w:kern w:val="0"/>
                <w:sz w:val="24"/>
              </w:rPr>
            </w:pPr>
          </w:p>
        </w:tc>
      </w:tr>
    </w:tbl>
    <w:p w14:paraId="1B4BF9E9">
      <w:pPr>
        <w:pStyle w:val="316"/>
        <w:pageBreakBefore w:val="0"/>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p>
    <w:p w14:paraId="0381FD3A">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特制件要求：规格，材质，处理方式，厂家，联系方式，必须写清楚。相关热处理工艺均需提供相应检测报告，</w:t>
      </w:r>
      <w:r>
        <w:rPr>
          <w:rFonts w:hint="eastAsia" w:ascii="宋体" w:hAnsi="宋体" w:eastAsia="宋体" w:cs="宋体"/>
          <w:kern w:val="0"/>
          <w:sz w:val="24"/>
          <w:szCs w:val="24"/>
          <w:lang w:eastAsia="zh-CN"/>
        </w:rPr>
        <w:t>招标人</w:t>
      </w:r>
      <w:r>
        <w:rPr>
          <w:rFonts w:hint="eastAsia" w:ascii="宋体" w:hAnsi="宋体" w:eastAsia="宋体" w:cs="宋体"/>
          <w:kern w:val="0"/>
          <w:sz w:val="24"/>
          <w:szCs w:val="24"/>
        </w:rPr>
        <w:t>将依据报告结果进行实施抽查。</w:t>
      </w:r>
    </w:p>
    <w:p w14:paraId="266EAFCE">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kern w:val="0"/>
          <w:sz w:val="24"/>
          <w:szCs w:val="24"/>
        </w:rPr>
      </w:pPr>
      <w:r>
        <w:rPr>
          <w:rFonts w:hint="eastAsia" w:ascii="宋体" w:hAnsi="宋体" w:eastAsia="宋体" w:cs="宋体"/>
          <w:sz w:val="24"/>
          <w:szCs w:val="24"/>
        </w:rPr>
        <w:t>生产过程中每道工序</w:t>
      </w:r>
      <w:r>
        <w:rPr>
          <w:rFonts w:hint="eastAsia" w:ascii="宋体" w:hAnsi="宋体" w:eastAsia="宋体" w:cs="宋体"/>
          <w:sz w:val="24"/>
          <w:szCs w:val="24"/>
          <w:lang w:eastAsia="zh-CN"/>
        </w:rPr>
        <w:t>投标人</w:t>
      </w:r>
      <w:r>
        <w:rPr>
          <w:rFonts w:hint="eastAsia" w:ascii="宋体" w:hAnsi="宋体" w:eastAsia="宋体" w:cs="宋体"/>
          <w:sz w:val="24"/>
          <w:szCs w:val="24"/>
        </w:rPr>
        <w:t>都要进行检验，并有详细记录，检验合格后才能转入下道工序进行加工，装配过程各个交接点都要有详细记录，在设备出厂前进行整机出厂检验。</w:t>
      </w:r>
    </w:p>
    <w:p w14:paraId="2D5140AD">
      <w:pPr>
        <w:pStyle w:val="210"/>
        <w:pageBreakBefore w:val="0"/>
        <w:numPr>
          <w:ilvl w:val="0"/>
          <w:numId w:val="440"/>
        </w:numPr>
        <w:tabs>
          <w:tab w:val="left" w:pos="0"/>
        </w:tabs>
        <w:kinsoku/>
        <w:wordWrap/>
        <w:topLinePunct w:val="0"/>
        <w:bidi w:val="0"/>
        <w:adjustRightInd w:val="0"/>
        <w:snapToGrid w:val="0"/>
        <w:spacing w:afterAutospacing="0" w:line="360" w:lineRule="auto"/>
        <w:ind w:left="0" w:leftChars="0" w:right="-76" w:rightChars="-36" w:firstLine="0" w:firstLineChars="0"/>
        <w:jc w:val="both"/>
        <w:rPr>
          <w:rFonts w:hint="eastAsia" w:ascii="宋体" w:hAnsi="宋体" w:eastAsia="宋体" w:cs="宋体"/>
          <w:color w:val="auto"/>
        </w:rPr>
      </w:pPr>
      <w:r>
        <w:rPr>
          <w:rFonts w:hint="eastAsia" w:ascii="宋体" w:hAnsi="宋体" w:eastAsia="宋体" w:cs="宋体"/>
          <w:color w:val="auto"/>
        </w:rPr>
        <w:t>提供电子版资料说明：电气原理图，机械原理图、施工图及相关技术资料格式为CAD2024版本或以上，都为可编辑。每个PLC控制区域的电气硬件分布必须在CAD图纸中体现，与涂装工艺图纸匹配。</w:t>
      </w:r>
    </w:p>
    <w:p w14:paraId="1206CAE6">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招标人</w:t>
      </w:r>
      <w:r>
        <w:rPr>
          <w:rFonts w:hint="eastAsia" w:ascii="宋体" w:hAnsi="宋体" w:eastAsia="宋体" w:cs="宋体"/>
          <w:sz w:val="24"/>
          <w:szCs w:val="24"/>
        </w:rPr>
        <w:t>提供废料线油漆主体色色标。</w:t>
      </w:r>
    </w:p>
    <w:p w14:paraId="17FFF59D">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rPr>
        <w:t>设备线体主要元件品牌参考主要元器件清单。</w:t>
      </w:r>
    </w:p>
    <w:p w14:paraId="07A7FC2A">
      <w:pPr>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rPr>
      </w:pPr>
      <w:r>
        <w:rPr>
          <w:rFonts w:hint="eastAsia" w:ascii="宋体" w:hAnsi="宋体" w:eastAsia="宋体" w:cs="宋体"/>
          <w:sz w:val="24"/>
        </w:rPr>
        <w:t>设备在设计过程中遇到其它未明确的各备件品牌，全部按主备件清单中使用的备件品牌，保证备件品牌统一。</w:t>
      </w:r>
    </w:p>
    <w:p w14:paraId="63E2F5F7">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备品备件清单（内容包括：型号、装机数量、价格），含随机备件、随机工具清单内容，但不局限此清单，</w:t>
      </w:r>
      <w:r>
        <w:rPr>
          <w:rFonts w:hint="eastAsia" w:ascii="宋体" w:hAnsi="宋体" w:eastAsia="宋体" w:cs="宋体"/>
          <w:sz w:val="24"/>
          <w:szCs w:val="24"/>
          <w:lang w:eastAsia="zh-CN"/>
        </w:rPr>
        <w:t>投标人</w:t>
      </w:r>
      <w:r>
        <w:rPr>
          <w:rFonts w:hint="eastAsia" w:ascii="宋体" w:hAnsi="宋体" w:eastAsia="宋体" w:cs="宋体"/>
          <w:sz w:val="24"/>
          <w:szCs w:val="24"/>
        </w:rPr>
        <w:t>提供随机备件和随机工具清单内容。</w:t>
      </w:r>
    </w:p>
    <w:p w14:paraId="00BA6EC8">
      <w:pPr>
        <w:pStyle w:val="316"/>
        <w:pageBreakBefore w:val="0"/>
        <w:numPr>
          <w:ilvl w:val="0"/>
          <w:numId w:val="440"/>
        </w:numPr>
        <w:tabs>
          <w:tab w:val="left" w:pos="0"/>
        </w:tabs>
        <w:kinsoku/>
        <w:wordWrap/>
        <w:topLinePunct w:val="0"/>
        <w:bidi w:val="0"/>
        <w:adjustRightInd w:val="0"/>
        <w:snapToGrid w:val="0"/>
        <w:spacing w:afterAutospacing="0" w:line="360" w:lineRule="auto"/>
        <w:ind w:left="0" w:leftChars="0" w:firstLine="0" w:firstLineChars="0"/>
        <w:rPr>
          <w:rFonts w:hint="eastAsia" w:ascii="宋体" w:hAnsi="宋体" w:eastAsia="宋体" w:cs="宋体"/>
        </w:rPr>
      </w:pPr>
      <w:r>
        <w:rPr>
          <w:rFonts w:hint="eastAsia" w:ascii="宋体" w:hAnsi="宋体" w:eastAsia="宋体" w:cs="宋体"/>
          <w:sz w:val="24"/>
          <w:szCs w:val="24"/>
        </w:rPr>
        <w:t>所有进口备件必须提供关税上缴证明（或相关的证明文件），并提供一级供应商资质证明（或与厂家直接购买的采购合同）。</w:t>
      </w:r>
    </w:p>
    <w:p w14:paraId="2048A603">
      <w:pPr>
        <w:pStyle w:val="3"/>
        <w:keepNext w:val="0"/>
        <w:keepLines w:val="0"/>
        <w:pageBreakBefore w:val="0"/>
        <w:numPr>
          <w:ilvl w:val="-1"/>
          <w:numId w:val="0"/>
        </w:numPr>
        <w:kinsoku/>
        <w:overflowPunct/>
        <w:topLinePunct w:val="0"/>
        <w:bidi w:val="0"/>
        <w:adjustRightInd w:val="0"/>
        <w:snapToGrid w:val="0"/>
        <w:spacing w:before="0" w:afterAutospacing="0" w:line="360" w:lineRule="auto"/>
        <w:ind w:left="0" w:leftChars="0" w:firstLine="0" w:firstLineChars="0"/>
        <w:jc w:val="center"/>
        <w:rPr>
          <w:rFonts w:hint="eastAsia" w:ascii="宋体" w:hAnsi="宋体" w:eastAsia="宋体" w:cs="宋体"/>
          <w:b/>
          <w:bCs/>
          <w:szCs w:val="30"/>
        </w:rPr>
      </w:pPr>
      <w:bookmarkStart w:id="308" w:name="OLE_LINK35"/>
      <w:r>
        <w:rPr>
          <w:rFonts w:hint="eastAsia" w:ascii="宋体" w:hAnsi="宋体" w:eastAsia="宋体" w:cs="宋体"/>
          <w:b/>
          <w:bCs/>
          <w:szCs w:val="30"/>
          <w:lang w:eastAsia="zh-CN"/>
        </w:rPr>
        <w:t>附件七、</w:t>
      </w:r>
      <w:r>
        <w:rPr>
          <w:rFonts w:hint="eastAsia" w:ascii="宋体" w:hAnsi="宋体" w:eastAsia="宋体" w:cs="宋体"/>
          <w:b/>
          <w:bCs/>
          <w:sz w:val="30"/>
          <w:szCs w:val="30"/>
          <w:lang w:val="en-US" w:eastAsia="zh-CN"/>
        </w:rPr>
        <w:t>总装</w:t>
      </w:r>
      <w:r>
        <w:rPr>
          <w:rFonts w:hint="eastAsia" w:ascii="宋体" w:hAnsi="宋体" w:eastAsia="宋体" w:cs="宋体"/>
          <w:b/>
          <w:bCs/>
          <w:szCs w:val="30"/>
        </w:rPr>
        <w:t>通用设备技术要求</w:t>
      </w:r>
    </w:p>
    <w:bookmarkEnd w:id="308"/>
    <w:p w14:paraId="014D937F">
      <w:pPr>
        <w:keepNext w:val="0"/>
        <w:keepLines w:val="0"/>
        <w:pageBreakBefore w:val="0"/>
        <w:widowControl w:val="0"/>
        <w:numPr>
          <w:ilvl w:val="0"/>
          <w:numId w:val="441"/>
        </w:numPr>
        <w:kinsoku/>
        <w:overflowPunct/>
        <w:topLinePunct w:val="0"/>
        <w:bidi w:val="0"/>
        <w:adjustRightInd w:val="0"/>
        <w:snapToGrid w:val="0"/>
        <w:spacing w:beforeAutospacing="0" w:afterAutospacing="0" w:line="360" w:lineRule="auto"/>
        <w:ind w:left="0" w:leftChars="0" w:firstLine="0" w:firstLineChars="0"/>
        <w:jc w:val="left"/>
        <w:outlineLvl w:val="1"/>
        <w:rPr>
          <w:rFonts w:ascii="Times New Roman" w:hAnsi="Times New Roman" w:eastAsia="宋体" w:cs="Times New Roman"/>
          <w:b/>
          <w:sz w:val="24"/>
        </w:rPr>
      </w:pPr>
      <w:r>
        <w:rPr>
          <w:rFonts w:ascii="Times New Roman" w:hAnsi="Times New Roman" w:eastAsia="宋体" w:cs="Times New Roman"/>
          <w:b/>
          <w:sz w:val="24"/>
        </w:rPr>
        <w:t>通用设备技术要求</w:t>
      </w:r>
    </w:p>
    <w:p w14:paraId="2CDBC69E">
      <w:pPr>
        <w:keepNext w:val="0"/>
        <w:keepLines w:val="0"/>
        <w:pageBreakBefore w:val="0"/>
        <w:widowControl w:val="0"/>
        <w:numPr>
          <w:ilvl w:val="0"/>
          <w:numId w:val="442"/>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液压系统</w:t>
      </w:r>
    </w:p>
    <w:p w14:paraId="0BA6A228">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09" w:name="_Hlk509671573"/>
      <w:r>
        <w:rPr>
          <w:rFonts w:ascii="Times New Roman" w:hAnsi="Times New Roman" w:eastAsia="宋体" w:cs="Times New Roman"/>
          <w:sz w:val="24"/>
        </w:rPr>
        <w:t>液压系统的设计与制造应符合ISO标准或有关国家标准。对于液压泵</w:t>
      </w:r>
      <w:r>
        <w:rPr>
          <w:rFonts w:hint="eastAsia" w:ascii="Times New Roman" w:hAnsi="Times New Roman" w:eastAsia="宋体" w:cs="Times New Roman"/>
          <w:sz w:val="24"/>
          <w:lang w:eastAsia="zh-CN"/>
        </w:rPr>
        <w:t>（</w:t>
      </w:r>
      <w:r>
        <w:rPr>
          <w:rFonts w:ascii="Times New Roman" w:hAnsi="Times New Roman" w:eastAsia="宋体" w:cs="Times New Roman"/>
          <w:sz w:val="24"/>
        </w:rPr>
        <w:t>压力及泵油流量</w:t>
      </w:r>
      <w:r>
        <w:rPr>
          <w:rFonts w:hint="eastAsia" w:ascii="Times New Roman" w:hAnsi="Times New Roman" w:eastAsia="宋体" w:cs="Times New Roman"/>
          <w:sz w:val="24"/>
          <w:lang w:eastAsia="zh-CN"/>
        </w:rPr>
        <w:t>）</w:t>
      </w:r>
      <w:r>
        <w:rPr>
          <w:rFonts w:ascii="Times New Roman" w:hAnsi="Times New Roman" w:eastAsia="宋体" w:cs="Times New Roman"/>
          <w:sz w:val="24"/>
        </w:rPr>
        <w:t>、电机</w:t>
      </w:r>
      <w:r>
        <w:rPr>
          <w:rFonts w:hint="eastAsia" w:ascii="Times New Roman" w:hAnsi="Times New Roman" w:eastAsia="宋体" w:cs="Times New Roman"/>
          <w:sz w:val="24"/>
          <w:lang w:eastAsia="zh-CN"/>
        </w:rPr>
        <w:t>（</w:t>
      </w:r>
      <w:r>
        <w:rPr>
          <w:rFonts w:ascii="Times New Roman" w:hAnsi="Times New Roman" w:eastAsia="宋体" w:cs="Times New Roman"/>
          <w:sz w:val="24"/>
        </w:rPr>
        <w:t>功率</w:t>
      </w:r>
      <w:r>
        <w:rPr>
          <w:rFonts w:hint="eastAsia" w:ascii="Times New Roman" w:hAnsi="Times New Roman" w:eastAsia="宋体" w:cs="Times New Roman"/>
          <w:sz w:val="24"/>
          <w:lang w:eastAsia="zh-CN"/>
        </w:rPr>
        <w:t>）</w:t>
      </w:r>
      <w:r>
        <w:rPr>
          <w:rFonts w:ascii="Times New Roman" w:hAnsi="Times New Roman" w:eastAsia="宋体" w:cs="Times New Roman"/>
          <w:sz w:val="24"/>
        </w:rPr>
        <w:t>和油箱</w:t>
      </w:r>
      <w:r>
        <w:rPr>
          <w:rFonts w:hint="eastAsia" w:ascii="Times New Roman" w:hAnsi="Times New Roman" w:eastAsia="宋体" w:cs="Times New Roman"/>
          <w:sz w:val="24"/>
          <w:lang w:eastAsia="zh-CN"/>
        </w:rPr>
        <w:t>（</w:t>
      </w:r>
      <w:r>
        <w:rPr>
          <w:rFonts w:ascii="Times New Roman" w:hAnsi="Times New Roman" w:eastAsia="宋体" w:cs="Times New Roman"/>
          <w:sz w:val="24"/>
        </w:rPr>
        <w:t>容积</w:t>
      </w:r>
      <w:r>
        <w:rPr>
          <w:rFonts w:hint="eastAsia" w:ascii="Times New Roman" w:hAnsi="Times New Roman" w:eastAsia="宋体" w:cs="Times New Roman"/>
          <w:sz w:val="24"/>
          <w:lang w:eastAsia="zh-CN"/>
        </w:rPr>
        <w:t>）</w:t>
      </w:r>
      <w:r>
        <w:rPr>
          <w:rFonts w:ascii="Times New Roman" w:hAnsi="Times New Roman" w:eastAsia="宋体" w:cs="Times New Roman"/>
          <w:sz w:val="24"/>
        </w:rPr>
        <w:t>必须有25%以上的储备量。</w:t>
      </w:r>
    </w:p>
    <w:p w14:paraId="3A1E7D4F">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液压泵采用低噪音泵体支架，液压泵不允许装在液体容器内。</w:t>
      </w:r>
    </w:p>
    <w:p w14:paraId="6292FCE7">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只允许使用标准油缸及附件，所有液压缸形式必须适应设备最大额定压力值的要求，活塞杆的运动面经硬化处理，具备抗腐蚀性。</w:t>
      </w:r>
    </w:p>
    <w:p w14:paraId="76F38F6E">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液压油应采用矿物油性质的耐高压、阻燃性液体。</w:t>
      </w:r>
    </w:p>
    <w:p w14:paraId="4AD35D01">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在进、出路的管道上必须设有压力测量点。</w:t>
      </w:r>
    </w:p>
    <w:p w14:paraId="06059C63">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油箱底部必须设有球阀，可将油全部排出。</w:t>
      </w:r>
    </w:p>
    <w:p w14:paraId="5DFCB0EC">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液压系统是否需要冷却装置由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根据设备实际需要确定，但必须保证设备在连续工作状态下，油温低于60℃。油温高于60℃时系统应报警、停机。</w:t>
      </w:r>
    </w:p>
    <w:p w14:paraId="46BE07CC">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油箱的加油口和放油口应方便加油和放油。</w:t>
      </w:r>
    </w:p>
    <w:p w14:paraId="35DE991C">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主要液压件如泵（定量油泵、调整泵）、液压缸、减震器、压力转换器、压力方式转换器、各种阀、过滤器、传感器，密封件、管接头、触点式温度计等采用推荐厂家的产品。</w:t>
      </w:r>
    </w:p>
    <w:p w14:paraId="37913927">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液压系统过滤精度应小于10μm 。采用比例阀及伺服阀时，过滤精度应小于5μm  。为防止过滤器破损，过滤器应设置溢流阀和压力开关，并设堵塞报警。</w:t>
      </w:r>
    </w:p>
    <w:p w14:paraId="214C9872">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液压系统不得有任何泄漏。</w:t>
      </w:r>
    </w:p>
    <w:p w14:paraId="7E06F923">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液压系统及油箱应安装在接油盘上。</w:t>
      </w:r>
    </w:p>
    <w:p w14:paraId="4F7142F7">
      <w:pPr>
        <w:keepNext w:val="0"/>
        <w:keepLines w:val="0"/>
        <w:pageBreakBefore w:val="0"/>
        <w:widowControl w:val="0"/>
        <w:numPr>
          <w:ilvl w:val="0"/>
          <w:numId w:val="44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液压系统应设置标牌，标牌上应标明：系统图、元器件功能、油品牌号、操作及维修注意事项等。</w:t>
      </w:r>
    </w:p>
    <w:bookmarkEnd w:id="309"/>
    <w:p w14:paraId="42E2CB23">
      <w:pPr>
        <w:keepNext w:val="0"/>
        <w:keepLines w:val="0"/>
        <w:pageBreakBefore w:val="0"/>
        <w:widowControl w:val="0"/>
        <w:numPr>
          <w:ilvl w:val="0"/>
          <w:numId w:val="44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bookmarkStart w:id="310" w:name="_Toc491785986"/>
      <w:r>
        <w:rPr>
          <w:rFonts w:ascii="Times New Roman" w:hAnsi="Times New Roman" w:eastAsia="宋体" w:cs="Times New Roman"/>
          <w:b/>
          <w:sz w:val="24"/>
        </w:rPr>
        <w:t>气动系统</w:t>
      </w:r>
      <w:bookmarkEnd w:id="310"/>
    </w:p>
    <w:p w14:paraId="557A2739">
      <w:pPr>
        <w:keepNext w:val="0"/>
        <w:keepLines w:val="0"/>
        <w:pageBreakBefore w:val="0"/>
        <w:widowControl w:val="0"/>
        <w:numPr>
          <w:ilvl w:val="0"/>
          <w:numId w:val="4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气动系统的设计及制造应符合ISO标准或有关国家标准。</w:t>
      </w:r>
    </w:p>
    <w:p w14:paraId="2BDF862D">
      <w:pPr>
        <w:keepNext w:val="0"/>
        <w:keepLines w:val="0"/>
        <w:pageBreakBefore w:val="0"/>
        <w:widowControl w:val="0"/>
        <w:numPr>
          <w:ilvl w:val="0"/>
          <w:numId w:val="4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每一压缩空气使用点必须安装一个气动三联件，采用金属外壳。</w:t>
      </w:r>
    </w:p>
    <w:p w14:paraId="2B3B8D95">
      <w:pPr>
        <w:keepNext w:val="0"/>
        <w:keepLines w:val="0"/>
        <w:pageBreakBefore w:val="0"/>
        <w:widowControl w:val="0"/>
        <w:numPr>
          <w:ilvl w:val="0"/>
          <w:numId w:val="4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压缩空气软管</w:t>
      </w:r>
      <w:r>
        <w:rPr>
          <w:rFonts w:hint="eastAsia" w:ascii="Times New Roman" w:hAnsi="Times New Roman" w:eastAsia="宋体" w:cs="Times New Roman"/>
          <w:sz w:val="24"/>
          <w:lang w:eastAsia="zh-CN"/>
        </w:rPr>
        <w:t>连接</w:t>
      </w:r>
      <w:r>
        <w:rPr>
          <w:rFonts w:ascii="Times New Roman" w:hAnsi="Times New Roman" w:eastAsia="宋体" w:cs="Times New Roman"/>
          <w:sz w:val="24"/>
        </w:rPr>
        <w:t>采用快换接头形式。</w:t>
      </w:r>
    </w:p>
    <w:p w14:paraId="5DF7F310">
      <w:pPr>
        <w:keepNext w:val="0"/>
        <w:keepLines w:val="0"/>
        <w:pageBreakBefore w:val="0"/>
        <w:widowControl w:val="0"/>
        <w:numPr>
          <w:ilvl w:val="0"/>
          <w:numId w:val="4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气动系统不得有任何泄漏。</w:t>
      </w:r>
    </w:p>
    <w:p w14:paraId="75DC5C71">
      <w:pPr>
        <w:keepNext w:val="0"/>
        <w:keepLines w:val="0"/>
        <w:pageBreakBefore w:val="0"/>
        <w:widowControl w:val="0"/>
        <w:numPr>
          <w:ilvl w:val="0"/>
          <w:numId w:val="44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bookmarkStart w:id="311" w:name="_Toc491785987"/>
      <w:r>
        <w:rPr>
          <w:rFonts w:ascii="Times New Roman" w:hAnsi="Times New Roman" w:eastAsia="宋体" w:cs="Times New Roman"/>
          <w:b/>
          <w:sz w:val="24"/>
        </w:rPr>
        <w:t>管线要求</w:t>
      </w:r>
      <w:bookmarkEnd w:id="311"/>
    </w:p>
    <w:p w14:paraId="2FFF4BA0">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液压与气动管路应采用无缝钢管，并应进行耐腐蚀钝化处理。</w:t>
      </w:r>
    </w:p>
    <w:p w14:paraId="752EC063">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设备潮湿部位管线应采用无缝、不锈钢管。</w:t>
      </w:r>
    </w:p>
    <w:p w14:paraId="225E02BE">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液压系统和气动系统只允许在</w:t>
      </w:r>
      <w:r>
        <w:rPr>
          <w:rFonts w:hint="eastAsia" w:ascii="Times New Roman" w:hAnsi="Times New Roman" w:eastAsia="宋体" w:cs="Times New Roman"/>
          <w:sz w:val="24"/>
          <w:lang w:eastAsia="zh-CN"/>
        </w:rPr>
        <w:t>连接</w:t>
      </w:r>
      <w:r>
        <w:rPr>
          <w:rFonts w:ascii="Times New Roman" w:hAnsi="Times New Roman" w:eastAsia="宋体" w:cs="Times New Roman"/>
          <w:sz w:val="24"/>
        </w:rPr>
        <w:t>振动件和活动零件时采用高压软管。</w:t>
      </w:r>
    </w:p>
    <w:p w14:paraId="27098B1B">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设备线路的敷设应使用线槽或金属管结构，不得直接使用明线或电缆。</w:t>
      </w:r>
    </w:p>
    <w:p w14:paraId="4CAE6B17">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管线连接必须采用管接头，不允许直接焊接。</w:t>
      </w:r>
    </w:p>
    <w:p w14:paraId="7BA1B1A9">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电气配线应有标号，并与图纸一致。标号要求为打印方式，长期使用不脱色，并能防水、防油。另外，同一电线两端的标号必须相同，接到同一端子上的电线的标号相同。</w:t>
      </w:r>
    </w:p>
    <w:p w14:paraId="0154F7A5">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各独立金属结构及箱体，如电柜、分线盒、电机等必须可靠使用明地线接地。</w:t>
      </w:r>
    </w:p>
    <w:p w14:paraId="2C65B04E">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布线系统通过地板、墙壁、屋顶、天花板、隔墙等建筑构件时，其孔隙应按等同建筑构件耐火等级的规定封堵。</w:t>
      </w:r>
    </w:p>
    <w:p w14:paraId="5177637F">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电缆敷设采用的导管和槽盒材料，应符合现行国家标准《电气安装用电缆槽管系统 第1部分：通用要求》GB/T 19215.1、《电气安装用电缆槽管系统 第2部分：特殊要求 第1节：用于安装在墙上或天花板上的电缆槽管系统》GB/T 19215.2和《电气安装用导管系统 第1部分：通用要求》GB/T 20041.1规定的耐燃试验要求，当导管和槽盒内部截面积等于大于710mm</w:t>
      </w:r>
      <w:r>
        <w:rPr>
          <w:rFonts w:ascii="Times New Roman" w:hAnsi="Times New Roman" w:eastAsia="宋体" w:cs="Times New Roman"/>
          <w:sz w:val="24"/>
          <w:vertAlign w:val="superscript"/>
        </w:rPr>
        <w:t xml:space="preserve">2 </w:t>
      </w:r>
      <w:r>
        <w:rPr>
          <w:rFonts w:ascii="Times New Roman" w:hAnsi="Times New Roman" w:eastAsia="宋体" w:cs="Times New Roman"/>
          <w:sz w:val="24"/>
        </w:rPr>
        <w:t>时，应从内部封堵。</w:t>
      </w:r>
    </w:p>
    <w:p w14:paraId="13E3E75D">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电缆防火封堵的材料，应按耐火等级要求，采用防火胶泥、耐火隔板、填料阻火包或防火帽。</w:t>
      </w:r>
    </w:p>
    <w:p w14:paraId="0375FB82">
      <w:pPr>
        <w:keepNext w:val="0"/>
        <w:keepLines w:val="0"/>
        <w:pageBreakBefore w:val="0"/>
        <w:widowControl w:val="0"/>
        <w:numPr>
          <w:ilvl w:val="0"/>
          <w:numId w:val="4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电缆防火封堵的结构，应满足等效工程条件下标准试验的耐火极限，应符合GB50054-2011《低压配电设计规范》第7.1.5条，电缆敷设的防火封堵的规定。</w:t>
      </w:r>
    </w:p>
    <w:p w14:paraId="467553EE">
      <w:pPr>
        <w:keepNext w:val="0"/>
        <w:keepLines w:val="0"/>
        <w:pageBreakBefore w:val="0"/>
        <w:widowControl w:val="0"/>
        <w:numPr>
          <w:ilvl w:val="0"/>
          <w:numId w:val="44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bookmarkStart w:id="312" w:name="_Toc491785989"/>
      <w:r>
        <w:rPr>
          <w:rFonts w:ascii="Times New Roman" w:hAnsi="Times New Roman" w:eastAsia="宋体" w:cs="Times New Roman"/>
          <w:b/>
          <w:sz w:val="24"/>
        </w:rPr>
        <w:t>机械及电气部分要求</w:t>
      </w:r>
      <w:bookmarkEnd w:id="312"/>
    </w:p>
    <w:p w14:paraId="56911CCE">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设备机械部分的设计应符合ISO标准及有关国家标准。</w:t>
      </w:r>
    </w:p>
    <w:p w14:paraId="214BF119">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★选用的关键元器件必须经</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认可。</w:t>
      </w:r>
    </w:p>
    <w:p w14:paraId="4A65B6FD">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交流控制电源及PLC电源应采用隔离变压器，减少控制部分受供电电源的干扰。</w:t>
      </w:r>
    </w:p>
    <w:p w14:paraId="5500A802">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PLC每个I/O槽口附近，贴有I/O地址标记。</w:t>
      </w:r>
    </w:p>
    <w:p w14:paraId="2A4A5FD4">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PLC主机所在电柜，编程接口附近（柜门、柜壁）上设置可折叠的笔记本放置平台。并在外侧设置卷边，以防止脱落。</w:t>
      </w:r>
    </w:p>
    <w:p w14:paraId="1A6D09F9">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主控制电柜安装人机操作面板，用于运行监视、参数设置、故障报警及检索、常规操作等。</w:t>
      </w:r>
    </w:p>
    <w:p w14:paraId="0980D2B5">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控制柜应有插座，2孔、3孔220V、5A以上的电源插座各一组，作为编程设备或其他维护用电源。</w:t>
      </w:r>
    </w:p>
    <w:p w14:paraId="3D2FFDE9">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操作面板上的指示灯、按钮开关等，要有明确的名称指示标牌，标牌注释使用中/英文对照方式。</w:t>
      </w:r>
    </w:p>
    <w:p w14:paraId="79D933B7">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远程I/O端子一律采用开放式分布端子，以便于维修连接，预留10%以上备用点。</w:t>
      </w:r>
    </w:p>
    <w:p w14:paraId="162FAA9C">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设置指示灯检查按钮，可以在按钮按下时检查灯泡是否正常而不影响正常操作。</w:t>
      </w:r>
    </w:p>
    <w:p w14:paraId="4A9C440A">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PLC输入、输出点要预留10%以上备用点。</w:t>
      </w:r>
    </w:p>
    <w:p w14:paraId="537216D1">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控制柜应安装照明灯，电柜打开时，自动亮灯，关门时自动灭灯。灯管电压220VAC，尺寸符合中国国家标准。</w:t>
      </w:r>
    </w:p>
    <w:p w14:paraId="634378C9">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控制柜的各个元件应有永久性标牌，并应与图纸的名称一致。标牌位置不能贴在元件上应就近合理布置。</w:t>
      </w:r>
    </w:p>
    <w:p w14:paraId="24CFA11C">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控制柜元件布置应预留20%左右位置空间，以便今后可能的扩展。</w:t>
      </w:r>
    </w:p>
    <w:p w14:paraId="013E1FC7">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接线端子板的同一端子位置，最多接2根电线。并线较多的电源线、地线等，可以增加汇流板。汇流板N线与P线分离，接线端子板要预留10%以上备用端子。</w:t>
      </w:r>
    </w:p>
    <w:p w14:paraId="6FAC6EE1">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电柜结构及四周空间大小要便于维修。</w:t>
      </w:r>
    </w:p>
    <w:p w14:paraId="4842FC4A">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3m以上长距离辐射布线采用线槽布线。短于3m长于1m的布线可以使用线槽或金属管。1m以内可以使用波纹管布线。</w:t>
      </w:r>
    </w:p>
    <w:p w14:paraId="0B73790B">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所有电线连接必须通过分线盒端子板或标准插头，不得直接对接，能直接在端子板接线的，原则上不使用插头。</w:t>
      </w:r>
    </w:p>
    <w:p w14:paraId="72445155">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电缆、软管等通过箱体处必须使用标准管接头，不得直接进出布线。</w:t>
      </w:r>
    </w:p>
    <w:p w14:paraId="53384C4E">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管路、线槽内部穿线必须保留10％左右备用线，不足1根的至少要保留1根备用线。</w:t>
      </w:r>
    </w:p>
    <w:p w14:paraId="0F809134">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val="en-US" w:eastAsia="zh-CN"/>
        </w:rPr>
        <w:t>地拖</w:t>
      </w:r>
      <w:r>
        <w:rPr>
          <w:rFonts w:ascii="Times New Roman" w:hAnsi="Times New Roman" w:eastAsia="宋体" w:cs="Times New Roman"/>
          <w:sz w:val="24"/>
        </w:rPr>
        <w:t>链一类反复运动部位的内置电缆，必须使用专用防折加</w:t>
      </w:r>
      <w:r>
        <w:rPr>
          <w:rFonts w:hint="eastAsia" w:ascii="Times New Roman" w:hAnsi="Times New Roman" w:eastAsia="宋体" w:cs="Times New Roman"/>
          <w:sz w:val="24"/>
          <w:lang w:eastAsia="zh-CN"/>
        </w:rPr>
        <w:t>棉线</w:t>
      </w:r>
      <w:r>
        <w:rPr>
          <w:rFonts w:ascii="Times New Roman" w:hAnsi="Times New Roman" w:eastAsia="宋体" w:cs="Times New Roman"/>
          <w:sz w:val="24"/>
        </w:rPr>
        <w:t>电缆。</w:t>
      </w:r>
    </w:p>
    <w:p w14:paraId="69EA743C">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强电、弱电走线要分开线槽走线，避免交叉重叠。</w:t>
      </w:r>
    </w:p>
    <w:p w14:paraId="1900D0A0">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电机安装部位应留出拆卸、安装的位置。联轴节、皮带等外露旋转部分必须加防护。</w:t>
      </w:r>
    </w:p>
    <w:p w14:paraId="3B40D54B">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电机应有旋转方向指示。</w:t>
      </w:r>
    </w:p>
    <w:p w14:paraId="29353CDA">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电机接线盒内要有单独接地线。</w:t>
      </w:r>
    </w:p>
    <w:p w14:paraId="32F6AB18">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各设备需在控制柜设置铭牌，标明：设备名称、厂家、出厂时间、规格、容量、编号等必要信息。</w:t>
      </w:r>
    </w:p>
    <w:p w14:paraId="79DCF17C">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各单体设备控制电源应采取稳压和抗干扰措施，适应中国电网波动较大的环境。</w:t>
      </w:r>
    </w:p>
    <w:p w14:paraId="47599BF6">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移动部件、高压器件等危险部位要有明显的中英文对照警示标识。</w:t>
      </w:r>
    </w:p>
    <w:p w14:paraId="3EEECD9E">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设备操作及维修过程中可能发生人员伤害的区域应具有必要的安全防护措施或装置。</w:t>
      </w:r>
    </w:p>
    <w:p w14:paraId="15A1E7B2">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考虑轮胎磨屑或杂质对机械运动部件的影响，关键机械部件（如导轨等）应具有防尘、防护措施。</w:t>
      </w:r>
    </w:p>
    <w:p w14:paraId="7E7ECC22">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所有设备按钮具有灯光提示功能，避免误操作。</w:t>
      </w:r>
    </w:p>
    <w:p w14:paraId="386F3C77">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所有悬挂显示器角度可调整。</w:t>
      </w:r>
    </w:p>
    <w:p w14:paraId="4B807976">
      <w:pPr>
        <w:keepNext w:val="0"/>
        <w:keepLines w:val="0"/>
        <w:pageBreakBefore w:val="0"/>
        <w:widowControl w:val="0"/>
        <w:numPr>
          <w:ilvl w:val="0"/>
          <w:numId w:val="4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电系统接地要符合安全标准，裸露导电部分要有防护，箱、柜外要有防触电、接地标识，带插座的配电箱要配备漏电保护器，重要设备（电脑服务器、机械化设备、机器人等）电源柜要配备浪涌保护器（防雷保护器，必须由资质的单位安装，施工前到环境安全科审核备案）。</w:t>
      </w:r>
    </w:p>
    <w:p w14:paraId="300B1A86">
      <w:pPr>
        <w:keepNext w:val="0"/>
        <w:keepLines w:val="0"/>
        <w:pageBreakBefore w:val="0"/>
        <w:widowControl w:val="0"/>
        <w:numPr>
          <w:ilvl w:val="0"/>
          <w:numId w:val="44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bookmarkStart w:id="313" w:name="_Toc491785990"/>
      <w:r>
        <w:rPr>
          <w:rFonts w:ascii="Times New Roman" w:hAnsi="Times New Roman" w:eastAsia="宋体" w:cs="Times New Roman"/>
          <w:b/>
          <w:sz w:val="24"/>
        </w:rPr>
        <w:t>防护要求</w:t>
      </w:r>
      <w:bookmarkEnd w:id="313"/>
    </w:p>
    <w:p w14:paraId="2E0426AC">
      <w:pPr>
        <w:keepNext w:val="0"/>
        <w:keepLines w:val="0"/>
        <w:pageBreakBefore w:val="0"/>
        <w:widowControl w:val="0"/>
        <w:numPr>
          <w:ilvl w:val="0"/>
          <w:numId w:val="4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设备应采取必要的安全、防护要求。</w:t>
      </w:r>
    </w:p>
    <w:p w14:paraId="412D17B7">
      <w:pPr>
        <w:keepNext w:val="0"/>
        <w:keepLines w:val="0"/>
        <w:pageBreakBefore w:val="0"/>
        <w:widowControl w:val="0"/>
        <w:numPr>
          <w:ilvl w:val="0"/>
          <w:numId w:val="4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所有设备都应在距操作人员1m内设有急停装置。</w:t>
      </w:r>
    </w:p>
    <w:p w14:paraId="08B6DAD6">
      <w:pPr>
        <w:keepNext w:val="0"/>
        <w:keepLines w:val="0"/>
        <w:pageBreakBefore w:val="0"/>
        <w:widowControl w:val="0"/>
        <w:numPr>
          <w:ilvl w:val="0"/>
          <w:numId w:val="4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设备应有完善的故障自诊断功能，实现对设备主要故障和状态的判断和显示。</w:t>
      </w:r>
    </w:p>
    <w:p w14:paraId="2CA60BA6">
      <w:pPr>
        <w:keepNext w:val="0"/>
        <w:keepLines w:val="0"/>
        <w:pageBreakBefore w:val="0"/>
        <w:widowControl w:val="0"/>
        <w:numPr>
          <w:ilvl w:val="0"/>
          <w:numId w:val="4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应在设备危险部位粘贴符合国家标准（GB 2894-2008 安全标志及使用导则）的安全警示标识。</w:t>
      </w:r>
    </w:p>
    <w:p w14:paraId="381B7A6E">
      <w:pPr>
        <w:keepNext w:val="0"/>
        <w:keepLines w:val="0"/>
        <w:pageBreakBefore w:val="0"/>
        <w:widowControl w:val="0"/>
        <w:numPr>
          <w:ilvl w:val="0"/>
          <w:numId w:val="44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安全要求</w:t>
      </w:r>
    </w:p>
    <w:p w14:paraId="60CDE7DA">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设备厂家对设备的安全性负责，设备应具备足够的安全性，满足国家各种安全性的强制标准及现行法律法规的要求。</w:t>
      </w:r>
    </w:p>
    <w:p w14:paraId="11D8BD91">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应具有全面的防护系统，防护装置应安全可靠、整齐美观、方便安装、拆卸和调整，所有旋转件不应外露，在系统存在故障或防护装置未到位的情况下，设备相关部分应不能启动，设备应有安全保护、报警和自动停机功能。</w:t>
      </w:r>
    </w:p>
    <w:p w14:paraId="53AA4423">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设备在大于100%额定载荷下应自动停车，在超负荷时，设备不能动作。</w:t>
      </w:r>
    </w:p>
    <w:p w14:paraId="7F15A6AE">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在所有可能带电的部位应进行绝缘处理，或者用栅栏围住，或者把它安装在可以防止危险发生的地方。</w:t>
      </w:r>
    </w:p>
    <w:p w14:paraId="06C1D479">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电气系统所使用的电线和电缆为各种铜芯电线和电缆，必须具有耐高温、防火、防爆</w:t>
      </w:r>
      <w:r>
        <w:rPr>
          <w:rFonts w:hint="eastAsia" w:ascii="Times New Roman" w:hAnsi="Times New Roman" w:eastAsia="宋体" w:cs="Times New Roman"/>
          <w:sz w:val="24"/>
          <w:lang w:eastAsia="zh-CN"/>
        </w:rPr>
        <w:t>，</w:t>
      </w:r>
      <w:r>
        <w:rPr>
          <w:rFonts w:ascii="Times New Roman" w:hAnsi="Times New Roman" w:eastAsia="宋体" w:cs="Times New Roman"/>
          <w:sz w:val="24"/>
        </w:rPr>
        <w:t>机械强度高、安全可靠的特性。</w:t>
      </w:r>
    </w:p>
    <w:p w14:paraId="3B2DCAB3">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旋转轴、联节器、齿轮和其它旋转部件应完全防护，防护罩必须有足够强度、安全可靠，防护罩的设计应能使人容易接近润滑油脂加注点、温度计和其他检查点，以便操作人员能够在没有危险或者不需拆除防护体任何部件的情况下，就可进行日常观察、维修。防护体应以不能被随意拆除或移动的方式用螺栓固定。</w:t>
      </w:r>
    </w:p>
    <w:p w14:paraId="62FA955F">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各部分安全联锁和限位装置、缓冲器、制动器、安全护栏等齐全，安全可靠。</w:t>
      </w:r>
    </w:p>
    <w:p w14:paraId="448DAED8">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手爪、夹具结构具备自锁及掉电保护功能，保证设备在意外情况下的安全性。</w:t>
      </w:r>
    </w:p>
    <w:p w14:paraId="7E632DB1">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设备机械动作要具有一定互锁性能，各自由度不能任意操作（维修模式除外）。</w:t>
      </w:r>
    </w:p>
    <w:p w14:paraId="57A265A3">
      <w:pPr>
        <w:keepNext w:val="0"/>
        <w:keepLines w:val="0"/>
        <w:pageBreakBefore w:val="0"/>
        <w:widowControl w:val="0"/>
        <w:numPr>
          <w:ilvl w:val="0"/>
          <w:numId w:val="4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设备的运动部件采用</w:t>
      </w:r>
      <w:r>
        <w:rPr>
          <w:rFonts w:hint="eastAsia" w:ascii="Times New Roman" w:hAnsi="Times New Roman" w:eastAsia="宋体" w:cs="Times New Roman"/>
          <w:sz w:val="24"/>
          <w:lang w:eastAsia="zh-CN"/>
        </w:rPr>
        <w:t>橘黄</w:t>
      </w:r>
      <w:r>
        <w:rPr>
          <w:rFonts w:ascii="Times New Roman" w:hAnsi="Times New Roman" w:eastAsia="宋体" w:cs="Times New Roman"/>
          <w:sz w:val="24"/>
        </w:rPr>
        <w:t>作为警示色，重点危险部位采用黄黑警示条作为提示。</w:t>
      </w:r>
    </w:p>
    <w:p w14:paraId="4C79AB27">
      <w:pPr>
        <w:keepNext w:val="0"/>
        <w:keepLines w:val="0"/>
        <w:pageBreakBefore w:val="0"/>
        <w:widowControl w:val="0"/>
        <w:numPr>
          <w:ilvl w:val="0"/>
          <w:numId w:val="44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设备交互与联锁</w:t>
      </w:r>
    </w:p>
    <w:p w14:paraId="696F2BEB">
      <w:pPr>
        <w:keepNext w:val="0"/>
        <w:keepLines w:val="0"/>
        <w:pageBreakBefore w:val="0"/>
        <w:widowControl w:val="0"/>
        <w:numPr>
          <w:ilvl w:val="0"/>
          <w:numId w:val="4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PLC设计为信息化网络层结构中的节点设备，预留以太网接口，并采用工业管理型交换机与MES等上位系统进行以太网通信。输送设备 PLC 之间通过 PN/PN 耦合器或 Anybus 网关建立总线通信，实现相互间的数据交互和控制联锁。</w:t>
      </w:r>
    </w:p>
    <w:p w14:paraId="5FC21CDA">
      <w:pPr>
        <w:keepNext w:val="0"/>
        <w:keepLines w:val="0"/>
        <w:pageBreakBefore w:val="0"/>
        <w:widowControl w:val="0"/>
        <w:numPr>
          <w:ilvl w:val="0"/>
          <w:numId w:val="4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主线机械化输送系统与辅线机械化输送系统实现数据通讯的所有耦合器或网关等硬件接口，均由主线机械化输送系统供应商（</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）负责配置，辅线机械化输送系统负责线缆接入工作。</w:t>
      </w:r>
    </w:p>
    <w:p w14:paraId="1D159A67">
      <w:pPr>
        <w:keepNext w:val="0"/>
        <w:keepLines w:val="0"/>
        <w:pageBreakBefore w:val="0"/>
        <w:widowControl w:val="0"/>
        <w:numPr>
          <w:ilvl w:val="0"/>
          <w:numId w:val="4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主线机械化输送系统与 AGV、线边设备等实现数据通讯的所有耦合器或网关、IO 模块 </w:t>
      </w:r>
    </w:p>
    <w:p w14:paraId="2B295CC4">
      <w:pPr>
        <w:keepNext w:val="0"/>
        <w:keepLines w:val="0"/>
        <w:pageBreakBefore w:val="0"/>
        <w:widowControl w:val="0"/>
        <w:numPr>
          <w:ilvl w:val="0"/>
          <w:numId w:val="4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等硬件接口，均由主线机械化输送系统供应商（</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）负责配置。</w:t>
      </w:r>
    </w:p>
    <w:p w14:paraId="490386A8">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b/>
          <w:bCs w:val="0"/>
          <w:sz w:val="24"/>
        </w:rPr>
        <w:t>生产信息看板</w:t>
      </w:r>
      <w:r>
        <w:rPr>
          <w:rFonts w:ascii="Times New Roman" w:hAnsi="Times New Roman" w:eastAsia="宋体" w:cs="Times New Roman"/>
          <w:b/>
          <w:sz w:val="24"/>
        </w:rPr>
        <w:t xml:space="preserve"> </w:t>
      </w:r>
    </w:p>
    <w:p w14:paraId="5BC61965">
      <w:pPr>
        <w:keepNext w:val="0"/>
        <w:keepLines w:val="0"/>
        <w:pageBreakBefore w:val="0"/>
        <w:widowControl/>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车间内生产线显示屏系统功能概述：车间的现场安装2块</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带外放音</w:t>
      </w:r>
      <w:r>
        <w:rPr>
          <w:rFonts w:hint="eastAsia" w:ascii="Times New Roman" w:hAnsi="Times New Roman" w:eastAsia="宋体" w:cs="Times New Roman"/>
          <w:sz w:val="24"/>
          <w:lang w:eastAsia="zh-CN"/>
        </w:rPr>
        <w:t>）</w:t>
      </w:r>
      <w:r>
        <w:rPr>
          <w:rFonts w:ascii="Times New Roman" w:hAnsi="Times New Roman" w:eastAsia="宋体" w:cs="Times New Roman"/>
          <w:sz w:val="24"/>
        </w:rPr>
        <w:t>目视化看板</w:t>
      </w:r>
      <w:r>
        <w:rPr>
          <w:rFonts w:hint="eastAsia" w:cs="Times New Roman"/>
          <w:sz w:val="24"/>
          <w:lang w:val="en-US" w:eastAsia="zh-CN"/>
        </w:rPr>
        <w:t>显示屏</w:t>
      </w:r>
      <w:r>
        <w:rPr>
          <w:rFonts w:hint="eastAsia" w:ascii="Times New Roman" w:hAnsi="Times New Roman" w:eastAsia="宋体" w:cs="Times New Roman"/>
          <w:sz w:val="24"/>
          <w:lang w:val="en-US" w:eastAsia="zh-CN"/>
        </w:rPr>
        <w:t>（</w:t>
      </w:r>
      <w:r>
        <w:rPr>
          <w:rFonts w:hint="eastAsia" w:ascii="Times New Roman" w:hAnsi="Times New Roman" w:eastAsia="宋体" w:cs="Times New Roman"/>
          <w:sz w:val="24"/>
        </w:rPr>
        <w:t>2.</w:t>
      </w:r>
      <w:r>
        <w:rPr>
          <w:rFonts w:hint="eastAsia" w:ascii="Times New Roman" w:hAnsi="Times New Roman" w:eastAsia="宋体" w:cs="Times New Roman"/>
          <w:sz w:val="24"/>
          <w:lang w:val="en-US" w:eastAsia="zh-CN"/>
        </w:rPr>
        <w:t>196</w:t>
      </w:r>
      <w:r>
        <w:rPr>
          <w:rFonts w:hint="eastAsia" w:ascii="Times New Roman" w:hAnsi="Times New Roman" w:eastAsia="宋体" w:cs="Times New Roman"/>
          <w:sz w:val="24"/>
        </w:rPr>
        <w:t>m*1.</w:t>
      </w:r>
      <w:r>
        <w:rPr>
          <w:rFonts w:hint="eastAsia" w:ascii="Times New Roman" w:hAnsi="Times New Roman" w:eastAsia="宋体" w:cs="Times New Roman"/>
          <w:sz w:val="24"/>
          <w:lang w:val="en-US" w:eastAsia="zh-CN"/>
        </w:rPr>
        <w:t>464</w:t>
      </w:r>
      <w:r>
        <w:rPr>
          <w:rFonts w:hint="eastAsia" w:ascii="Times New Roman" w:hAnsi="Times New Roman" w:eastAsia="宋体" w:cs="Times New Roman"/>
          <w:sz w:val="24"/>
        </w:rPr>
        <w:t>m双面彩色显示屏</w:t>
      </w:r>
      <w:r>
        <w:rPr>
          <w:rFonts w:hint="eastAsia" w:ascii="Times New Roman" w:hAnsi="Times New Roman" w:eastAsia="宋体" w:cs="Times New Roman"/>
          <w:sz w:val="24"/>
          <w:lang w:val="en-US" w:eastAsia="zh-CN"/>
        </w:rPr>
        <w:t xml:space="preserve">  P3）</w:t>
      </w:r>
      <w:r>
        <w:rPr>
          <w:rFonts w:ascii="Times New Roman" w:hAnsi="Times New Roman" w:eastAsia="宋体" w:cs="Times New Roman"/>
          <w:sz w:val="24"/>
        </w:rPr>
        <w:t>、车间</w:t>
      </w:r>
      <w:r>
        <w:rPr>
          <w:rFonts w:hint="eastAsia" w:cs="Times New Roman"/>
          <w:sz w:val="24"/>
          <w:lang w:val="en-US" w:eastAsia="zh-CN"/>
        </w:rPr>
        <w:t>现场</w:t>
      </w:r>
      <w:r>
        <w:rPr>
          <w:rFonts w:ascii="Times New Roman" w:hAnsi="Times New Roman" w:eastAsia="宋体" w:cs="Times New Roman"/>
          <w:sz w:val="24"/>
        </w:rPr>
        <w:t>安装1块LED显示屏（</w:t>
      </w:r>
      <w:r>
        <w:rPr>
          <w:rFonts w:hint="eastAsia" w:cs="Times New Roman"/>
          <w:sz w:val="24"/>
          <w:lang w:val="en-US" w:eastAsia="zh-CN"/>
        </w:rPr>
        <w:t>6</w:t>
      </w:r>
      <w:r>
        <w:rPr>
          <w:rFonts w:ascii="Times New Roman" w:hAnsi="Times New Roman" w:eastAsia="宋体" w:cs="Times New Roman"/>
          <w:sz w:val="24"/>
        </w:rPr>
        <w:t>m*</w:t>
      </w:r>
      <w:r>
        <w:rPr>
          <w:rFonts w:hint="eastAsia" w:cs="Times New Roman"/>
          <w:sz w:val="24"/>
          <w:lang w:val="en-US" w:eastAsia="zh-CN"/>
        </w:rPr>
        <w:t>3</w:t>
      </w:r>
      <w:r>
        <w:rPr>
          <w:rFonts w:ascii="Times New Roman" w:hAnsi="Times New Roman" w:eastAsia="宋体" w:cs="Times New Roman"/>
          <w:sz w:val="24"/>
        </w:rPr>
        <w:t>m单面彩色显示屏，</w:t>
      </w:r>
      <w:r>
        <w:rPr>
          <w:rFonts w:hint="eastAsia" w:ascii="Times New Roman" w:hAnsi="Times New Roman" w:eastAsia="宋体" w:cs="Times New Roman"/>
          <w:sz w:val="24"/>
          <w:lang w:val="en-US" w:eastAsia="zh-CN"/>
        </w:rPr>
        <w:t>分辨率P2.5</w:t>
      </w:r>
      <w:r>
        <w:rPr>
          <w:rFonts w:ascii="Times New Roman" w:hAnsi="Times New Roman" w:eastAsia="宋体" w:cs="Times New Roman"/>
          <w:sz w:val="24"/>
        </w:rPr>
        <w:t>）</w:t>
      </w:r>
      <w:r>
        <w:rPr>
          <w:rFonts w:hint="eastAsia" w:cs="Times New Roman"/>
          <w:sz w:val="24"/>
          <w:lang w:eastAsia="zh-CN"/>
        </w:rPr>
        <w:t>、</w:t>
      </w:r>
      <w:r>
        <w:rPr>
          <w:rFonts w:hint="eastAsia" w:ascii="Times New Roman" w:hAnsi="Times New Roman" w:eastAsia="宋体" w:cs="Times New Roman"/>
          <w:sz w:val="24"/>
          <w:lang w:val="en-US" w:eastAsia="zh-CN"/>
        </w:rPr>
        <w:t>显示屏采用以太网接口的</w:t>
      </w:r>
      <w:r>
        <w:rPr>
          <w:rFonts w:hint="eastAsia" w:cs="Times New Roman"/>
          <w:sz w:val="24"/>
          <w:lang w:val="en-US" w:eastAsia="zh-CN"/>
        </w:rPr>
        <w:t>1块</w:t>
      </w:r>
      <w:r>
        <w:rPr>
          <w:rFonts w:hint="eastAsia" w:ascii="Times New Roman" w:hAnsi="Times New Roman" w:eastAsia="宋体" w:cs="Times New Roman"/>
          <w:sz w:val="24"/>
          <w:lang w:val="en-US" w:eastAsia="zh-CN"/>
        </w:rPr>
        <w:t>LED显示屏（5.2m*0.6m单面彩色显示屏），就近接入车间工业以太网的交换机中</w:t>
      </w:r>
      <w:r>
        <w:rPr>
          <w:rFonts w:ascii="Times New Roman" w:hAnsi="Times New Roman" w:eastAsia="宋体" w:cs="Times New Roman"/>
          <w:sz w:val="24"/>
        </w:rPr>
        <w:t>能对生产线信息进行监控、显示，工位在显示屏上用工位号表示，显示屏最下方显示故障内容。能对总装线生产订单数进行日汇总、月汇总及年汇总，被显示在显示屏上，显示屏格式以现场会签时确定，采用中</w:t>
      </w:r>
      <w:r>
        <w:rPr>
          <w:rFonts w:hint="eastAsia" w:cs="Times New Roman"/>
          <w:sz w:val="24"/>
          <w:lang w:val="en-US" w:eastAsia="zh-CN"/>
        </w:rPr>
        <w:t>英</w:t>
      </w:r>
      <w:r>
        <w:rPr>
          <w:rFonts w:ascii="Times New Roman" w:hAnsi="Times New Roman" w:eastAsia="宋体" w:cs="Times New Roman"/>
          <w:sz w:val="24"/>
        </w:rPr>
        <w:t>文显示为主，并负责采集其他线体设备生产相关信息。</w:t>
      </w:r>
    </w:p>
    <w:p w14:paraId="553A9339">
      <w:pPr>
        <w:pStyle w:val="3"/>
        <w:keepNext w:val="0"/>
        <w:keepLines w:val="0"/>
        <w:pageBreakBefore w:val="0"/>
        <w:numPr>
          <w:ilvl w:val="-1"/>
          <w:numId w:val="0"/>
        </w:numPr>
        <w:kinsoku/>
        <w:overflowPunct/>
        <w:topLinePunct w:val="0"/>
        <w:bidi w:val="0"/>
        <w:adjustRightInd w:val="0"/>
        <w:snapToGrid w:val="0"/>
        <w:spacing w:before="0" w:afterAutospacing="0" w:line="360" w:lineRule="auto"/>
        <w:ind w:left="0" w:leftChars="0" w:firstLine="0" w:firstLineChars="0"/>
        <w:jc w:val="center"/>
        <w:rPr>
          <w:rFonts w:hint="eastAsia" w:ascii="Times New Roman" w:hAnsi="Times New Roman" w:eastAsia="宋体" w:cs="Times New Roman"/>
          <w:b/>
          <w:bCs/>
          <w:sz w:val="24"/>
          <w:lang w:val="en-US" w:eastAsia="zh-CN"/>
        </w:rPr>
      </w:pPr>
      <w:r>
        <w:rPr>
          <w:rFonts w:hint="eastAsia" w:ascii="宋体" w:hAnsi="宋体" w:eastAsia="宋体" w:cs="宋体"/>
          <w:b/>
          <w:bCs/>
          <w:szCs w:val="30"/>
          <w:lang w:eastAsia="zh-CN"/>
        </w:rPr>
        <w:t>附件</w:t>
      </w:r>
      <w:r>
        <w:rPr>
          <w:rFonts w:hint="eastAsia" w:ascii="宋体" w:hAnsi="宋体" w:eastAsia="宋体" w:cs="宋体"/>
          <w:b/>
          <w:bCs/>
          <w:szCs w:val="30"/>
          <w:lang w:val="en-US" w:eastAsia="zh-CN"/>
        </w:rPr>
        <w:t>八</w:t>
      </w:r>
      <w:r>
        <w:rPr>
          <w:rFonts w:hint="eastAsia" w:ascii="宋体" w:hAnsi="宋体" w:eastAsia="宋体" w:cs="宋体"/>
          <w:b/>
          <w:bCs/>
          <w:szCs w:val="30"/>
          <w:lang w:eastAsia="zh-CN"/>
        </w:rPr>
        <w:t>、</w:t>
      </w:r>
      <w:r>
        <w:rPr>
          <w:rFonts w:hint="eastAsia" w:ascii="宋体" w:hAnsi="宋体" w:eastAsia="宋体" w:cs="宋体"/>
          <w:b/>
          <w:bCs/>
          <w:sz w:val="30"/>
          <w:szCs w:val="30"/>
          <w:lang w:eastAsia="zh-CN"/>
        </w:rPr>
        <w:t>总装</w:t>
      </w:r>
      <w:r>
        <w:rPr>
          <w:rFonts w:hint="eastAsia" w:ascii="宋体" w:hAnsi="宋体" w:eastAsia="宋体" w:cs="宋体"/>
          <w:b/>
          <w:bCs/>
          <w:sz w:val="30"/>
          <w:szCs w:val="30"/>
          <w:lang w:val="en-US" w:eastAsia="zh-CN"/>
        </w:rPr>
        <w:t>车间</w:t>
      </w:r>
      <w:r>
        <w:rPr>
          <w:rFonts w:hint="eastAsia" w:ascii="宋体" w:hAnsi="宋体" w:eastAsia="宋体" w:cs="宋体"/>
          <w:b/>
          <w:bCs/>
          <w:sz w:val="30"/>
          <w:szCs w:val="30"/>
        </w:rPr>
        <w:t>生产线设备技术要求</w:t>
      </w:r>
    </w:p>
    <w:p w14:paraId="3A604FE2">
      <w:pPr>
        <w:keepNext w:val="0"/>
        <w:keepLines w:val="0"/>
        <w:pageBreakBefore w:val="0"/>
        <w:widowControl w:val="0"/>
        <w:numPr>
          <w:ilvl w:val="0"/>
          <w:numId w:val="450"/>
        </w:numPr>
        <w:kinsoku/>
        <w:overflowPunct/>
        <w:topLinePunct w:val="0"/>
        <w:bidi w:val="0"/>
        <w:adjustRightInd w:val="0"/>
        <w:snapToGrid w:val="0"/>
        <w:spacing w:beforeAutospacing="0" w:afterAutospacing="0" w:line="360" w:lineRule="auto"/>
        <w:ind w:left="425" w:leftChars="0" w:hanging="425" w:firstLineChars="0"/>
        <w:jc w:val="left"/>
        <w:outlineLvl w:val="1"/>
        <w:rPr>
          <w:rFonts w:ascii="Times New Roman" w:hAnsi="Times New Roman" w:eastAsia="宋体" w:cs="Times New Roman"/>
          <w:b/>
          <w:sz w:val="24"/>
        </w:rPr>
      </w:pPr>
      <w:r>
        <w:rPr>
          <w:rFonts w:ascii="Times New Roman" w:hAnsi="Times New Roman" w:eastAsia="宋体" w:cs="Times New Roman"/>
          <w:b/>
          <w:sz w:val="24"/>
        </w:rPr>
        <w:t>生产线设备技术要求</w:t>
      </w:r>
    </w:p>
    <w:p w14:paraId="055D9BBA">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内饰线设备技术要求</w:t>
      </w:r>
    </w:p>
    <w:p w14:paraId="0FC638D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工艺流程概述：</w:t>
      </w:r>
    </w:p>
    <w:p w14:paraId="6DDFC6AA">
      <w:pPr>
        <w:keepNext w:val="0"/>
        <w:keepLines w:val="0"/>
        <w:pageBreakBefore w:val="0"/>
        <w:widowControl w:val="0"/>
        <w:numPr>
          <w:ilvl w:val="0"/>
          <w:numId w:val="4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原地拖链设备整体利旧，新增叉式移载机、台车（可调式支撑满足多车型共线生产）</w:t>
      </w:r>
      <w:r>
        <w:rPr>
          <w:rFonts w:hint="eastAsia" w:ascii="Times New Roman" w:hAnsi="Times New Roman" w:eastAsia="宋体" w:cs="Times New Roman"/>
          <w:sz w:val="24"/>
          <w:lang w:eastAsia="zh-CN"/>
        </w:rPr>
        <w:t>。</w:t>
      </w:r>
    </w:p>
    <w:p w14:paraId="313E6838">
      <w:pPr>
        <w:keepNext w:val="0"/>
        <w:keepLines w:val="0"/>
        <w:pageBreakBefore w:val="0"/>
        <w:widowControl w:val="0"/>
        <w:numPr>
          <w:ilvl w:val="0"/>
          <w:numId w:val="4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台车为手推式，叉式移载机从涂装辊床将工件转接到手推台车上，人工将带油漆车身的台车推到指定位置上，由双边同步气缸推入台车与地拖链插销自动锁紧，油漆车身通过升降机转接到底盘线吊具后，地拖链与台车插销自动解锁，由双边同步气缸将台车推至人工转运区域。</w:t>
      </w:r>
    </w:p>
    <w:p w14:paraId="3321E911">
      <w:pPr>
        <w:keepNext w:val="0"/>
        <w:keepLines w:val="0"/>
        <w:pageBreakBefore w:val="0"/>
        <w:widowControl w:val="0"/>
        <w:numPr>
          <w:ilvl w:val="0"/>
          <w:numId w:val="4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内饰线共18个工位</w:t>
      </w:r>
      <w:r>
        <w:rPr>
          <w:rFonts w:ascii="Times New Roman" w:hAnsi="Times New Roman" w:eastAsia="宋体" w:cs="Times New Roman"/>
          <w:sz w:val="21"/>
          <w:szCs w:val="21"/>
        </w:rPr>
        <w:t>，</w:t>
      </w:r>
      <w:r>
        <w:rPr>
          <w:rStyle w:val="46"/>
          <w:rFonts w:hint="eastAsia" w:ascii="Times New Roman" w:hAnsi="Times New Roman" w:eastAsia="宋体" w:cs="Times New Roman"/>
          <w:color w:val="000000"/>
          <w:sz w:val="24"/>
          <w:lang w:val="en-US" w:eastAsia="zh-CN"/>
        </w:rPr>
        <w:t>有效工位17个工位</w:t>
      </w:r>
      <w:r>
        <w:rPr>
          <w:rFonts w:ascii="Times New Roman" w:hAnsi="Times New Roman" w:eastAsia="宋体" w:cs="Times New Roman"/>
          <w:color w:val="000000"/>
          <w:sz w:val="24"/>
        </w:rPr>
        <w:t xml:space="preserve">，工位间距为7200mm按生产节拍要求连续输送，沿生产线设置台车导向轨道，线尾为一台叉式升降机转挂至底盘摩擦线。 </w:t>
      </w:r>
    </w:p>
    <w:p w14:paraId="03332C5A">
      <w:pPr>
        <w:keepNext w:val="0"/>
        <w:keepLines w:val="0"/>
        <w:pageBreakBefore w:val="0"/>
        <w:widowControl w:val="0"/>
        <w:numPr>
          <w:ilvl w:val="0"/>
          <w:numId w:val="4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在每个有效工位设置急停开关、复位开关和三色柱示灯，便于在出现故障时使用，确保生产安全，按急停开关时，指示灯亮红灯，并伴有声音提醒，松开急停开关并复位后，声光报警停止，并能自动启动输送线。</w:t>
      </w:r>
    </w:p>
    <w:p w14:paraId="796CE49F">
      <w:pPr>
        <w:keepNext w:val="0"/>
        <w:keepLines w:val="0"/>
        <w:pageBreakBefore w:val="0"/>
        <w:widowControl w:val="0"/>
        <w:numPr>
          <w:ilvl w:val="0"/>
          <w:numId w:val="4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线体末端设置防撞车保护装置（光电开关保护），防止工艺车未及时拉走，有后继小车碰撞。</w:t>
      </w:r>
    </w:p>
    <w:p w14:paraId="2BCE11E0">
      <w:pPr>
        <w:keepNext w:val="0"/>
        <w:keepLines w:val="0"/>
        <w:pageBreakBefore w:val="0"/>
        <w:widowControl w:val="0"/>
        <w:numPr>
          <w:ilvl w:val="0"/>
          <w:numId w:val="45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主要设备及参数</w:t>
      </w:r>
    </w:p>
    <w:tbl>
      <w:tblPr>
        <w:tblStyle w:val="4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2493"/>
        <w:gridCol w:w="2725"/>
        <w:gridCol w:w="823"/>
        <w:gridCol w:w="811"/>
        <w:gridCol w:w="1974"/>
      </w:tblGrid>
      <w:tr w14:paraId="48F97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6" w:type="pct"/>
            <w:vAlign w:val="center"/>
          </w:tcPr>
          <w:p w14:paraId="10B5821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序号</w:t>
            </w:r>
          </w:p>
        </w:tc>
        <w:tc>
          <w:tcPr>
            <w:tcW w:w="1291" w:type="pct"/>
            <w:vAlign w:val="center"/>
          </w:tcPr>
          <w:p w14:paraId="3853DE7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设备名称</w:t>
            </w:r>
          </w:p>
        </w:tc>
        <w:tc>
          <w:tcPr>
            <w:tcW w:w="1411" w:type="pct"/>
            <w:vAlign w:val="center"/>
          </w:tcPr>
          <w:p w14:paraId="7E94108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技术参数</w:t>
            </w:r>
          </w:p>
        </w:tc>
        <w:tc>
          <w:tcPr>
            <w:tcW w:w="426" w:type="pct"/>
            <w:vAlign w:val="center"/>
          </w:tcPr>
          <w:p w14:paraId="631FE34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数量</w:t>
            </w:r>
          </w:p>
        </w:tc>
        <w:tc>
          <w:tcPr>
            <w:tcW w:w="420" w:type="pct"/>
            <w:vAlign w:val="center"/>
          </w:tcPr>
          <w:p w14:paraId="2A5136C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单位</w:t>
            </w:r>
          </w:p>
        </w:tc>
        <w:tc>
          <w:tcPr>
            <w:tcW w:w="1022" w:type="pct"/>
            <w:vAlign w:val="center"/>
          </w:tcPr>
          <w:p w14:paraId="1FB020C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备注</w:t>
            </w:r>
          </w:p>
        </w:tc>
      </w:tr>
      <w:tr w14:paraId="29FD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426" w:type="pct"/>
            <w:vAlign w:val="center"/>
          </w:tcPr>
          <w:p w14:paraId="084DD4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1291" w:type="pct"/>
            <w:vAlign w:val="center"/>
          </w:tcPr>
          <w:p w14:paraId="061BD74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叉式移载机</w:t>
            </w:r>
          </w:p>
        </w:tc>
        <w:tc>
          <w:tcPr>
            <w:tcW w:w="1411" w:type="pct"/>
            <w:vAlign w:val="center"/>
          </w:tcPr>
          <w:p w14:paraId="6037BA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以会签为准</w:t>
            </w:r>
          </w:p>
        </w:tc>
        <w:tc>
          <w:tcPr>
            <w:tcW w:w="426" w:type="pct"/>
            <w:vAlign w:val="center"/>
          </w:tcPr>
          <w:p w14:paraId="0F9F500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20" w:type="pct"/>
            <w:vAlign w:val="center"/>
          </w:tcPr>
          <w:p w14:paraId="1E54444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1022" w:type="pct"/>
            <w:vAlign w:val="center"/>
          </w:tcPr>
          <w:p w14:paraId="621B6BA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带升降</w:t>
            </w:r>
          </w:p>
        </w:tc>
      </w:tr>
      <w:tr w14:paraId="3BEC7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426" w:type="pct"/>
            <w:vAlign w:val="center"/>
          </w:tcPr>
          <w:p w14:paraId="2367E93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2</w:t>
            </w:r>
          </w:p>
        </w:tc>
        <w:tc>
          <w:tcPr>
            <w:tcW w:w="1291" w:type="pct"/>
            <w:vAlign w:val="center"/>
          </w:tcPr>
          <w:p w14:paraId="23476F7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台车</w:t>
            </w:r>
          </w:p>
        </w:tc>
        <w:tc>
          <w:tcPr>
            <w:tcW w:w="1411" w:type="pct"/>
            <w:vAlign w:val="center"/>
          </w:tcPr>
          <w:p w14:paraId="035661D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手推式</w:t>
            </w:r>
          </w:p>
        </w:tc>
        <w:tc>
          <w:tcPr>
            <w:tcW w:w="426" w:type="pct"/>
            <w:vAlign w:val="center"/>
          </w:tcPr>
          <w:p w14:paraId="12E8F8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25</w:t>
            </w:r>
          </w:p>
        </w:tc>
        <w:tc>
          <w:tcPr>
            <w:tcW w:w="420" w:type="pct"/>
            <w:vAlign w:val="center"/>
          </w:tcPr>
          <w:p w14:paraId="2440A60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1022" w:type="pct"/>
            <w:vAlign w:val="center"/>
          </w:tcPr>
          <w:p w14:paraId="5D62EDE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r>
      <w:tr w14:paraId="11CED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exact"/>
        </w:trPr>
        <w:tc>
          <w:tcPr>
            <w:tcW w:w="426" w:type="pct"/>
            <w:vAlign w:val="center"/>
          </w:tcPr>
          <w:p w14:paraId="57802CA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3</w:t>
            </w:r>
          </w:p>
        </w:tc>
        <w:tc>
          <w:tcPr>
            <w:tcW w:w="1291" w:type="pct"/>
            <w:vAlign w:val="center"/>
          </w:tcPr>
          <w:p w14:paraId="0359C59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车身存储手动台车</w:t>
            </w:r>
          </w:p>
        </w:tc>
        <w:tc>
          <w:tcPr>
            <w:tcW w:w="1411" w:type="pct"/>
            <w:vAlign w:val="center"/>
          </w:tcPr>
          <w:p w14:paraId="5B49233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手推式</w:t>
            </w:r>
          </w:p>
        </w:tc>
        <w:tc>
          <w:tcPr>
            <w:tcW w:w="426" w:type="pct"/>
            <w:vAlign w:val="center"/>
          </w:tcPr>
          <w:p w14:paraId="587660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18"/>
                <w:szCs w:val="18"/>
              </w:rPr>
            </w:pPr>
            <w:r>
              <w:rPr>
                <w:rFonts w:hint="eastAsia" w:ascii="宋体" w:hAnsi="宋体" w:eastAsia="宋体" w:cs="宋体"/>
                <w:kern w:val="0"/>
                <w:sz w:val="24"/>
                <w:szCs w:val="24"/>
              </w:rPr>
              <w:t>20</w:t>
            </w:r>
          </w:p>
        </w:tc>
        <w:tc>
          <w:tcPr>
            <w:tcW w:w="420" w:type="pct"/>
            <w:vAlign w:val="center"/>
          </w:tcPr>
          <w:p w14:paraId="6675756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1022" w:type="pct"/>
            <w:vAlign w:val="center"/>
          </w:tcPr>
          <w:p w14:paraId="69C64CC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r>
      <w:tr w14:paraId="264B9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426" w:type="pct"/>
            <w:vAlign w:val="center"/>
          </w:tcPr>
          <w:p w14:paraId="1549117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4</w:t>
            </w:r>
          </w:p>
        </w:tc>
        <w:tc>
          <w:tcPr>
            <w:tcW w:w="1291" w:type="pct"/>
            <w:vAlign w:val="center"/>
          </w:tcPr>
          <w:p w14:paraId="000AC22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地拖链输送机</w:t>
            </w:r>
          </w:p>
        </w:tc>
        <w:tc>
          <w:tcPr>
            <w:tcW w:w="1411" w:type="pct"/>
            <w:vAlign w:val="center"/>
          </w:tcPr>
          <w:p w14:paraId="00C3DC7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426" w:type="pct"/>
            <w:vAlign w:val="center"/>
          </w:tcPr>
          <w:p w14:paraId="04C8480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20" w:type="pct"/>
            <w:vAlign w:val="center"/>
          </w:tcPr>
          <w:p w14:paraId="36E62C7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1022" w:type="pct"/>
            <w:vAlign w:val="center"/>
          </w:tcPr>
          <w:p w14:paraId="3A37DF8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利旧改造</w:t>
            </w:r>
          </w:p>
        </w:tc>
      </w:tr>
      <w:tr w14:paraId="6EC79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426" w:type="pct"/>
            <w:vAlign w:val="center"/>
          </w:tcPr>
          <w:p w14:paraId="11BE1592">
            <w:pPr>
              <w:keepNext w:val="0"/>
              <w:keepLines w:val="0"/>
              <w:pageBreakBefore w:val="0"/>
              <w:kinsoku/>
              <w:overflowPunct/>
              <w:topLinePunct w:val="0"/>
              <w:bidi w:val="0"/>
              <w:adjustRightInd w:val="0"/>
              <w:snapToGrid w:val="0"/>
              <w:spacing w:afterAutospacing="0" w:line="240" w:lineRule="auto"/>
              <w:ind w:firstLine="240" w:firstLineChars="100"/>
              <w:jc w:val="center"/>
              <w:rPr>
                <w:rFonts w:ascii="宋体" w:hAnsi="宋体" w:eastAsia="宋体" w:cs="宋体"/>
                <w:kern w:val="0"/>
                <w:sz w:val="24"/>
                <w:szCs w:val="24"/>
              </w:rPr>
            </w:pPr>
            <w:r>
              <w:rPr>
                <w:rFonts w:hint="eastAsia" w:ascii="宋体" w:hAnsi="宋体" w:eastAsia="宋体" w:cs="宋体"/>
                <w:kern w:val="0"/>
                <w:sz w:val="24"/>
                <w:szCs w:val="24"/>
              </w:rPr>
              <w:t>5</w:t>
            </w:r>
          </w:p>
        </w:tc>
        <w:tc>
          <w:tcPr>
            <w:tcW w:w="1291" w:type="pct"/>
            <w:vAlign w:val="center"/>
          </w:tcPr>
          <w:p w14:paraId="54B5805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地坑内照明</w:t>
            </w:r>
          </w:p>
        </w:tc>
        <w:tc>
          <w:tcPr>
            <w:tcW w:w="1411" w:type="pct"/>
            <w:vAlign w:val="center"/>
          </w:tcPr>
          <w:p w14:paraId="01E496E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426" w:type="pct"/>
            <w:vAlign w:val="center"/>
          </w:tcPr>
          <w:p w14:paraId="1A71B4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420" w:type="pct"/>
            <w:vAlign w:val="center"/>
          </w:tcPr>
          <w:p w14:paraId="551A9A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1022" w:type="pct"/>
            <w:vAlign w:val="center"/>
          </w:tcPr>
          <w:p w14:paraId="58469C2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r>
      <w:tr w14:paraId="4E85C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exact"/>
        </w:trPr>
        <w:tc>
          <w:tcPr>
            <w:tcW w:w="426" w:type="pct"/>
            <w:vAlign w:val="center"/>
          </w:tcPr>
          <w:p w14:paraId="1A27506F">
            <w:pPr>
              <w:keepNext w:val="0"/>
              <w:keepLines w:val="0"/>
              <w:pageBreakBefore w:val="0"/>
              <w:kinsoku/>
              <w:overflowPunct/>
              <w:topLinePunct w:val="0"/>
              <w:bidi w:val="0"/>
              <w:adjustRightInd w:val="0"/>
              <w:snapToGrid w:val="0"/>
              <w:spacing w:afterAutospacing="0" w:line="240" w:lineRule="auto"/>
              <w:ind w:firstLine="240" w:firstLineChars="100"/>
              <w:jc w:val="center"/>
              <w:rPr>
                <w:rFonts w:ascii="宋体" w:hAnsi="宋体" w:eastAsia="宋体" w:cs="宋体"/>
                <w:kern w:val="0"/>
                <w:sz w:val="24"/>
                <w:szCs w:val="24"/>
              </w:rPr>
            </w:pPr>
            <w:r>
              <w:rPr>
                <w:rFonts w:hint="eastAsia" w:ascii="宋体" w:hAnsi="宋体" w:eastAsia="宋体" w:cs="宋体"/>
                <w:kern w:val="0"/>
                <w:sz w:val="24"/>
                <w:szCs w:val="24"/>
              </w:rPr>
              <w:t>6</w:t>
            </w:r>
          </w:p>
        </w:tc>
        <w:tc>
          <w:tcPr>
            <w:tcW w:w="1291" w:type="pct"/>
            <w:vAlign w:val="center"/>
          </w:tcPr>
          <w:p w14:paraId="4AB119D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工艺运行速度</w:t>
            </w:r>
          </w:p>
        </w:tc>
        <w:tc>
          <w:tcPr>
            <w:tcW w:w="1411" w:type="pct"/>
            <w:vAlign w:val="center"/>
          </w:tcPr>
          <w:p w14:paraId="2F900E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0.96</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1.8m/min</w:t>
            </w:r>
          </w:p>
        </w:tc>
        <w:tc>
          <w:tcPr>
            <w:tcW w:w="426" w:type="pct"/>
            <w:vAlign w:val="center"/>
          </w:tcPr>
          <w:p w14:paraId="6BCCA5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420" w:type="pct"/>
            <w:vAlign w:val="center"/>
          </w:tcPr>
          <w:p w14:paraId="67C56D6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1022" w:type="pct"/>
            <w:vAlign w:val="center"/>
          </w:tcPr>
          <w:p w14:paraId="447256F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r>
    </w:tbl>
    <w:p w14:paraId="2475B07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470D7704">
      <w:pPr>
        <w:keepNext w:val="0"/>
        <w:keepLines w:val="0"/>
        <w:pageBreakBefore w:val="0"/>
        <w:widowControl w:val="0"/>
        <w:numPr>
          <w:ilvl w:val="0"/>
          <w:numId w:val="45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 xml:space="preserve">设备详细技术 </w:t>
      </w:r>
    </w:p>
    <w:p w14:paraId="75E2C721">
      <w:pPr>
        <w:keepNext w:val="0"/>
        <w:keepLines w:val="0"/>
        <w:pageBreakBefore w:val="0"/>
        <w:widowControl w:val="0"/>
        <w:numPr>
          <w:ilvl w:val="0"/>
          <w:numId w:val="4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叉式移载机</w:t>
      </w:r>
    </w:p>
    <w:p w14:paraId="1F2D30FE">
      <w:pPr>
        <w:keepNext w:val="0"/>
        <w:keepLines w:val="0"/>
        <w:pageBreakBefore w:val="0"/>
        <w:widowControl w:val="0"/>
        <w:numPr>
          <w:ilvl w:val="0"/>
          <w:numId w:val="455"/>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叉式移载机由升降台与伸缩叉组成。</w:t>
      </w:r>
    </w:p>
    <w:p w14:paraId="5C649FAE">
      <w:pPr>
        <w:keepNext w:val="0"/>
        <w:keepLines w:val="0"/>
        <w:pageBreakBefore w:val="0"/>
        <w:widowControl w:val="0"/>
        <w:numPr>
          <w:ilvl w:val="0"/>
          <w:numId w:val="4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升降台用于解决机械化输送线在车身车间—下线板车的高度落差问题，机构要求运行平稳，顶升到位与落回位置需与前后输送机轨道高度不超过1mm。机构动作时有可靠的锁紧装置，保证车身的稳定性，有相应的电气联锁信号。升降台采用皮带式举升台，驱动电机减速机采用</w:t>
      </w:r>
      <w:r>
        <w:rPr>
          <w:rFonts w:hint="eastAsia" w:ascii="Times New Roman" w:hAnsi="Times New Roman" w:eastAsia="宋体" w:cs="Times New Roman"/>
          <w:sz w:val="24"/>
        </w:rPr>
        <w:t>SEW/AB/西门子</w:t>
      </w:r>
      <w:r>
        <w:rPr>
          <w:rFonts w:ascii="Times New Roman" w:hAnsi="Times New Roman" w:eastAsia="宋体" w:cs="Times New Roman"/>
          <w:sz w:val="24"/>
        </w:rPr>
        <w:t>产品，电机带制动和过热保护驱动装置，采用变频调速。</w:t>
      </w:r>
    </w:p>
    <w:p w14:paraId="395F9343">
      <w:pPr>
        <w:keepNext w:val="0"/>
        <w:keepLines w:val="0"/>
        <w:pageBreakBefore w:val="0"/>
        <w:kinsoku/>
        <w:overflowPunct/>
        <w:topLinePunct w:val="0"/>
        <w:bidi w:val="0"/>
        <w:adjustRightInd w:val="0"/>
        <w:snapToGrid w:val="0"/>
        <w:spacing w:afterAutospacing="0" w:line="360" w:lineRule="auto"/>
        <w:ind w:firstLine="420" w:firstLineChars="200"/>
        <w:jc w:val="center"/>
        <w:rPr>
          <w:rFonts w:ascii="Times New Roman" w:hAnsi="Times New Roman" w:eastAsia="宋体" w:cs="Times New Roman"/>
          <w:sz w:val="24"/>
          <w:szCs w:val="20"/>
        </w:rPr>
      </w:pPr>
      <w:r>
        <w:rPr>
          <w:rFonts w:ascii="Times New Roman" w:hAnsi="Times New Roman" w:eastAsia="宋体" w:cs="Times New Roman"/>
          <w:szCs w:val="20"/>
        </w:rPr>
        <w:drawing>
          <wp:inline distT="0" distB="0" distL="0" distR="0">
            <wp:extent cx="5246370" cy="2255520"/>
            <wp:effectExtent l="0" t="0" r="1143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7"/>
                    <a:stretch>
                      <a:fillRect/>
                    </a:stretch>
                  </pic:blipFill>
                  <pic:spPr>
                    <a:xfrm>
                      <a:off x="0" y="0"/>
                      <a:ext cx="5246370" cy="2264833"/>
                    </a:xfrm>
                    <a:prstGeom prst="rect">
                      <a:avLst/>
                    </a:prstGeom>
                  </pic:spPr>
                </pic:pic>
              </a:graphicData>
            </a:graphic>
          </wp:inline>
        </w:drawing>
      </w:r>
    </w:p>
    <w:p w14:paraId="521B4AE7">
      <w:pPr>
        <w:keepNext w:val="0"/>
        <w:keepLines w:val="0"/>
        <w:pageBreakBefore w:val="0"/>
        <w:kinsoku/>
        <w:overflowPunct/>
        <w:topLinePunct w:val="0"/>
        <w:bidi w:val="0"/>
        <w:adjustRightInd w:val="0"/>
        <w:snapToGrid w:val="0"/>
        <w:spacing w:afterAutospacing="0" w:line="360" w:lineRule="auto"/>
        <w:ind w:firstLine="480" w:firstLineChars="200"/>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皮带式升降台</w:t>
      </w:r>
    </w:p>
    <w:p w14:paraId="4C8C413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双向伸缩叉：</w:t>
      </w:r>
    </w:p>
    <w:p w14:paraId="260E2836">
      <w:pPr>
        <w:keepNext w:val="0"/>
        <w:keepLines w:val="0"/>
        <w:pageBreakBefore w:val="0"/>
        <w:widowControl w:val="0"/>
        <w:numPr>
          <w:ilvl w:val="0"/>
          <w:numId w:val="45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伸缩叉为双向2叉式伸缩叉，且X向可以调节（调节范围以会签图为准）</w:t>
      </w:r>
      <w:r>
        <w:rPr>
          <w:rFonts w:hint="eastAsia" w:ascii="Times New Roman" w:hAnsi="Times New Roman" w:eastAsia="宋体" w:cs="Times New Roman"/>
          <w:sz w:val="24"/>
          <w:lang w:eastAsia="zh-CN"/>
        </w:rPr>
        <w:t>。</w:t>
      </w:r>
    </w:p>
    <w:p w14:paraId="1E723232">
      <w:pPr>
        <w:keepNext w:val="0"/>
        <w:keepLines w:val="0"/>
        <w:pageBreakBefore w:val="0"/>
        <w:widowControl w:val="0"/>
        <w:numPr>
          <w:ilvl w:val="0"/>
          <w:numId w:val="45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伸缩叉载荷、伸缩范围需满足现有车型</w:t>
      </w:r>
      <w:r>
        <w:rPr>
          <w:rFonts w:hint="eastAsia" w:ascii="Times New Roman" w:hAnsi="Times New Roman" w:eastAsia="宋体" w:cs="Times New Roman"/>
          <w:sz w:val="24"/>
          <w:lang w:eastAsia="zh-CN"/>
        </w:rPr>
        <w:t>。</w:t>
      </w:r>
    </w:p>
    <w:p w14:paraId="34E6B07E">
      <w:pPr>
        <w:keepNext w:val="0"/>
        <w:keepLines w:val="0"/>
        <w:pageBreakBefore w:val="0"/>
        <w:widowControl w:val="0"/>
        <w:numPr>
          <w:ilvl w:val="0"/>
          <w:numId w:val="45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移载速度</w:t>
      </w:r>
      <w:r>
        <w:rPr>
          <w:rFonts w:hint="eastAsia" w:ascii="Times New Roman" w:hAnsi="Times New Roman" w:eastAsia="宋体" w:cs="Times New Roman"/>
          <w:sz w:val="24"/>
          <w:lang w:eastAsia="zh-CN"/>
        </w:rPr>
        <w:t>：</w:t>
      </w:r>
      <w:r>
        <w:rPr>
          <w:rFonts w:ascii="Times New Roman" w:hAnsi="Times New Roman" w:eastAsia="宋体" w:cs="Times New Roman"/>
          <w:sz w:val="24"/>
        </w:rPr>
        <w:t>满载时15m/min，空载时30m/min，变频调速</w:t>
      </w:r>
      <w:r>
        <w:rPr>
          <w:rFonts w:hint="eastAsia" w:ascii="Times New Roman" w:hAnsi="Times New Roman" w:eastAsia="宋体" w:cs="Times New Roman"/>
          <w:sz w:val="24"/>
          <w:lang w:eastAsia="zh-CN"/>
        </w:rPr>
        <w:t>；</w:t>
      </w:r>
      <w:r>
        <w:rPr>
          <w:rFonts w:ascii="Times New Roman" w:hAnsi="Times New Roman" w:eastAsia="宋体" w:cs="Times New Roman"/>
          <w:sz w:val="24"/>
        </w:rPr>
        <w:t>（以会签图</w:t>
      </w:r>
      <w:r>
        <w:rPr>
          <w:rFonts w:hint="eastAsia" w:ascii="Times New Roman" w:hAnsi="Times New Roman" w:eastAsia="宋体" w:cs="Times New Roman"/>
          <w:sz w:val="24"/>
          <w:lang w:val="en-US" w:eastAsia="zh-CN"/>
        </w:rPr>
        <w:t>纸</w:t>
      </w:r>
      <w:r>
        <w:rPr>
          <w:rFonts w:ascii="Times New Roman" w:hAnsi="Times New Roman" w:eastAsia="宋体" w:cs="Times New Roman"/>
          <w:sz w:val="24"/>
        </w:rPr>
        <w:t>为准）</w:t>
      </w:r>
      <w:r>
        <w:rPr>
          <w:rFonts w:hint="eastAsia" w:ascii="Times New Roman" w:hAnsi="Times New Roman" w:eastAsia="宋体" w:cs="Times New Roman"/>
          <w:sz w:val="24"/>
          <w:lang w:eastAsia="zh-CN"/>
        </w:rPr>
        <w:t>。</w:t>
      </w:r>
    </w:p>
    <w:p w14:paraId="7C56A111">
      <w:pPr>
        <w:keepNext w:val="0"/>
        <w:keepLines w:val="0"/>
        <w:pageBreakBefore w:val="0"/>
        <w:widowControl w:val="0"/>
        <w:numPr>
          <w:ilvl w:val="0"/>
          <w:numId w:val="45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伸缩叉伸出端部挠度：空载小于6mm</w:t>
      </w:r>
      <w:r>
        <w:rPr>
          <w:rFonts w:hint="eastAsia" w:ascii="Times New Roman" w:hAnsi="Times New Roman" w:eastAsia="宋体" w:cs="Times New Roman"/>
          <w:sz w:val="24"/>
          <w:lang w:eastAsia="zh-CN"/>
        </w:rPr>
        <w:t>，</w:t>
      </w:r>
      <w:r>
        <w:rPr>
          <w:rFonts w:ascii="Times New Roman" w:hAnsi="Times New Roman" w:eastAsia="宋体" w:cs="Times New Roman"/>
          <w:sz w:val="24"/>
        </w:rPr>
        <w:t>满载小于15mm</w:t>
      </w:r>
      <w:r>
        <w:rPr>
          <w:rFonts w:hint="eastAsia" w:ascii="Times New Roman" w:hAnsi="Times New Roman" w:eastAsia="宋体" w:cs="Times New Roman"/>
          <w:sz w:val="24"/>
          <w:lang w:eastAsia="zh-CN"/>
        </w:rPr>
        <w:t>。</w:t>
      </w:r>
    </w:p>
    <w:p w14:paraId="7C22D23B">
      <w:pPr>
        <w:keepNext w:val="0"/>
        <w:keepLines w:val="0"/>
        <w:pageBreakBefore w:val="0"/>
        <w:widowControl w:val="0"/>
        <w:numPr>
          <w:ilvl w:val="0"/>
          <w:numId w:val="4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台车</w:t>
      </w:r>
    </w:p>
    <w:p w14:paraId="54ACAB1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台车包括框架、支撑块、导向轮、4个包胶万向轮（可定向和万向自由转换）、锁紧机构、插销、拖车钩、一套推拉手柄（可折叠收起）等部件组成，支撑面与下线滚床平齐，台车结构要简单轻巧、安全可靠、运转灵活</w:t>
      </w:r>
      <w:r>
        <w:rPr>
          <w:rFonts w:hint="eastAsia" w:ascii="Times New Roman" w:hAnsi="Times New Roman" w:eastAsia="宋体" w:cs="Times New Roman"/>
          <w:sz w:val="24"/>
          <w:lang w:eastAsia="zh-CN"/>
        </w:rPr>
        <w:t>（</w:t>
      </w:r>
      <w:r>
        <w:rPr>
          <w:rFonts w:ascii="Times New Roman" w:hAnsi="Times New Roman" w:eastAsia="宋体" w:cs="Times New Roman"/>
          <w:sz w:val="24"/>
        </w:rPr>
        <w:t>台车尺寸及结构以图纸会签为准）</w:t>
      </w:r>
      <w:r>
        <w:rPr>
          <w:rFonts w:hint="eastAsia" w:ascii="Times New Roman" w:hAnsi="Times New Roman" w:eastAsia="宋体" w:cs="Times New Roman"/>
          <w:sz w:val="24"/>
          <w:lang w:eastAsia="zh-CN"/>
        </w:rPr>
        <w:t>。</w:t>
      </w:r>
    </w:p>
    <w:p w14:paraId="31933906">
      <w:pPr>
        <w:keepNext w:val="0"/>
        <w:keepLines w:val="0"/>
        <w:pageBreakBefore w:val="0"/>
        <w:kinsoku/>
        <w:overflowPunct/>
        <w:topLinePunct w:val="0"/>
        <w:bidi w:val="0"/>
        <w:adjustRightInd w:val="0"/>
        <w:snapToGrid w:val="0"/>
        <w:spacing w:afterAutospacing="0" w:line="360" w:lineRule="auto"/>
        <w:ind w:firstLine="420" w:firstLineChars="200"/>
        <w:jc w:val="center"/>
        <w:rPr>
          <w:rFonts w:ascii="Times New Roman" w:hAnsi="Times New Roman" w:eastAsia="宋体" w:cs="Times New Roman"/>
          <w:sz w:val="24"/>
          <w:szCs w:val="20"/>
        </w:rPr>
      </w:pPr>
      <w:r>
        <w:rPr>
          <w:rFonts w:ascii="Times New Roman" w:hAnsi="Times New Roman" w:eastAsia="宋体" w:cs="Times New Roman"/>
          <w:szCs w:val="20"/>
        </w:rPr>
        <w:drawing>
          <wp:inline distT="0" distB="0" distL="0" distR="0">
            <wp:extent cx="3695700" cy="2831465"/>
            <wp:effectExtent l="0" t="0" r="7620" b="317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icPr>
                  <pic:blipFill>
                    <a:blip r:embed="rId18"/>
                    <a:stretch>
                      <a:fillRect/>
                    </a:stretch>
                  </pic:blipFill>
                  <pic:spPr>
                    <a:xfrm>
                      <a:off x="0" y="0"/>
                      <a:ext cx="3705911" cy="2839443"/>
                    </a:xfrm>
                    <a:prstGeom prst="rect">
                      <a:avLst/>
                    </a:prstGeom>
                  </pic:spPr>
                </pic:pic>
              </a:graphicData>
            </a:graphic>
          </wp:inline>
        </w:drawing>
      </w:r>
    </w:p>
    <w:p w14:paraId="1305C52E">
      <w:pPr>
        <w:keepNext w:val="0"/>
        <w:keepLines w:val="0"/>
        <w:pageBreakBefore w:val="0"/>
        <w:widowControl w:val="0"/>
        <w:kinsoku/>
        <w:overflowPunct/>
        <w:topLinePunct w:val="0"/>
        <w:bidi w:val="0"/>
        <w:adjustRightInd w:val="0"/>
        <w:snapToGrid w:val="0"/>
        <w:spacing w:afterAutospacing="0" w:line="360" w:lineRule="auto"/>
        <w:jc w:val="center"/>
        <w:rPr>
          <w:rFonts w:ascii="宋体" w:hAnsi="宋体" w:eastAsia="宋体" w:cs="宋体"/>
          <w:sz w:val="24"/>
          <w:szCs w:val="22"/>
        </w:rPr>
      </w:pPr>
      <w:r>
        <w:rPr>
          <w:rFonts w:ascii="宋体" w:hAnsi="宋体" w:eastAsia="宋体" w:cs="宋体"/>
          <w:sz w:val="24"/>
          <w:szCs w:val="22"/>
        </w:rPr>
        <w:t>台车示意图</w:t>
      </w:r>
    </w:p>
    <w:p w14:paraId="69BCE29A">
      <w:pPr>
        <w:keepNext w:val="0"/>
        <w:keepLines w:val="0"/>
        <w:pageBreakBefore w:val="0"/>
        <w:widowControl w:val="0"/>
        <w:numPr>
          <w:ilvl w:val="0"/>
          <w:numId w:val="454"/>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地拖链驱动装置及张紧装置</w:t>
      </w:r>
    </w:p>
    <w:p w14:paraId="7F43D151">
      <w:pPr>
        <w:keepNext w:val="0"/>
        <w:keepLines w:val="0"/>
        <w:pageBreakBefore w:val="0"/>
        <w:widowControl w:val="0"/>
        <w:numPr>
          <w:ilvl w:val="0"/>
          <w:numId w:val="4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驱动装置由主机架、主轴轮系总成、带座轴承、电机减速机及联轴器等组成。电机底座可调节方式。</w:t>
      </w:r>
    </w:p>
    <w:p w14:paraId="4644DD19">
      <w:pPr>
        <w:keepNext w:val="0"/>
        <w:keepLines w:val="0"/>
        <w:pageBreakBefore w:val="0"/>
        <w:widowControl w:val="0"/>
        <w:numPr>
          <w:ilvl w:val="0"/>
          <w:numId w:val="4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张紧装置采用电机自动张紧的电气张紧方式</w:t>
      </w: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具体按照实际利旧形式）</w:t>
      </w:r>
      <w:r>
        <w:rPr>
          <w:rFonts w:ascii="Times New Roman" w:hAnsi="Times New Roman" w:eastAsia="宋体" w:cs="Times New Roman"/>
          <w:color w:val="000000"/>
          <w:sz w:val="24"/>
        </w:rPr>
        <w:t xml:space="preserve">。 </w:t>
      </w:r>
    </w:p>
    <w:p w14:paraId="722B76D7">
      <w:pPr>
        <w:keepNext w:val="0"/>
        <w:keepLines w:val="0"/>
        <w:pageBreakBefore w:val="0"/>
        <w:widowControl w:val="0"/>
        <w:numPr>
          <w:ilvl w:val="0"/>
          <w:numId w:val="4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驱动装置安装在地坑内，不突出地面，并配有地坑照明装置。</w:t>
      </w:r>
    </w:p>
    <w:p w14:paraId="2F66DB59">
      <w:pPr>
        <w:keepNext w:val="0"/>
        <w:keepLines w:val="0"/>
        <w:pageBreakBefore w:val="0"/>
        <w:widowControl w:val="0"/>
        <w:numPr>
          <w:ilvl w:val="0"/>
          <w:numId w:val="4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线体始端、末端，均采用钢板遮盖，钢板厚度不小于10mm，板带与钢板之间的间隙不大于5mm。</w:t>
      </w:r>
    </w:p>
    <w:p w14:paraId="1D0B15F2">
      <w:pPr>
        <w:keepNext w:val="0"/>
        <w:keepLines w:val="0"/>
        <w:pageBreakBefore w:val="0"/>
        <w:widowControl w:val="0"/>
        <w:numPr>
          <w:ilvl w:val="0"/>
          <w:numId w:val="4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线体末端输送板带与盖板之间设置安装防压脚安全装置，保证操作人员安全。</w:t>
      </w:r>
    </w:p>
    <w:p w14:paraId="47680D0A">
      <w:pPr>
        <w:keepNext w:val="0"/>
        <w:keepLines w:val="0"/>
        <w:pageBreakBefore w:val="0"/>
        <w:widowControl w:val="0"/>
        <w:numPr>
          <w:ilvl w:val="0"/>
          <w:numId w:val="4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b w:val="0"/>
          <w:sz w:val="24"/>
        </w:rPr>
        <w:t>安全围栏</w:t>
      </w:r>
    </w:p>
    <w:p w14:paraId="29D09D0A">
      <w:pPr>
        <w:keepNext w:val="0"/>
        <w:keepLines w:val="0"/>
        <w:pageBreakBefore w:val="0"/>
        <w:widowControl w:val="0"/>
        <w:numPr>
          <w:ilvl w:val="0"/>
          <w:numId w:val="4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安全围栏包括护栏和对开安全门，护栏采用2000mm高铝合金型材+5mm亚克力板，安全门上设置开关，并利用它连锁升降机。</w:t>
      </w:r>
    </w:p>
    <w:p w14:paraId="35DCD7D5">
      <w:pPr>
        <w:keepNext w:val="0"/>
        <w:keepLines w:val="0"/>
        <w:pageBreakBefore w:val="0"/>
        <w:widowControl w:val="0"/>
        <w:numPr>
          <w:ilvl w:val="0"/>
          <w:numId w:val="4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安全围栏共设有一套，转接处设置一套。</w:t>
      </w:r>
    </w:p>
    <w:p w14:paraId="0071B27C">
      <w:pPr>
        <w:keepNext w:val="0"/>
        <w:keepLines w:val="0"/>
        <w:pageBreakBefore w:val="0"/>
        <w:widowControl w:val="0"/>
        <w:numPr>
          <w:ilvl w:val="0"/>
          <w:numId w:val="4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在车身出入处设有红色门帘及光栅保护装置。</w:t>
      </w:r>
    </w:p>
    <w:p w14:paraId="3F99534F">
      <w:pPr>
        <w:keepNext w:val="0"/>
        <w:keepLines w:val="0"/>
        <w:pageBreakBefore w:val="0"/>
        <w:widowControl w:val="0"/>
        <w:numPr>
          <w:ilvl w:val="0"/>
          <w:numId w:val="4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电控技术要求</w:t>
      </w:r>
    </w:p>
    <w:p w14:paraId="2A3C8326">
      <w:pPr>
        <w:keepNext w:val="0"/>
        <w:keepLines w:val="0"/>
        <w:pageBreakBefore w:val="0"/>
        <w:widowControl w:val="0"/>
        <w:numPr>
          <w:ilvl w:val="0"/>
          <w:numId w:val="4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移栽机采用柜内变频器控制，采用绝对值编码器+开关定位。</w:t>
      </w:r>
    </w:p>
    <w:p w14:paraId="5DE44F35">
      <w:pPr>
        <w:keepNext w:val="0"/>
        <w:keepLines w:val="0"/>
        <w:pageBreakBefore w:val="0"/>
        <w:widowControl w:val="0"/>
        <w:numPr>
          <w:ilvl w:val="0"/>
          <w:numId w:val="4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主驱电机配强冷及润滑装置。</w:t>
      </w:r>
    </w:p>
    <w:p w14:paraId="42AEB767">
      <w:pPr>
        <w:keepNext w:val="0"/>
        <w:keepLines w:val="0"/>
        <w:pageBreakBefore w:val="0"/>
        <w:widowControl w:val="0"/>
        <w:numPr>
          <w:ilvl w:val="0"/>
          <w:numId w:val="4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线体采用连续运行方式，线体运行前有提示音。</w:t>
      </w:r>
    </w:p>
    <w:p w14:paraId="41B6A473">
      <w:pPr>
        <w:keepNext w:val="0"/>
        <w:keepLines w:val="0"/>
        <w:pageBreakBefore w:val="0"/>
        <w:widowControl w:val="0"/>
        <w:numPr>
          <w:ilvl w:val="0"/>
          <w:numId w:val="4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移栽机与地拖链共用控制系统</w:t>
      </w:r>
      <w:r>
        <w:rPr>
          <w:rFonts w:hint="eastAsia" w:ascii="Times New Roman" w:hAnsi="Times New Roman" w:eastAsia="宋体" w:cs="Times New Roman"/>
          <w:sz w:val="24"/>
          <w:lang w:eastAsia="zh-CN"/>
        </w:rPr>
        <w:t>（与涂装滚床有联动）</w:t>
      </w:r>
      <w:r>
        <w:rPr>
          <w:rFonts w:ascii="Times New Roman" w:hAnsi="Times New Roman" w:eastAsia="宋体" w:cs="Times New Roman"/>
          <w:sz w:val="24"/>
        </w:rPr>
        <w:t>，控制系统利用现场原有控制系统，具体以现场实际情况为准。</w:t>
      </w:r>
    </w:p>
    <w:p w14:paraId="415ABFF8">
      <w:pPr>
        <w:keepNext w:val="0"/>
        <w:keepLines w:val="0"/>
        <w:pageBreakBefore w:val="0"/>
        <w:widowControl w:val="0"/>
        <w:numPr>
          <w:ilvl w:val="0"/>
          <w:numId w:val="4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照明：设备基础地坑两边不留维修通道，中间段每边设置2个检修地坑，两端设有头轮地坑和张紧地坑，地坑设置36V照明</w:t>
      </w:r>
      <w:r>
        <w:rPr>
          <w:rFonts w:hint="eastAsia" w:ascii="Times New Roman" w:hAnsi="Times New Roman" w:eastAsia="宋体" w:cs="Times New Roman"/>
          <w:sz w:val="24"/>
          <w:lang w:eastAsia="zh-CN"/>
        </w:rPr>
        <w:t>。</w:t>
      </w:r>
      <w:r>
        <w:rPr>
          <w:rFonts w:ascii="Times New Roman" w:hAnsi="Times New Roman" w:eastAsia="宋体" w:cs="Times New Roman"/>
          <w:sz w:val="24"/>
        </w:rPr>
        <w:t xml:space="preserve"> </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703"/>
        <w:gridCol w:w="7099"/>
      </w:tblGrid>
      <w:tr w14:paraId="5AF8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vAlign w:val="center"/>
          </w:tcPr>
          <w:p w14:paraId="42954F44">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序号</w:t>
            </w:r>
          </w:p>
        </w:tc>
        <w:tc>
          <w:tcPr>
            <w:tcW w:w="882" w:type="pct"/>
            <w:vAlign w:val="center"/>
          </w:tcPr>
          <w:p w14:paraId="73C9D9C5">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功能项</w:t>
            </w:r>
          </w:p>
        </w:tc>
        <w:tc>
          <w:tcPr>
            <w:tcW w:w="3676" w:type="pct"/>
            <w:vAlign w:val="center"/>
          </w:tcPr>
          <w:p w14:paraId="38D48250">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详细要求</w:t>
            </w:r>
          </w:p>
        </w:tc>
      </w:tr>
      <w:tr w14:paraId="0727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tcBorders>
              <w:top w:val="single" w:color="auto" w:sz="4" w:space="0"/>
              <w:left w:val="single" w:color="auto" w:sz="4" w:space="0"/>
              <w:bottom w:val="single" w:color="auto" w:sz="4" w:space="0"/>
              <w:right w:val="single" w:color="auto" w:sz="4" w:space="0"/>
            </w:tcBorders>
            <w:vAlign w:val="center"/>
          </w:tcPr>
          <w:p w14:paraId="1D21BEB6">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ascii="宋体" w:hAnsi="宋体" w:eastAsia="宋体" w:cs="Times New Roman"/>
                <w:bCs/>
                <w:color w:val="000000"/>
                <w:sz w:val="24"/>
                <w:szCs w:val="24"/>
              </w:rPr>
              <w:t>1</w:t>
            </w:r>
          </w:p>
        </w:tc>
        <w:tc>
          <w:tcPr>
            <w:tcW w:w="882" w:type="pct"/>
            <w:tcBorders>
              <w:top w:val="single" w:color="auto" w:sz="4" w:space="0"/>
              <w:left w:val="single" w:color="auto" w:sz="4" w:space="0"/>
              <w:bottom w:val="single" w:color="auto" w:sz="4" w:space="0"/>
              <w:right w:val="single" w:color="auto" w:sz="4" w:space="0"/>
            </w:tcBorders>
            <w:vAlign w:val="center"/>
          </w:tcPr>
          <w:p w14:paraId="14EFE569">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ascii="宋体" w:hAnsi="宋体" w:eastAsia="宋体" w:cs="Times New Roman"/>
                <w:bCs/>
                <w:color w:val="000000"/>
                <w:sz w:val="24"/>
                <w:szCs w:val="24"/>
              </w:rPr>
              <w:t>PLC</w:t>
            </w:r>
            <w:r>
              <w:rPr>
                <w:rFonts w:hint="eastAsia" w:ascii="宋体" w:hAnsi="宋体" w:eastAsia="宋体" w:cs="Times New Roman"/>
                <w:bCs/>
                <w:color w:val="000000"/>
                <w:sz w:val="24"/>
                <w:szCs w:val="24"/>
              </w:rPr>
              <w:t>和总线</w:t>
            </w:r>
          </w:p>
        </w:tc>
        <w:tc>
          <w:tcPr>
            <w:tcW w:w="3676" w:type="pct"/>
            <w:tcBorders>
              <w:top w:val="single" w:color="auto" w:sz="4" w:space="0"/>
              <w:left w:val="single" w:color="auto" w:sz="4" w:space="0"/>
              <w:bottom w:val="single" w:color="auto" w:sz="4" w:space="0"/>
              <w:right w:val="single" w:color="auto" w:sz="4" w:space="0"/>
            </w:tcBorders>
            <w:vAlign w:val="center"/>
          </w:tcPr>
          <w:p w14:paraId="506D5D71">
            <w:pPr>
              <w:keepNext w:val="0"/>
              <w:keepLines w:val="0"/>
              <w:pageBreakBefore w:val="0"/>
              <w:kinsoku/>
              <w:overflowPunct/>
              <w:topLinePunct w:val="0"/>
              <w:bidi w:val="0"/>
              <w:adjustRightInd w:val="0"/>
              <w:snapToGrid w:val="0"/>
              <w:spacing w:afterAutospacing="0"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系统采用</w:t>
            </w:r>
            <w:r>
              <w:rPr>
                <w:rFonts w:ascii="宋体" w:hAnsi="宋体" w:eastAsia="宋体" w:cs="Times New Roman"/>
                <w:color w:val="000000"/>
                <w:sz w:val="24"/>
                <w:szCs w:val="24"/>
              </w:rPr>
              <w:t>SIEMENS S7-1500F</w:t>
            </w:r>
            <w:r>
              <w:rPr>
                <w:rFonts w:hint="eastAsia" w:ascii="宋体" w:hAnsi="宋体" w:eastAsia="宋体" w:cs="Times New Roman"/>
                <w:color w:val="000000"/>
                <w:sz w:val="24"/>
                <w:szCs w:val="24"/>
              </w:rPr>
              <w:t>系列PLC及PROFI</w:t>
            </w:r>
            <w:r>
              <w:rPr>
                <w:rFonts w:ascii="宋体" w:hAnsi="宋体" w:eastAsia="宋体" w:cs="Times New Roman"/>
                <w:color w:val="000000"/>
                <w:sz w:val="24"/>
                <w:szCs w:val="24"/>
              </w:rPr>
              <w:t>NET</w:t>
            </w:r>
            <w:r>
              <w:rPr>
                <w:rFonts w:hint="eastAsia" w:ascii="宋体" w:hAnsi="宋体" w:eastAsia="宋体" w:cs="Times New Roman"/>
                <w:color w:val="000000"/>
                <w:sz w:val="24"/>
                <w:szCs w:val="24"/>
              </w:rPr>
              <w:t>总线进行控制和</w:t>
            </w:r>
            <w:r>
              <w:rPr>
                <w:rFonts w:ascii="宋体" w:hAnsi="宋体" w:eastAsia="宋体" w:cs="Times New Roman"/>
                <w:color w:val="000000"/>
                <w:sz w:val="24"/>
                <w:szCs w:val="24"/>
              </w:rPr>
              <w:t>通讯</w:t>
            </w:r>
            <w:r>
              <w:rPr>
                <w:rFonts w:hint="eastAsia" w:ascii="宋体" w:hAnsi="宋体" w:eastAsia="宋体" w:cs="Times New Roman"/>
                <w:color w:val="000000"/>
                <w:sz w:val="24"/>
                <w:szCs w:val="24"/>
              </w:rPr>
              <w:t>。</w:t>
            </w:r>
          </w:p>
          <w:p w14:paraId="495399BC">
            <w:pPr>
              <w:keepNext w:val="0"/>
              <w:keepLines w:val="0"/>
              <w:pageBreakBefore w:val="0"/>
              <w:kinsoku/>
              <w:overflowPunct/>
              <w:topLinePunct w:val="0"/>
              <w:bidi w:val="0"/>
              <w:adjustRightInd w:val="0"/>
              <w:snapToGrid w:val="0"/>
              <w:spacing w:afterAutospacing="0"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PLC配置</w:t>
            </w:r>
            <w:r>
              <w:rPr>
                <w:rFonts w:ascii="宋体" w:hAnsi="宋体" w:eastAsia="宋体" w:cs="Times New Roman"/>
                <w:color w:val="000000"/>
                <w:sz w:val="24"/>
                <w:szCs w:val="24"/>
              </w:rPr>
              <w:t>独立的以太网通讯模块</w:t>
            </w:r>
            <w:r>
              <w:rPr>
                <w:rFonts w:hint="eastAsia" w:ascii="宋体" w:hAnsi="宋体" w:eastAsia="宋体" w:cs="Times New Roman"/>
                <w:color w:val="000000"/>
                <w:sz w:val="24"/>
                <w:szCs w:val="24"/>
              </w:rPr>
              <w:t>CP1543-1</w:t>
            </w:r>
            <w:r>
              <w:rPr>
                <w:rFonts w:ascii="宋体" w:hAnsi="宋体" w:eastAsia="宋体" w:cs="Times New Roman"/>
                <w:color w:val="000000"/>
                <w:sz w:val="24"/>
                <w:szCs w:val="24"/>
              </w:rPr>
              <w:t>，用于与</w:t>
            </w:r>
            <w:r>
              <w:rPr>
                <w:rFonts w:hint="eastAsia" w:ascii="宋体" w:hAnsi="宋体" w:eastAsia="宋体" w:cs="Times New Roman"/>
                <w:color w:val="000000"/>
                <w:sz w:val="24"/>
                <w:szCs w:val="24"/>
              </w:rPr>
              <w:t>MES系统</w:t>
            </w:r>
            <w:r>
              <w:rPr>
                <w:rFonts w:ascii="宋体" w:hAnsi="宋体" w:eastAsia="宋体" w:cs="Times New Roman"/>
                <w:color w:val="000000"/>
                <w:sz w:val="24"/>
                <w:szCs w:val="24"/>
              </w:rPr>
              <w:t>联网使用。</w:t>
            </w:r>
          </w:p>
        </w:tc>
      </w:tr>
      <w:tr w14:paraId="4BCB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tcBorders>
              <w:top w:val="single" w:color="auto" w:sz="4" w:space="0"/>
              <w:left w:val="single" w:color="auto" w:sz="4" w:space="0"/>
              <w:bottom w:val="single" w:color="auto" w:sz="4" w:space="0"/>
              <w:right w:val="single" w:color="auto" w:sz="4" w:space="0"/>
            </w:tcBorders>
            <w:vAlign w:val="center"/>
          </w:tcPr>
          <w:p w14:paraId="63DA9DD4">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2</w:t>
            </w:r>
          </w:p>
        </w:tc>
        <w:tc>
          <w:tcPr>
            <w:tcW w:w="882" w:type="pct"/>
            <w:tcBorders>
              <w:top w:val="single" w:color="auto" w:sz="4" w:space="0"/>
              <w:left w:val="single" w:color="auto" w:sz="4" w:space="0"/>
              <w:bottom w:val="single" w:color="auto" w:sz="4" w:space="0"/>
              <w:right w:val="single" w:color="auto" w:sz="4" w:space="0"/>
            </w:tcBorders>
            <w:vAlign w:val="center"/>
          </w:tcPr>
          <w:p w14:paraId="3B267A25">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交换机</w:t>
            </w:r>
          </w:p>
        </w:tc>
        <w:tc>
          <w:tcPr>
            <w:tcW w:w="3676" w:type="pct"/>
            <w:tcBorders>
              <w:top w:val="single" w:color="auto" w:sz="4" w:space="0"/>
              <w:left w:val="single" w:color="auto" w:sz="4" w:space="0"/>
              <w:bottom w:val="single" w:color="auto" w:sz="4" w:space="0"/>
              <w:right w:val="single" w:color="auto" w:sz="4" w:space="0"/>
            </w:tcBorders>
            <w:vAlign w:val="center"/>
          </w:tcPr>
          <w:p w14:paraId="31DB8926">
            <w:pPr>
              <w:keepNext w:val="0"/>
              <w:keepLines w:val="0"/>
              <w:pageBreakBefore w:val="0"/>
              <w:kinsoku/>
              <w:overflowPunct/>
              <w:topLinePunct w:val="0"/>
              <w:bidi w:val="0"/>
              <w:adjustRightInd w:val="0"/>
              <w:snapToGrid w:val="0"/>
              <w:spacing w:afterAutospacing="0"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系统</w:t>
            </w:r>
            <w:r>
              <w:rPr>
                <w:rFonts w:ascii="宋体" w:hAnsi="宋体" w:eastAsia="宋体" w:cs="Times New Roman"/>
                <w:color w:val="000000"/>
                <w:sz w:val="24"/>
                <w:szCs w:val="24"/>
              </w:rPr>
              <w:t>配置</w:t>
            </w:r>
            <w:r>
              <w:rPr>
                <w:rFonts w:hint="eastAsia" w:ascii="宋体" w:hAnsi="宋体" w:eastAsia="宋体" w:cs="Times New Roman"/>
                <w:color w:val="000000"/>
                <w:sz w:val="24"/>
                <w:szCs w:val="24"/>
              </w:rPr>
              <w:t>SIEMENS</w:t>
            </w:r>
            <w:r>
              <w:rPr>
                <w:rFonts w:ascii="宋体" w:hAnsi="宋体" w:eastAsia="宋体" w:cs="Times New Roman"/>
                <w:color w:val="000000"/>
                <w:sz w:val="24"/>
                <w:szCs w:val="24"/>
              </w:rPr>
              <w:t>以太网</w:t>
            </w:r>
            <w:r>
              <w:rPr>
                <w:rFonts w:hint="eastAsia" w:ascii="宋体" w:hAnsi="宋体" w:eastAsia="宋体" w:cs="Times New Roman"/>
                <w:color w:val="000000"/>
                <w:sz w:val="24"/>
                <w:szCs w:val="24"/>
              </w:rPr>
              <w:t>交换机</w:t>
            </w:r>
            <w:r>
              <w:rPr>
                <w:rFonts w:ascii="宋体" w:hAnsi="宋体" w:eastAsia="宋体" w:cs="Times New Roman"/>
                <w:color w:val="000000"/>
                <w:sz w:val="24"/>
                <w:szCs w:val="24"/>
              </w:rPr>
              <w:t>，</w:t>
            </w:r>
            <w:r>
              <w:rPr>
                <w:rFonts w:hint="eastAsia" w:ascii="宋体" w:hAnsi="宋体" w:eastAsia="宋体" w:cs="Times New Roman"/>
                <w:color w:val="000000"/>
                <w:sz w:val="24"/>
                <w:szCs w:val="24"/>
              </w:rPr>
              <w:t>交换机</w:t>
            </w:r>
            <w:r>
              <w:rPr>
                <w:rFonts w:ascii="宋体" w:hAnsi="宋体" w:eastAsia="宋体" w:cs="Times New Roman"/>
                <w:color w:val="000000"/>
                <w:sz w:val="24"/>
                <w:szCs w:val="24"/>
              </w:rPr>
              <w:t>之间进行环网</w:t>
            </w:r>
            <w:r>
              <w:rPr>
                <w:rFonts w:hint="eastAsia" w:ascii="宋体" w:hAnsi="宋体" w:eastAsia="宋体" w:cs="Times New Roman"/>
                <w:color w:val="000000"/>
                <w:sz w:val="24"/>
                <w:szCs w:val="24"/>
              </w:rPr>
              <w:t>连接</w:t>
            </w:r>
            <w:r>
              <w:rPr>
                <w:rFonts w:ascii="宋体" w:hAnsi="宋体" w:eastAsia="宋体" w:cs="Times New Roman"/>
                <w:color w:val="000000"/>
                <w:sz w:val="24"/>
                <w:szCs w:val="24"/>
              </w:rPr>
              <w:t>。</w:t>
            </w:r>
          </w:p>
        </w:tc>
      </w:tr>
      <w:tr w14:paraId="0D24B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tcBorders>
              <w:top w:val="single" w:color="auto" w:sz="4" w:space="0"/>
              <w:left w:val="single" w:color="auto" w:sz="4" w:space="0"/>
              <w:bottom w:val="single" w:color="auto" w:sz="4" w:space="0"/>
              <w:right w:val="single" w:color="auto" w:sz="4" w:space="0"/>
            </w:tcBorders>
            <w:vAlign w:val="center"/>
          </w:tcPr>
          <w:p w14:paraId="13899541">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ascii="宋体" w:hAnsi="宋体" w:eastAsia="宋体" w:cs="Times New Roman"/>
                <w:bCs/>
                <w:color w:val="000000"/>
                <w:sz w:val="24"/>
                <w:szCs w:val="24"/>
              </w:rPr>
              <w:t>3</w:t>
            </w:r>
          </w:p>
        </w:tc>
        <w:tc>
          <w:tcPr>
            <w:tcW w:w="882" w:type="pct"/>
            <w:tcBorders>
              <w:top w:val="single" w:color="auto" w:sz="4" w:space="0"/>
              <w:left w:val="single" w:color="auto" w:sz="4" w:space="0"/>
              <w:bottom w:val="single" w:color="auto" w:sz="4" w:space="0"/>
              <w:right w:val="single" w:color="auto" w:sz="4" w:space="0"/>
            </w:tcBorders>
            <w:vAlign w:val="center"/>
          </w:tcPr>
          <w:p w14:paraId="02B97FA1">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远程</w:t>
            </w:r>
            <w:r>
              <w:rPr>
                <w:rFonts w:ascii="宋体" w:hAnsi="宋体" w:eastAsia="宋体" w:cs="Times New Roman"/>
                <w:bCs/>
                <w:color w:val="000000"/>
                <w:sz w:val="24"/>
                <w:szCs w:val="24"/>
              </w:rPr>
              <w:t>IO</w:t>
            </w:r>
            <w:r>
              <w:rPr>
                <w:rFonts w:hint="eastAsia" w:ascii="宋体" w:hAnsi="宋体" w:eastAsia="宋体" w:cs="Times New Roman"/>
                <w:bCs/>
                <w:color w:val="000000"/>
                <w:sz w:val="24"/>
                <w:szCs w:val="24"/>
              </w:rPr>
              <w:t>模块</w:t>
            </w:r>
          </w:p>
        </w:tc>
        <w:tc>
          <w:tcPr>
            <w:tcW w:w="3676" w:type="pct"/>
            <w:tcBorders>
              <w:top w:val="single" w:color="auto" w:sz="4" w:space="0"/>
              <w:left w:val="single" w:color="auto" w:sz="4" w:space="0"/>
              <w:bottom w:val="single" w:color="auto" w:sz="4" w:space="0"/>
              <w:right w:val="single" w:color="auto" w:sz="4" w:space="0"/>
            </w:tcBorders>
            <w:vAlign w:val="center"/>
          </w:tcPr>
          <w:p w14:paraId="76C022F3">
            <w:pPr>
              <w:keepNext w:val="0"/>
              <w:keepLines w:val="0"/>
              <w:pageBreakBefore w:val="0"/>
              <w:kinsoku/>
              <w:overflowPunct/>
              <w:topLinePunct w:val="0"/>
              <w:bidi w:val="0"/>
              <w:adjustRightInd w:val="0"/>
              <w:snapToGrid w:val="0"/>
              <w:spacing w:afterAutospacing="0"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选用</w:t>
            </w:r>
            <w:r>
              <w:rPr>
                <w:rFonts w:ascii="宋体" w:hAnsi="宋体" w:eastAsia="宋体" w:cs="Times New Roman"/>
                <w:color w:val="000000"/>
                <w:sz w:val="24"/>
                <w:szCs w:val="24"/>
              </w:rPr>
              <w:t>ET200Sp</w:t>
            </w:r>
            <w:r>
              <w:rPr>
                <w:rFonts w:hint="eastAsia" w:ascii="宋体" w:hAnsi="宋体" w:eastAsia="宋体" w:cs="Times New Roman"/>
                <w:color w:val="000000"/>
                <w:sz w:val="24"/>
                <w:szCs w:val="24"/>
              </w:rPr>
              <w:t>模块。</w:t>
            </w:r>
          </w:p>
        </w:tc>
      </w:tr>
      <w:tr w14:paraId="3CD4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vAlign w:val="center"/>
          </w:tcPr>
          <w:p w14:paraId="242B7C7C">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4</w:t>
            </w:r>
          </w:p>
        </w:tc>
        <w:tc>
          <w:tcPr>
            <w:tcW w:w="882" w:type="pct"/>
            <w:vAlign w:val="center"/>
          </w:tcPr>
          <w:p w14:paraId="5233A9F4">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HMI布置</w:t>
            </w:r>
          </w:p>
        </w:tc>
        <w:tc>
          <w:tcPr>
            <w:tcW w:w="3676" w:type="pct"/>
            <w:vAlign w:val="center"/>
          </w:tcPr>
          <w:p w14:paraId="72BACC03">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rPr>
              <w:t>主控柜面板设置触摸屏。</w:t>
            </w:r>
          </w:p>
          <w:p w14:paraId="05CD84A0">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sz w:val="24"/>
                <w:szCs w:val="24"/>
              </w:rPr>
              <w:t>工艺段</w:t>
            </w:r>
            <w:r>
              <w:rPr>
                <w:rFonts w:ascii="宋体" w:hAnsi="宋体" w:eastAsia="宋体" w:cs="Times New Roman"/>
                <w:color w:val="000000"/>
                <w:sz w:val="24"/>
                <w:szCs w:val="24"/>
              </w:rPr>
              <w:t>入口升降机位置操作站分别设置</w:t>
            </w:r>
            <w:r>
              <w:rPr>
                <w:rFonts w:hint="eastAsia" w:ascii="宋体" w:hAnsi="宋体" w:eastAsia="宋体" w:cs="Times New Roman"/>
                <w:color w:val="000000"/>
                <w:sz w:val="24"/>
                <w:szCs w:val="24"/>
              </w:rPr>
              <w:t>TP1200触摸屏。</w:t>
            </w:r>
          </w:p>
          <w:p w14:paraId="5AC66AEF">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sz w:val="24"/>
                <w:szCs w:val="24"/>
              </w:rPr>
              <w:t>其他位置</w:t>
            </w:r>
            <w:r>
              <w:rPr>
                <w:rFonts w:hint="eastAsia" w:ascii="宋体" w:hAnsi="宋体" w:eastAsia="宋体" w:cs="Times New Roman"/>
                <w:color w:val="000000"/>
                <w:sz w:val="24"/>
                <w:szCs w:val="24"/>
                <w:lang w:eastAsia="zh-CN"/>
              </w:rPr>
              <w:t>投标人</w:t>
            </w:r>
            <w:r>
              <w:rPr>
                <w:rFonts w:hint="eastAsia" w:ascii="宋体" w:hAnsi="宋体" w:eastAsia="宋体" w:cs="Times New Roman"/>
                <w:color w:val="000000"/>
                <w:sz w:val="24"/>
                <w:szCs w:val="24"/>
              </w:rPr>
              <w:t>根据</w:t>
            </w:r>
            <w:r>
              <w:rPr>
                <w:rFonts w:hint="eastAsia" w:ascii="宋体" w:hAnsi="宋体" w:eastAsia="宋体" w:cs="Times New Roman"/>
                <w:color w:val="000000"/>
                <w:sz w:val="24"/>
                <w:szCs w:val="24"/>
                <w:lang w:eastAsia="zh-CN"/>
              </w:rPr>
              <w:t>招标人</w:t>
            </w:r>
            <w:r>
              <w:rPr>
                <w:rFonts w:hint="eastAsia" w:ascii="宋体" w:hAnsi="宋体" w:eastAsia="宋体" w:cs="Times New Roman"/>
                <w:color w:val="000000"/>
                <w:sz w:val="24"/>
                <w:szCs w:val="24"/>
              </w:rPr>
              <w:t>提供的工艺图纸说明HMI位置及数量，投标时提供。</w:t>
            </w:r>
          </w:p>
        </w:tc>
      </w:tr>
      <w:tr w14:paraId="0DEE0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vAlign w:val="center"/>
          </w:tcPr>
          <w:p w14:paraId="1A2A3CBE">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5</w:t>
            </w:r>
          </w:p>
        </w:tc>
        <w:tc>
          <w:tcPr>
            <w:tcW w:w="882" w:type="pct"/>
            <w:vAlign w:val="center"/>
          </w:tcPr>
          <w:p w14:paraId="06B9F7F3">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控制要求</w:t>
            </w:r>
          </w:p>
        </w:tc>
        <w:tc>
          <w:tcPr>
            <w:tcW w:w="3676" w:type="pct"/>
            <w:vAlign w:val="center"/>
          </w:tcPr>
          <w:p w14:paraId="0B26E2E4">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rPr>
              <w:t>设备</w:t>
            </w:r>
            <w:r>
              <w:rPr>
                <w:rFonts w:ascii="宋体" w:hAnsi="宋体" w:eastAsia="宋体" w:cs="Times New Roman"/>
                <w:color w:val="000000"/>
                <w:sz w:val="24"/>
                <w:szCs w:val="24"/>
              </w:rPr>
              <w:t>采用自动、手动、维护操作模式。</w:t>
            </w:r>
          </w:p>
          <w:p w14:paraId="0E70B2FA">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sz w:val="24"/>
                <w:szCs w:val="24"/>
              </w:rPr>
              <w:t>设备交接位置设置车身检测开关和交接完成检测开关，确保转接过程安全、平稳。</w:t>
            </w:r>
          </w:p>
          <w:p w14:paraId="524E6505">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sz w:val="24"/>
                <w:szCs w:val="24"/>
              </w:rPr>
              <w:t>升降机出、入</w:t>
            </w:r>
            <w:r>
              <w:rPr>
                <w:rFonts w:ascii="宋体" w:hAnsi="宋体" w:eastAsia="宋体" w:cs="Times New Roman"/>
                <w:color w:val="000000"/>
                <w:sz w:val="24"/>
                <w:szCs w:val="24"/>
              </w:rPr>
              <w:t>口位置设置安全光栅，</w:t>
            </w:r>
            <w:r>
              <w:rPr>
                <w:rFonts w:hint="eastAsia" w:ascii="宋体" w:hAnsi="宋体" w:eastAsia="宋体" w:cs="Times New Roman"/>
                <w:color w:val="000000"/>
                <w:sz w:val="24"/>
                <w:szCs w:val="24"/>
              </w:rPr>
              <w:t>围栏</w:t>
            </w:r>
            <w:r>
              <w:rPr>
                <w:rFonts w:ascii="宋体" w:hAnsi="宋体" w:eastAsia="宋体" w:cs="Times New Roman"/>
                <w:color w:val="000000"/>
                <w:sz w:val="24"/>
                <w:szCs w:val="24"/>
              </w:rPr>
              <w:t>安全门设置安全门锁，与系统联锁。</w:t>
            </w:r>
          </w:p>
          <w:p w14:paraId="1ABC8ABC">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4）</w:t>
            </w:r>
            <w:r>
              <w:rPr>
                <w:rFonts w:hint="eastAsia" w:ascii="宋体" w:hAnsi="宋体" w:eastAsia="宋体" w:cs="Times New Roman"/>
                <w:color w:val="000000"/>
                <w:sz w:val="24"/>
                <w:szCs w:val="24"/>
              </w:rPr>
              <w:t>车身下线</w:t>
            </w:r>
            <w:r>
              <w:rPr>
                <w:rFonts w:ascii="宋体" w:hAnsi="宋体" w:eastAsia="宋体" w:cs="Times New Roman"/>
                <w:color w:val="000000"/>
                <w:sz w:val="24"/>
                <w:szCs w:val="24"/>
              </w:rPr>
              <w:t>转接升降机设置车身拖点检测开关。</w:t>
            </w:r>
          </w:p>
          <w:p w14:paraId="1A47BCD8">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5）</w:t>
            </w:r>
            <w:r>
              <w:rPr>
                <w:rFonts w:hint="eastAsia" w:ascii="宋体" w:hAnsi="宋体" w:eastAsia="宋体" w:cs="Times New Roman"/>
                <w:color w:val="000000"/>
                <w:sz w:val="24"/>
                <w:szCs w:val="24"/>
              </w:rPr>
              <w:t>设备需设置</w:t>
            </w:r>
            <w:r>
              <w:rPr>
                <w:rFonts w:ascii="宋体" w:hAnsi="宋体" w:eastAsia="宋体" w:cs="Times New Roman"/>
                <w:color w:val="000000"/>
                <w:sz w:val="24"/>
                <w:szCs w:val="24"/>
              </w:rPr>
              <w:t>FPS</w:t>
            </w:r>
            <w:r>
              <w:rPr>
                <w:rFonts w:hint="eastAsia" w:ascii="宋体" w:hAnsi="宋体" w:eastAsia="宋体" w:cs="Times New Roman"/>
                <w:color w:val="000000"/>
                <w:sz w:val="24"/>
                <w:szCs w:val="24"/>
              </w:rPr>
              <w:t>整工位检测开关，并反馈</w:t>
            </w:r>
            <w:r>
              <w:rPr>
                <w:rFonts w:ascii="宋体" w:hAnsi="宋体" w:eastAsia="宋体" w:cs="Times New Roman"/>
                <w:color w:val="000000"/>
                <w:sz w:val="24"/>
                <w:szCs w:val="24"/>
              </w:rPr>
              <w:t>PLC</w:t>
            </w:r>
            <w:r>
              <w:rPr>
                <w:rFonts w:hint="eastAsia" w:ascii="宋体" w:hAnsi="宋体" w:eastAsia="宋体" w:cs="Times New Roman"/>
                <w:color w:val="000000"/>
                <w:sz w:val="24"/>
                <w:szCs w:val="24"/>
              </w:rPr>
              <w:t>系统。</w:t>
            </w:r>
          </w:p>
          <w:p w14:paraId="719A4748">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6）</w:t>
            </w:r>
            <w:r>
              <w:rPr>
                <w:rFonts w:hint="eastAsia" w:ascii="宋体" w:hAnsi="宋体" w:eastAsia="宋体" w:cs="Times New Roman"/>
                <w:color w:val="000000"/>
                <w:sz w:val="24"/>
                <w:szCs w:val="24"/>
              </w:rPr>
              <w:t>吊具控制充分考虑安全检测、安全开关的设置，确保系统安全等级要求。</w:t>
            </w:r>
          </w:p>
        </w:tc>
      </w:tr>
      <w:tr w14:paraId="6738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0" w:type="pct"/>
            <w:vAlign w:val="center"/>
          </w:tcPr>
          <w:p w14:paraId="1340A18C">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6</w:t>
            </w:r>
          </w:p>
        </w:tc>
        <w:tc>
          <w:tcPr>
            <w:tcW w:w="882" w:type="pct"/>
            <w:vAlign w:val="center"/>
          </w:tcPr>
          <w:p w14:paraId="0236482A">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联锁</w:t>
            </w:r>
          </w:p>
        </w:tc>
        <w:tc>
          <w:tcPr>
            <w:tcW w:w="3676" w:type="pct"/>
            <w:vAlign w:val="center"/>
          </w:tcPr>
          <w:p w14:paraId="0A6F1C44">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rPr>
              <w:t>与底盘线、完成线采用PN</w:t>
            </w:r>
            <w:r>
              <w:rPr>
                <w:rFonts w:ascii="宋体" w:hAnsi="宋体" w:eastAsia="宋体" w:cs="Times New Roman"/>
                <w:color w:val="000000"/>
                <w:sz w:val="24"/>
                <w:szCs w:val="24"/>
              </w:rPr>
              <w:t>/</w:t>
            </w:r>
            <w:r>
              <w:rPr>
                <w:rFonts w:hint="eastAsia" w:ascii="宋体" w:hAnsi="宋体" w:eastAsia="宋体" w:cs="Times New Roman"/>
                <w:color w:val="000000"/>
                <w:sz w:val="24"/>
                <w:szCs w:val="24"/>
              </w:rPr>
              <w:t>PN耦合器和</w:t>
            </w:r>
            <w:r>
              <w:rPr>
                <w:rFonts w:ascii="宋体" w:hAnsi="宋体" w:eastAsia="宋体" w:cs="Times New Roman"/>
                <w:color w:val="000000"/>
                <w:sz w:val="24"/>
                <w:szCs w:val="24"/>
              </w:rPr>
              <w:t>无源干接点方式</w:t>
            </w:r>
            <w:r>
              <w:rPr>
                <w:rFonts w:hint="eastAsia" w:ascii="宋体" w:hAnsi="宋体" w:eastAsia="宋体" w:cs="Times New Roman"/>
                <w:color w:val="000000"/>
                <w:sz w:val="24"/>
                <w:szCs w:val="24"/>
                <w:lang w:eastAsia="zh-CN"/>
              </w:rPr>
              <w:t>联锁</w:t>
            </w:r>
          </w:p>
        </w:tc>
      </w:tr>
    </w:tbl>
    <w:p w14:paraId="40051493">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底盘线设备技术要求</w:t>
      </w:r>
    </w:p>
    <w:p w14:paraId="79B2D8A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工艺流程概述：</w:t>
      </w:r>
    </w:p>
    <w:p w14:paraId="061CB2C2">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底盘线为摩擦线，共14个工位，其中有效装配工位13个（含底盘及电池包合装工位）。 </w:t>
      </w:r>
    </w:p>
    <w:p w14:paraId="03AED870">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输送方式为：升降机+空中摩擦驱动输送系统，底盘线与内饰线通过升降机转接，升降机托臂需配有长度不小于300mm的随行功能，随行将工件托起，上升到高位将工件转接到底盘吊具上，底盘吊具在升降机高位打开等待。</w:t>
      </w:r>
    </w:p>
    <w:p w14:paraId="79EEAC08">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空中输送到底盘工艺段，工艺段采用摩擦线方式，快速段与工艺段高度差采用升降机提升方式实现，将车身转接到地面工艺段，底盘工艺段采用摩擦线的形式来满足不同装配高度，工艺段装配完成后，通过空中快速输送到完成线，通过下件随行升降机转接到宽板链，空吊具通过空中输送段返回内饰线接车。</w:t>
      </w:r>
    </w:p>
    <w:p w14:paraId="39E20787">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底盘线为连续式运行，工艺装配段电机要求变频可调，调速范围为 0.96～1.8m/min</w:t>
      </w:r>
      <w:r>
        <w:rPr>
          <w:rFonts w:hint="eastAsia" w:ascii="Times New Roman" w:hAnsi="Times New Roman" w:eastAsia="宋体" w:cs="Times New Roman"/>
          <w:sz w:val="24"/>
          <w:lang w:eastAsia="zh-CN"/>
        </w:rPr>
        <w:t>，</w:t>
      </w:r>
      <w:r>
        <w:rPr>
          <w:rFonts w:ascii="Times New Roman" w:hAnsi="Times New Roman" w:eastAsia="宋体" w:cs="Times New Roman"/>
          <w:sz w:val="24"/>
        </w:rPr>
        <w:t>空中快速输送段输送速度为 15m/min，特殊工位（转挂区）摩擦线电机要求变频可调。</w:t>
      </w:r>
    </w:p>
    <w:p w14:paraId="11C3E122">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作业高度有三种，分别为C01-05（裙边高度1700mm）；C06下坡，C07-08（裙边高度300mm）；C09爬坡；C10-12（裙边高度1100mm）。线体工位间距为7200mm（以上工艺高度图纸会签时最终确定），并根据工艺需要铺设工位踏台。</w:t>
      </w:r>
    </w:p>
    <w:p w14:paraId="048C4ACA">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底盘线二次辅梁需考虑部分工艺生产设备（轮胎拧紧机、助力机械手）吊挂钢结构的使用，包括承载能力、辅梁长度等方面。</w:t>
      </w:r>
    </w:p>
    <w:p w14:paraId="2DB91AED">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吊具任何与车身接触部位均需要采用</w:t>
      </w:r>
      <w:r>
        <w:rPr>
          <w:rFonts w:hint="eastAsia" w:ascii="Times New Roman" w:hAnsi="Times New Roman" w:eastAsia="宋体" w:cs="Times New Roman"/>
          <w:sz w:val="24"/>
          <w:lang w:eastAsia="zh-CN"/>
        </w:rPr>
        <w:t>聚氨酯</w:t>
      </w:r>
      <w:r>
        <w:rPr>
          <w:rFonts w:ascii="Times New Roman" w:hAnsi="Times New Roman" w:eastAsia="宋体" w:cs="Times New Roman"/>
          <w:sz w:val="24"/>
        </w:rPr>
        <w:t>类的软性材料，避免划伤车身。</w:t>
      </w:r>
    </w:p>
    <w:p w14:paraId="0172B9EA">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吊具设计时需完全考虑整车装配工艺，吊具结构形式需确保与所有在底盘线装配的零部件不受影响，且兼容VAN类7方、8方两款车型共线生产。</w:t>
      </w:r>
    </w:p>
    <w:p w14:paraId="16199F5A">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工艺段要求运行平稳设置扶正轨，不允许出现任何爬行现象，工艺段不允许出现空工位现象。</w:t>
      </w:r>
    </w:p>
    <w:p w14:paraId="4DE57BF0">
      <w:pPr>
        <w:keepNext w:val="0"/>
        <w:keepLines w:val="0"/>
        <w:pageBreakBefore w:val="0"/>
        <w:widowControl w:val="0"/>
        <w:numPr>
          <w:ilvl w:val="0"/>
          <w:numId w:val="46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在每个有效工位设置急停开关、复位开关和三色柱示灯，便于在出现故障时使用，确保生产安全，按急停开关时，指示灯亮红灯，并伴有声音提醒，松开急停开关并复位后，声光报警停止，并能自动启动输送线</w:t>
      </w:r>
      <w:r>
        <w:rPr>
          <w:rFonts w:hint="eastAsia" w:ascii="Times New Roman" w:hAnsi="Times New Roman" w:eastAsia="宋体" w:cs="Times New Roman"/>
          <w:color w:val="000000"/>
          <w:sz w:val="24"/>
          <w:lang w:eastAsia="zh-CN"/>
        </w:rPr>
        <w:t>。</w:t>
      </w:r>
    </w:p>
    <w:p w14:paraId="1D80AF4F">
      <w:pPr>
        <w:keepNext w:val="0"/>
        <w:keepLines w:val="0"/>
        <w:pageBreakBefore w:val="0"/>
        <w:widowControl w:val="0"/>
        <w:numPr>
          <w:ilvl w:val="0"/>
          <w:numId w:val="461"/>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 xml:space="preserve">主要设备及参数构成 </w:t>
      </w:r>
    </w:p>
    <w:tbl>
      <w:tblPr>
        <w:tblStyle w:val="44"/>
        <w:tblW w:w="4998" w:type="pct"/>
        <w:tblInd w:w="0" w:type="dxa"/>
        <w:tblLayout w:type="autofit"/>
        <w:tblCellMar>
          <w:top w:w="0" w:type="dxa"/>
          <w:left w:w="108" w:type="dxa"/>
          <w:bottom w:w="0" w:type="dxa"/>
          <w:right w:w="108" w:type="dxa"/>
        </w:tblCellMar>
      </w:tblPr>
      <w:tblGrid>
        <w:gridCol w:w="948"/>
        <w:gridCol w:w="3640"/>
        <w:gridCol w:w="1423"/>
        <w:gridCol w:w="1423"/>
        <w:gridCol w:w="2216"/>
      </w:tblGrid>
      <w:tr w14:paraId="6F15D9FD">
        <w:tblPrEx>
          <w:tblCellMar>
            <w:top w:w="0" w:type="dxa"/>
            <w:left w:w="108" w:type="dxa"/>
            <w:bottom w:w="0" w:type="dxa"/>
            <w:right w:w="108" w:type="dxa"/>
          </w:tblCellMar>
        </w:tblPrEx>
        <w:trPr>
          <w:trHeight w:val="567" w:hRule="atLeast"/>
        </w:trPr>
        <w:tc>
          <w:tcPr>
            <w:tcW w:w="49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7E513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885" w:type="pct"/>
            <w:tcBorders>
              <w:top w:val="single" w:color="auto" w:sz="4" w:space="0"/>
              <w:left w:val="nil"/>
              <w:bottom w:val="single" w:color="auto" w:sz="4" w:space="0"/>
              <w:right w:val="single" w:color="auto" w:sz="4" w:space="0"/>
            </w:tcBorders>
            <w:shd w:val="clear" w:color="auto" w:fill="auto"/>
            <w:noWrap/>
            <w:vAlign w:val="center"/>
          </w:tcPr>
          <w:p w14:paraId="4D549A2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设备名称</w:t>
            </w:r>
          </w:p>
        </w:tc>
        <w:tc>
          <w:tcPr>
            <w:tcW w:w="737" w:type="pct"/>
            <w:tcBorders>
              <w:top w:val="single" w:color="auto" w:sz="4" w:space="0"/>
              <w:left w:val="nil"/>
              <w:bottom w:val="single" w:color="auto" w:sz="4" w:space="0"/>
              <w:right w:val="single" w:color="auto" w:sz="4" w:space="0"/>
            </w:tcBorders>
            <w:shd w:val="clear" w:color="auto" w:fill="auto"/>
            <w:noWrap/>
            <w:vAlign w:val="center"/>
          </w:tcPr>
          <w:p w14:paraId="5828FBC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数量</w:t>
            </w:r>
          </w:p>
        </w:tc>
        <w:tc>
          <w:tcPr>
            <w:tcW w:w="737" w:type="pct"/>
            <w:tcBorders>
              <w:top w:val="single" w:color="auto" w:sz="4" w:space="0"/>
              <w:left w:val="nil"/>
              <w:bottom w:val="single" w:color="auto" w:sz="4" w:space="0"/>
              <w:right w:val="single" w:color="auto" w:sz="4" w:space="0"/>
            </w:tcBorders>
            <w:shd w:val="clear" w:color="auto" w:fill="auto"/>
            <w:noWrap/>
            <w:vAlign w:val="center"/>
          </w:tcPr>
          <w:p w14:paraId="6EBDBBD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1147" w:type="pct"/>
            <w:tcBorders>
              <w:top w:val="single" w:color="auto" w:sz="4" w:space="0"/>
              <w:left w:val="nil"/>
              <w:bottom w:val="single" w:color="auto" w:sz="4" w:space="0"/>
              <w:right w:val="single" w:color="auto" w:sz="4" w:space="0"/>
            </w:tcBorders>
            <w:shd w:val="clear" w:color="auto" w:fill="auto"/>
            <w:noWrap/>
            <w:vAlign w:val="center"/>
          </w:tcPr>
          <w:p w14:paraId="0757A26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r>
      <w:tr w14:paraId="5E52DBD0">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6EA15BE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1885" w:type="pct"/>
            <w:tcBorders>
              <w:top w:val="nil"/>
              <w:left w:val="nil"/>
              <w:bottom w:val="single" w:color="auto" w:sz="4" w:space="0"/>
              <w:right w:val="single" w:color="auto" w:sz="4" w:space="0"/>
            </w:tcBorders>
            <w:shd w:val="clear" w:color="auto" w:fill="auto"/>
            <w:noWrap/>
            <w:vAlign w:val="center"/>
          </w:tcPr>
          <w:p w14:paraId="4A4BD4B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直线驱动</w:t>
            </w:r>
          </w:p>
        </w:tc>
        <w:tc>
          <w:tcPr>
            <w:tcW w:w="737" w:type="pct"/>
            <w:tcBorders>
              <w:top w:val="nil"/>
              <w:left w:val="nil"/>
              <w:bottom w:val="single" w:color="auto" w:sz="4" w:space="0"/>
              <w:right w:val="single" w:color="auto" w:sz="4" w:space="0"/>
            </w:tcBorders>
            <w:shd w:val="clear" w:color="000000" w:fill="FFFFFF"/>
            <w:noWrap/>
            <w:vAlign w:val="center"/>
          </w:tcPr>
          <w:p w14:paraId="6E2898D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按需</w:t>
            </w:r>
          </w:p>
        </w:tc>
        <w:tc>
          <w:tcPr>
            <w:tcW w:w="737" w:type="pct"/>
            <w:tcBorders>
              <w:top w:val="nil"/>
              <w:left w:val="nil"/>
              <w:bottom w:val="single" w:color="auto" w:sz="4" w:space="0"/>
              <w:right w:val="single" w:color="auto" w:sz="4" w:space="0"/>
            </w:tcBorders>
            <w:shd w:val="clear" w:color="auto" w:fill="auto"/>
            <w:noWrap/>
            <w:vAlign w:val="center"/>
          </w:tcPr>
          <w:p w14:paraId="2994E02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4F731BD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35E7F28F">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57AA5C0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2</w:t>
            </w:r>
          </w:p>
        </w:tc>
        <w:tc>
          <w:tcPr>
            <w:tcW w:w="1885" w:type="pct"/>
            <w:tcBorders>
              <w:top w:val="nil"/>
              <w:left w:val="nil"/>
              <w:bottom w:val="single" w:color="auto" w:sz="4" w:space="0"/>
              <w:right w:val="single" w:color="auto" w:sz="4" w:space="0"/>
            </w:tcBorders>
            <w:shd w:val="clear" w:color="auto" w:fill="auto"/>
            <w:noWrap/>
            <w:vAlign w:val="center"/>
          </w:tcPr>
          <w:p w14:paraId="226883B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弯段驱动</w:t>
            </w:r>
          </w:p>
        </w:tc>
        <w:tc>
          <w:tcPr>
            <w:tcW w:w="737" w:type="pct"/>
            <w:tcBorders>
              <w:top w:val="nil"/>
              <w:left w:val="nil"/>
              <w:bottom w:val="single" w:color="auto" w:sz="4" w:space="0"/>
              <w:right w:val="single" w:color="auto" w:sz="4" w:space="0"/>
            </w:tcBorders>
            <w:shd w:val="clear" w:color="000000" w:fill="FFFFFF"/>
            <w:noWrap/>
            <w:vAlign w:val="center"/>
          </w:tcPr>
          <w:p w14:paraId="0A1F9F2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按需</w:t>
            </w:r>
          </w:p>
        </w:tc>
        <w:tc>
          <w:tcPr>
            <w:tcW w:w="737" w:type="pct"/>
            <w:tcBorders>
              <w:top w:val="nil"/>
              <w:left w:val="nil"/>
              <w:bottom w:val="single" w:color="auto" w:sz="4" w:space="0"/>
              <w:right w:val="single" w:color="auto" w:sz="4" w:space="0"/>
            </w:tcBorders>
            <w:shd w:val="clear" w:color="auto" w:fill="auto"/>
            <w:noWrap/>
            <w:vAlign w:val="center"/>
          </w:tcPr>
          <w:p w14:paraId="3F7A180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2A1FD3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34643A9D">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4772FF9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3</w:t>
            </w:r>
          </w:p>
        </w:tc>
        <w:tc>
          <w:tcPr>
            <w:tcW w:w="1885" w:type="pct"/>
            <w:tcBorders>
              <w:top w:val="nil"/>
              <w:left w:val="nil"/>
              <w:bottom w:val="single" w:color="auto" w:sz="4" w:space="0"/>
              <w:right w:val="single" w:color="auto" w:sz="4" w:space="0"/>
            </w:tcBorders>
            <w:shd w:val="clear" w:color="auto" w:fill="auto"/>
            <w:noWrap/>
            <w:vAlign w:val="center"/>
          </w:tcPr>
          <w:p w14:paraId="718DE53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工位双</w:t>
            </w:r>
            <w:r>
              <w:rPr>
                <w:rFonts w:ascii="宋体" w:hAnsi="宋体" w:eastAsia="宋体" w:cs="宋体"/>
                <w:color w:val="000000"/>
                <w:kern w:val="0"/>
                <w:sz w:val="24"/>
                <w:szCs w:val="24"/>
              </w:rPr>
              <w:t>驱动</w:t>
            </w:r>
          </w:p>
        </w:tc>
        <w:tc>
          <w:tcPr>
            <w:tcW w:w="737" w:type="pct"/>
            <w:tcBorders>
              <w:top w:val="nil"/>
              <w:left w:val="nil"/>
              <w:bottom w:val="single" w:color="auto" w:sz="4" w:space="0"/>
              <w:right w:val="single" w:color="auto" w:sz="4" w:space="0"/>
            </w:tcBorders>
            <w:shd w:val="clear" w:color="000000" w:fill="FFFFFF"/>
            <w:noWrap/>
            <w:vAlign w:val="center"/>
          </w:tcPr>
          <w:p w14:paraId="557A3B6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按需</w:t>
            </w:r>
          </w:p>
        </w:tc>
        <w:tc>
          <w:tcPr>
            <w:tcW w:w="737" w:type="pct"/>
            <w:tcBorders>
              <w:top w:val="nil"/>
              <w:left w:val="nil"/>
              <w:bottom w:val="single" w:color="auto" w:sz="4" w:space="0"/>
              <w:right w:val="single" w:color="auto" w:sz="4" w:space="0"/>
            </w:tcBorders>
            <w:shd w:val="clear" w:color="auto" w:fill="auto"/>
            <w:noWrap/>
            <w:vAlign w:val="center"/>
          </w:tcPr>
          <w:p w14:paraId="6976A7C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227EBC4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02656831">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0BEDF85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4</w:t>
            </w:r>
          </w:p>
        </w:tc>
        <w:tc>
          <w:tcPr>
            <w:tcW w:w="1885" w:type="pct"/>
            <w:tcBorders>
              <w:top w:val="nil"/>
              <w:left w:val="nil"/>
              <w:bottom w:val="single" w:color="auto" w:sz="4" w:space="0"/>
              <w:right w:val="single" w:color="auto" w:sz="4" w:space="0"/>
            </w:tcBorders>
            <w:shd w:val="clear" w:color="auto" w:fill="auto"/>
            <w:noWrap/>
            <w:vAlign w:val="center"/>
          </w:tcPr>
          <w:p w14:paraId="077AC7B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上件随行升降机</w:t>
            </w:r>
          </w:p>
        </w:tc>
        <w:tc>
          <w:tcPr>
            <w:tcW w:w="737" w:type="pct"/>
            <w:tcBorders>
              <w:top w:val="nil"/>
              <w:left w:val="nil"/>
              <w:bottom w:val="single" w:color="auto" w:sz="4" w:space="0"/>
              <w:right w:val="single" w:color="auto" w:sz="4" w:space="0"/>
            </w:tcBorders>
            <w:shd w:val="clear" w:color="000000" w:fill="FFFFFF"/>
            <w:noWrap/>
            <w:vAlign w:val="center"/>
          </w:tcPr>
          <w:p w14:paraId="36B2E23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7" w:type="pct"/>
            <w:tcBorders>
              <w:top w:val="nil"/>
              <w:left w:val="nil"/>
              <w:bottom w:val="single" w:color="auto" w:sz="4" w:space="0"/>
              <w:right w:val="single" w:color="auto" w:sz="4" w:space="0"/>
            </w:tcBorders>
            <w:shd w:val="clear" w:color="auto" w:fill="auto"/>
            <w:noWrap/>
            <w:vAlign w:val="center"/>
          </w:tcPr>
          <w:p w14:paraId="408A2AC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20A3738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73C0C5F7">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7859BCD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5</w:t>
            </w:r>
          </w:p>
        </w:tc>
        <w:tc>
          <w:tcPr>
            <w:tcW w:w="1885" w:type="pct"/>
            <w:tcBorders>
              <w:top w:val="nil"/>
              <w:left w:val="nil"/>
              <w:bottom w:val="single" w:color="auto" w:sz="4" w:space="0"/>
              <w:right w:val="single" w:color="auto" w:sz="4" w:space="0"/>
            </w:tcBorders>
            <w:shd w:val="clear" w:color="auto" w:fill="auto"/>
            <w:noWrap/>
            <w:vAlign w:val="center"/>
          </w:tcPr>
          <w:p w14:paraId="02BCEAD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升降机</w:t>
            </w:r>
          </w:p>
        </w:tc>
        <w:tc>
          <w:tcPr>
            <w:tcW w:w="737" w:type="pct"/>
            <w:tcBorders>
              <w:top w:val="nil"/>
              <w:left w:val="nil"/>
              <w:bottom w:val="single" w:color="auto" w:sz="4" w:space="0"/>
              <w:right w:val="single" w:color="auto" w:sz="4" w:space="0"/>
            </w:tcBorders>
            <w:shd w:val="clear" w:color="000000" w:fill="FFFFFF"/>
            <w:noWrap/>
            <w:vAlign w:val="center"/>
          </w:tcPr>
          <w:p w14:paraId="2ECF8A6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1</w:t>
            </w:r>
          </w:p>
        </w:tc>
        <w:tc>
          <w:tcPr>
            <w:tcW w:w="737" w:type="pct"/>
            <w:tcBorders>
              <w:top w:val="nil"/>
              <w:left w:val="nil"/>
              <w:bottom w:val="single" w:color="auto" w:sz="4" w:space="0"/>
              <w:right w:val="single" w:color="auto" w:sz="4" w:space="0"/>
            </w:tcBorders>
            <w:shd w:val="clear" w:color="auto" w:fill="auto"/>
            <w:noWrap/>
            <w:vAlign w:val="center"/>
          </w:tcPr>
          <w:p w14:paraId="2C69BF9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03D03B0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576F8BF3">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7540E56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6</w:t>
            </w:r>
          </w:p>
        </w:tc>
        <w:tc>
          <w:tcPr>
            <w:tcW w:w="1885" w:type="pct"/>
            <w:tcBorders>
              <w:top w:val="nil"/>
              <w:left w:val="single" w:color="auto" w:sz="4" w:space="0"/>
              <w:bottom w:val="single" w:color="auto" w:sz="4" w:space="0"/>
              <w:right w:val="single" w:color="auto" w:sz="4" w:space="0"/>
            </w:tcBorders>
            <w:shd w:val="clear" w:color="auto" w:fill="auto"/>
            <w:noWrap/>
            <w:vAlign w:val="center"/>
          </w:tcPr>
          <w:p w14:paraId="6571761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highlight w:val="none"/>
              </w:rPr>
              <w:t>下件升降机</w:t>
            </w:r>
          </w:p>
        </w:tc>
        <w:tc>
          <w:tcPr>
            <w:tcW w:w="737" w:type="pct"/>
            <w:tcBorders>
              <w:top w:val="nil"/>
              <w:left w:val="single" w:color="auto" w:sz="4" w:space="0"/>
              <w:bottom w:val="single" w:color="auto" w:sz="4" w:space="0"/>
              <w:right w:val="single" w:color="auto" w:sz="4" w:space="0"/>
            </w:tcBorders>
            <w:shd w:val="clear" w:color="000000" w:fill="FFFFFF"/>
            <w:noWrap/>
            <w:vAlign w:val="center"/>
          </w:tcPr>
          <w:p w14:paraId="2312EDD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737" w:type="pct"/>
            <w:tcBorders>
              <w:top w:val="nil"/>
              <w:left w:val="single" w:color="auto" w:sz="4" w:space="0"/>
              <w:bottom w:val="single" w:color="auto" w:sz="4" w:space="0"/>
              <w:right w:val="single" w:color="auto" w:sz="4" w:space="0"/>
            </w:tcBorders>
            <w:shd w:val="clear" w:color="auto" w:fill="auto"/>
            <w:noWrap/>
            <w:vAlign w:val="center"/>
          </w:tcPr>
          <w:p w14:paraId="647F4A9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bookmarkStart w:id="314" w:name="OLE_LINK1"/>
            <w:r>
              <w:rPr>
                <w:rFonts w:hint="eastAsia" w:ascii="宋体" w:hAnsi="宋体" w:eastAsia="宋体" w:cs="宋体"/>
                <w:color w:val="000000"/>
                <w:kern w:val="0"/>
                <w:sz w:val="24"/>
                <w:szCs w:val="24"/>
              </w:rPr>
              <w:t>套</w:t>
            </w:r>
            <w:bookmarkEnd w:id="314"/>
          </w:p>
        </w:tc>
        <w:tc>
          <w:tcPr>
            <w:tcW w:w="1147" w:type="pct"/>
            <w:tcBorders>
              <w:top w:val="nil"/>
              <w:left w:val="nil"/>
              <w:bottom w:val="single" w:color="auto" w:sz="4" w:space="0"/>
              <w:right w:val="single" w:color="auto" w:sz="4" w:space="0"/>
            </w:tcBorders>
            <w:shd w:val="clear" w:color="auto" w:fill="auto"/>
            <w:noWrap/>
            <w:vAlign w:val="center"/>
          </w:tcPr>
          <w:p w14:paraId="3B289C2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486436FC">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46047C1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7</w:t>
            </w:r>
          </w:p>
        </w:tc>
        <w:tc>
          <w:tcPr>
            <w:tcW w:w="1885" w:type="pct"/>
            <w:tcBorders>
              <w:top w:val="nil"/>
              <w:left w:val="single" w:color="auto" w:sz="4" w:space="0"/>
              <w:bottom w:val="single" w:color="auto" w:sz="4" w:space="0"/>
              <w:right w:val="single" w:color="auto" w:sz="4" w:space="0"/>
            </w:tcBorders>
            <w:shd w:val="clear" w:color="auto" w:fill="auto"/>
            <w:noWrap/>
            <w:vAlign w:val="center"/>
          </w:tcPr>
          <w:p w14:paraId="1086C86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吊具打开装置</w:t>
            </w:r>
          </w:p>
        </w:tc>
        <w:tc>
          <w:tcPr>
            <w:tcW w:w="737" w:type="pct"/>
            <w:tcBorders>
              <w:top w:val="nil"/>
              <w:left w:val="single" w:color="auto" w:sz="4" w:space="0"/>
              <w:bottom w:val="single" w:color="auto" w:sz="4" w:space="0"/>
              <w:right w:val="single" w:color="auto" w:sz="4" w:space="0"/>
            </w:tcBorders>
            <w:shd w:val="clear" w:color="000000" w:fill="FFFFFF"/>
            <w:noWrap/>
            <w:vAlign w:val="center"/>
          </w:tcPr>
          <w:p w14:paraId="2E2743D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p>
        </w:tc>
        <w:tc>
          <w:tcPr>
            <w:tcW w:w="737" w:type="pct"/>
            <w:tcBorders>
              <w:top w:val="nil"/>
              <w:left w:val="single" w:color="auto" w:sz="4" w:space="0"/>
              <w:bottom w:val="single" w:color="auto" w:sz="4" w:space="0"/>
              <w:right w:val="single" w:color="auto" w:sz="4" w:space="0"/>
            </w:tcBorders>
            <w:shd w:val="clear" w:color="auto" w:fill="auto"/>
            <w:noWrap/>
            <w:vAlign w:val="center"/>
          </w:tcPr>
          <w:p w14:paraId="432D5A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0415840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7418DAAB">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10B2FAC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8</w:t>
            </w:r>
          </w:p>
        </w:tc>
        <w:tc>
          <w:tcPr>
            <w:tcW w:w="1885" w:type="pct"/>
            <w:tcBorders>
              <w:top w:val="nil"/>
              <w:left w:val="nil"/>
              <w:bottom w:val="single" w:color="auto" w:sz="4" w:space="0"/>
              <w:right w:val="single" w:color="auto" w:sz="4" w:space="0"/>
            </w:tcBorders>
            <w:shd w:val="clear" w:color="auto" w:fill="auto"/>
            <w:noWrap/>
            <w:vAlign w:val="center"/>
          </w:tcPr>
          <w:p w14:paraId="3AA2EBC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定位装置</w:t>
            </w:r>
          </w:p>
        </w:tc>
        <w:tc>
          <w:tcPr>
            <w:tcW w:w="737" w:type="pct"/>
            <w:tcBorders>
              <w:top w:val="nil"/>
              <w:left w:val="nil"/>
              <w:bottom w:val="single" w:color="auto" w:sz="4" w:space="0"/>
              <w:right w:val="single" w:color="auto" w:sz="4" w:space="0"/>
            </w:tcBorders>
            <w:shd w:val="clear" w:color="000000" w:fill="FFFFFF"/>
            <w:noWrap/>
            <w:vAlign w:val="center"/>
          </w:tcPr>
          <w:p w14:paraId="0DF6ECB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w:t>
            </w:r>
          </w:p>
        </w:tc>
        <w:tc>
          <w:tcPr>
            <w:tcW w:w="737" w:type="pct"/>
            <w:tcBorders>
              <w:top w:val="nil"/>
              <w:left w:val="nil"/>
              <w:bottom w:val="single" w:color="auto" w:sz="4" w:space="0"/>
              <w:right w:val="single" w:color="auto" w:sz="4" w:space="0"/>
            </w:tcBorders>
            <w:shd w:val="clear" w:color="auto" w:fill="auto"/>
            <w:noWrap/>
            <w:vAlign w:val="center"/>
          </w:tcPr>
          <w:p w14:paraId="2B3491D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22F3EB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133EB9F5">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7F5B837C">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9</w:t>
            </w:r>
          </w:p>
        </w:tc>
        <w:tc>
          <w:tcPr>
            <w:tcW w:w="1885" w:type="pct"/>
            <w:tcBorders>
              <w:top w:val="nil"/>
              <w:left w:val="nil"/>
              <w:bottom w:val="single" w:color="auto" w:sz="4" w:space="0"/>
              <w:right w:val="single" w:color="auto" w:sz="4" w:space="0"/>
            </w:tcBorders>
            <w:shd w:val="clear" w:color="auto" w:fill="auto"/>
            <w:noWrap/>
            <w:vAlign w:val="center"/>
          </w:tcPr>
          <w:p w14:paraId="1BC6FB9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维修升降葫芦</w:t>
            </w:r>
          </w:p>
        </w:tc>
        <w:tc>
          <w:tcPr>
            <w:tcW w:w="737" w:type="pct"/>
            <w:tcBorders>
              <w:top w:val="nil"/>
              <w:left w:val="nil"/>
              <w:bottom w:val="single" w:color="auto" w:sz="4" w:space="0"/>
              <w:right w:val="single" w:color="auto" w:sz="4" w:space="0"/>
            </w:tcBorders>
            <w:shd w:val="clear" w:color="000000" w:fill="FFFFFF"/>
            <w:noWrap/>
            <w:vAlign w:val="center"/>
          </w:tcPr>
          <w:p w14:paraId="2ABF7A3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737" w:type="pct"/>
            <w:tcBorders>
              <w:top w:val="nil"/>
              <w:left w:val="nil"/>
              <w:bottom w:val="single" w:color="auto" w:sz="4" w:space="0"/>
              <w:right w:val="single" w:color="auto" w:sz="4" w:space="0"/>
            </w:tcBorders>
            <w:shd w:val="clear" w:color="auto" w:fill="auto"/>
            <w:noWrap/>
            <w:vAlign w:val="center"/>
          </w:tcPr>
          <w:p w14:paraId="1B40298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41F1DE0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5A30D6EF">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43FC41F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0</w:t>
            </w:r>
          </w:p>
        </w:tc>
        <w:tc>
          <w:tcPr>
            <w:tcW w:w="1885" w:type="pct"/>
            <w:tcBorders>
              <w:top w:val="nil"/>
              <w:left w:val="nil"/>
              <w:bottom w:val="single" w:color="auto" w:sz="4" w:space="0"/>
              <w:right w:val="single" w:color="auto" w:sz="4" w:space="0"/>
            </w:tcBorders>
            <w:shd w:val="clear" w:color="auto" w:fill="auto"/>
            <w:noWrap/>
            <w:vAlign w:val="center"/>
          </w:tcPr>
          <w:p w14:paraId="5B121B8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道岔</w:t>
            </w:r>
          </w:p>
        </w:tc>
        <w:tc>
          <w:tcPr>
            <w:tcW w:w="737" w:type="pct"/>
            <w:tcBorders>
              <w:top w:val="nil"/>
              <w:left w:val="nil"/>
              <w:bottom w:val="single" w:color="auto" w:sz="4" w:space="0"/>
              <w:right w:val="single" w:color="auto" w:sz="4" w:space="0"/>
            </w:tcBorders>
            <w:shd w:val="clear" w:color="000000" w:fill="FFFFFF"/>
            <w:noWrap/>
            <w:vAlign w:val="center"/>
          </w:tcPr>
          <w:p w14:paraId="733C2D9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2</w:t>
            </w:r>
          </w:p>
        </w:tc>
        <w:tc>
          <w:tcPr>
            <w:tcW w:w="737" w:type="pct"/>
            <w:tcBorders>
              <w:top w:val="nil"/>
              <w:left w:val="nil"/>
              <w:bottom w:val="single" w:color="auto" w:sz="4" w:space="0"/>
              <w:right w:val="single" w:color="auto" w:sz="4" w:space="0"/>
            </w:tcBorders>
            <w:shd w:val="clear" w:color="auto" w:fill="auto"/>
            <w:noWrap/>
            <w:vAlign w:val="center"/>
          </w:tcPr>
          <w:p w14:paraId="0C3BCBE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330FAFE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453AAE76">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15D7B84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1</w:t>
            </w:r>
          </w:p>
        </w:tc>
        <w:tc>
          <w:tcPr>
            <w:tcW w:w="1885" w:type="pct"/>
            <w:tcBorders>
              <w:top w:val="nil"/>
              <w:left w:val="nil"/>
              <w:bottom w:val="single" w:color="auto" w:sz="4" w:space="0"/>
              <w:right w:val="single" w:color="auto" w:sz="4" w:space="0"/>
            </w:tcBorders>
            <w:shd w:val="clear" w:color="auto" w:fill="auto"/>
            <w:noWrap/>
            <w:vAlign w:val="center"/>
          </w:tcPr>
          <w:p w14:paraId="4A3DB89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停止器</w:t>
            </w:r>
          </w:p>
        </w:tc>
        <w:tc>
          <w:tcPr>
            <w:tcW w:w="737" w:type="pct"/>
            <w:tcBorders>
              <w:top w:val="nil"/>
              <w:left w:val="nil"/>
              <w:bottom w:val="single" w:color="auto" w:sz="4" w:space="0"/>
              <w:right w:val="single" w:color="auto" w:sz="4" w:space="0"/>
            </w:tcBorders>
            <w:shd w:val="clear" w:color="000000" w:fill="FFFFFF"/>
            <w:noWrap/>
            <w:vAlign w:val="center"/>
          </w:tcPr>
          <w:p w14:paraId="5C2E0E8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4</w:t>
            </w:r>
          </w:p>
        </w:tc>
        <w:tc>
          <w:tcPr>
            <w:tcW w:w="737" w:type="pct"/>
            <w:tcBorders>
              <w:top w:val="nil"/>
              <w:left w:val="nil"/>
              <w:bottom w:val="single" w:color="auto" w:sz="4" w:space="0"/>
              <w:right w:val="single" w:color="auto" w:sz="4" w:space="0"/>
            </w:tcBorders>
            <w:shd w:val="clear" w:color="auto" w:fill="auto"/>
            <w:noWrap/>
            <w:vAlign w:val="center"/>
          </w:tcPr>
          <w:p w14:paraId="10E075A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3B39BBA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6FDBBB06">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3AE052D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2</w:t>
            </w:r>
          </w:p>
        </w:tc>
        <w:tc>
          <w:tcPr>
            <w:tcW w:w="1885" w:type="pct"/>
            <w:tcBorders>
              <w:top w:val="nil"/>
              <w:left w:val="nil"/>
              <w:bottom w:val="single" w:color="auto" w:sz="4" w:space="0"/>
              <w:right w:val="single" w:color="auto" w:sz="4" w:space="0"/>
            </w:tcBorders>
            <w:shd w:val="clear" w:color="auto" w:fill="auto"/>
            <w:noWrap/>
            <w:vAlign w:val="center"/>
          </w:tcPr>
          <w:p w14:paraId="65D0A3E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轨道</w:t>
            </w:r>
            <w:r>
              <w:rPr>
                <w:rFonts w:ascii="宋体" w:hAnsi="宋体" w:eastAsia="宋体" w:cs="宋体"/>
                <w:color w:val="000000"/>
                <w:kern w:val="0"/>
                <w:sz w:val="24"/>
                <w:szCs w:val="24"/>
              </w:rPr>
              <w:t>系统</w:t>
            </w:r>
          </w:p>
        </w:tc>
        <w:tc>
          <w:tcPr>
            <w:tcW w:w="737" w:type="pct"/>
            <w:tcBorders>
              <w:top w:val="nil"/>
              <w:left w:val="nil"/>
              <w:bottom w:val="single" w:color="auto" w:sz="4" w:space="0"/>
              <w:right w:val="single" w:color="auto" w:sz="4" w:space="0"/>
            </w:tcBorders>
            <w:shd w:val="clear" w:color="000000" w:fill="FFFFFF"/>
            <w:noWrap/>
            <w:vAlign w:val="center"/>
          </w:tcPr>
          <w:p w14:paraId="54BBA6C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7" w:type="pct"/>
            <w:tcBorders>
              <w:top w:val="nil"/>
              <w:left w:val="nil"/>
              <w:bottom w:val="single" w:color="auto" w:sz="4" w:space="0"/>
              <w:right w:val="single" w:color="auto" w:sz="4" w:space="0"/>
            </w:tcBorders>
            <w:shd w:val="clear" w:color="auto" w:fill="auto"/>
            <w:noWrap/>
            <w:vAlign w:val="center"/>
          </w:tcPr>
          <w:p w14:paraId="045AE64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457FB04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749BD0FF">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69C2AE69">
            <w:pPr>
              <w:keepNext w:val="0"/>
              <w:keepLines w:val="0"/>
              <w:pageBreakBefore w:val="0"/>
              <w:widowControl/>
              <w:kinsoku/>
              <w:overflowPunct/>
              <w:topLinePunct w:val="0"/>
              <w:bidi w:val="0"/>
              <w:adjustRightInd w:val="0"/>
              <w:snapToGrid w:val="0"/>
              <w:spacing w:afterAutospacing="0" w:line="240" w:lineRule="auto"/>
              <w:jc w:val="center"/>
              <w:rPr>
                <w:rFonts w:hint="default" w:ascii="宋体" w:hAnsi="宋体" w:eastAsia="宋体" w:cs="宋体"/>
                <w:color w:val="000000"/>
                <w:kern w:val="0"/>
                <w:sz w:val="24"/>
                <w:szCs w:val="24"/>
                <w:lang w:val="en-US" w:eastAsia="zh-CN"/>
              </w:rPr>
            </w:pPr>
            <w:r>
              <w:rPr>
                <w:rFonts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3</w:t>
            </w:r>
          </w:p>
        </w:tc>
        <w:tc>
          <w:tcPr>
            <w:tcW w:w="1885" w:type="pct"/>
            <w:tcBorders>
              <w:top w:val="nil"/>
              <w:left w:val="nil"/>
              <w:bottom w:val="single" w:color="auto" w:sz="4" w:space="0"/>
              <w:right w:val="single" w:color="auto" w:sz="4" w:space="0"/>
            </w:tcBorders>
            <w:shd w:val="clear" w:color="auto" w:fill="auto"/>
            <w:noWrap/>
            <w:vAlign w:val="center"/>
          </w:tcPr>
          <w:p w14:paraId="4CAF0B0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车组</w:t>
            </w:r>
            <w:r>
              <w:rPr>
                <w:rFonts w:ascii="宋体" w:hAnsi="宋体" w:eastAsia="宋体" w:cs="宋体"/>
                <w:color w:val="000000"/>
                <w:kern w:val="0"/>
                <w:sz w:val="24"/>
                <w:szCs w:val="24"/>
              </w:rPr>
              <w:t>+吊具</w:t>
            </w:r>
            <w:r>
              <w:rPr>
                <w:rFonts w:hint="eastAsia" w:ascii="宋体" w:hAnsi="宋体" w:eastAsia="宋体" w:cs="宋体"/>
                <w:color w:val="000000"/>
                <w:kern w:val="0"/>
                <w:sz w:val="24"/>
                <w:szCs w:val="24"/>
              </w:rPr>
              <w:t>+接油盘</w:t>
            </w:r>
          </w:p>
        </w:tc>
        <w:tc>
          <w:tcPr>
            <w:tcW w:w="737" w:type="pct"/>
            <w:tcBorders>
              <w:top w:val="nil"/>
              <w:left w:val="nil"/>
              <w:bottom w:val="single" w:color="auto" w:sz="4" w:space="0"/>
              <w:right w:val="single" w:color="auto" w:sz="4" w:space="0"/>
            </w:tcBorders>
            <w:shd w:val="clear" w:color="000000" w:fill="FFFFFF"/>
            <w:noWrap/>
            <w:vAlign w:val="center"/>
          </w:tcPr>
          <w:p w14:paraId="23C073D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按需</w:t>
            </w:r>
          </w:p>
        </w:tc>
        <w:tc>
          <w:tcPr>
            <w:tcW w:w="737" w:type="pct"/>
            <w:tcBorders>
              <w:top w:val="nil"/>
              <w:left w:val="nil"/>
              <w:bottom w:val="single" w:color="auto" w:sz="4" w:space="0"/>
              <w:right w:val="single" w:color="auto" w:sz="4" w:space="0"/>
            </w:tcBorders>
            <w:shd w:val="clear" w:color="auto" w:fill="auto"/>
            <w:noWrap/>
            <w:vAlign w:val="center"/>
          </w:tcPr>
          <w:p w14:paraId="271586D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6A04E84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4073509D">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219D573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4</w:t>
            </w:r>
          </w:p>
        </w:tc>
        <w:tc>
          <w:tcPr>
            <w:tcW w:w="1885" w:type="pct"/>
            <w:tcBorders>
              <w:top w:val="nil"/>
              <w:left w:val="nil"/>
              <w:bottom w:val="single" w:color="auto" w:sz="4" w:space="0"/>
              <w:right w:val="single" w:color="auto" w:sz="4" w:space="0"/>
            </w:tcBorders>
            <w:shd w:val="clear" w:color="auto" w:fill="auto"/>
            <w:noWrap/>
            <w:vAlign w:val="center"/>
          </w:tcPr>
          <w:p w14:paraId="5658934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检具</w:t>
            </w:r>
          </w:p>
        </w:tc>
        <w:tc>
          <w:tcPr>
            <w:tcW w:w="737" w:type="pct"/>
            <w:tcBorders>
              <w:top w:val="nil"/>
              <w:left w:val="nil"/>
              <w:bottom w:val="single" w:color="auto" w:sz="4" w:space="0"/>
              <w:right w:val="single" w:color="auto" w:sz="4" w:space="0"/>
            </w:tcBorders>
            <w:shd w:val="clear" w:color="000000" w:fill="FFFFFF"/>
            <w:noWrap/>
            <w:vAlign w:val="center"/>
          </w:tcPr>
          <w:p w14:paraId="601D0C6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7" w:type="pct"/>
            <w:tcBorders>
              <w:top w:val="nil"/>
              <w:left w:val="nil"/>
              <w:bottom w:val="single" w:color="auto" w:sz="4" w:space="0"/>
              <w:right w:val="single" w:color="auto" w:sz="4" w:space="0"/>
            </w:tcBorders>
            <w:shd w:val="clear" w:color="auto" w:fill="auto"/>
            <w:noWrap/>
            <w:vAlign w:val="center"/>
          </w:tcPr>
          <w:p w14:paraId="65E968D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09240AB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191EB7D1">
        <w:tblPrEx>
          <w:tblCellMar>
            <w:top w:w="0" w:type="dxa"/>
            <w:left w:w="108" w:type="dxa"/>
            <w:bottom w:w="0" w:type="dxa"/>
            <w:right w:w="108" w:type="dxa"/>
          </w:tblCellMar>
        </w:tblPrEx>
        <w:trPr>
          <w:trHeight w:val="567" w:hRule="atLeast"/>
        </w:trPr>
        <w:tc>
          <w:tcPr>
            <w:tcW w:w="491" w:type="pct"/>
            <w:tcBorders>
              <w:top w:val="nil"/>
              <w:left w:val="single" w:color="auto" w:sz="4" w:space="0"/>
              <w:bottom w:val="single" w:color="auto" w:sz="4" w:space="0"/>
              <w:right w:val="single" w:color="auto" w:sz="4" w:space="0"/>
            </w:tcBorders>
            <w:shd w:val="clear" w:color="auto" w:fill="auto"/>
            <w:noWrap/>
            <w:vAlign w:val="center"/>
          </w:tcPr>
          <w:p w14:paraId="532B423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r>
              <w:rPr>
                <w:rFonts w:hint="eastAsia" w:ascii="宋体" w:hAnsi="宋体" w:eastAsia="宋体" w:cs="宋体"/>
                <w:color w:val="000000"/>
                <w:kern w:val="0"/>
                <w:sz w:val="24"/>
                <w:szCs w:val="24"/>
                <w:lang w:val="en-US" w:eastAsia="zh-CN"/>
              </w:rPr>
              <w:t>5</w:t>
            </w:r>
          </w:p>
        </w:tc>
        <w:tc>
          <w:tcPr>
            <w:tcW w:w="1885" w:type="pct"/>
            <w:tcBorders>
              <w:top w:val="nil"/>
              <w:left w:val="single" w:color="auto" w:sz="4" w:space="0"/>
              <w:bottom w:val="single" w:color="auto" w:sz="4" w:space="0"/>
              <w:right w:val="single" w:color="auto" w:sz="4" w:space="0"/>
            </w:tcBorders>
            <w:shd w:val="clear" w:color="auto" w:fill="auto"/>
            <w:noWrap/>
            <w:vAlign w:val="center"/>
          </w:tcPr>
          <w:p w14:paraId="5CF73F7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钢结构</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含护网、爬梯、栏杆</w:t>
            </w:r>
            <w:r>
              <w:rPr>
                <w:rFonts w:hint="eastAsia" w:ascii="宋体" w:hAnsi="宋体" w:eastAsia="宋体" w:cs="宋体"/>
                <w:color w:val="000000"/>
                <w:kern w:val="0"/>
                <w:sz w:val="24"/>
                <w:szCs w:val="24"/>
                <w:lang w:eastAsia="zh-CN"/>
              </w:rPr>
              <w:t>）</w:t>
            </w:r>
          </w:p>
        </w:tc>
        <w:tc>
          <w:tcPr>
            <w:tcW w:w="737" w:type="pct"/>
            <w:tcBorders>
              <w:top w:val="nil"/>
              <w:left w:val="single" w:color="auto" w:sz="4" w:space="0"/>
              <w:bottom w:val="single" w:color="auto" w:sz="4" w:space="0"/>
              <w:right w:val="single" w:color="auto" w:sz="4" w:space="0"/>
            </w:tcBorders>
            <w:shd w:val="clear" w:color="000000" w:fill="FFFFFF"/>
            <w:noWrap/>
            <w:vAlign w:val="center"/>
          </w:tcPr>
          <w:p w14:paraId="1A3B33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7" w:type="pct"/>
            <w:tcBorders>
              <w:top w:val="nil"/>
              <w:left w:val="single" w:color="auto" w:sz="4" w:space="0"/>
              <w:bottom w:val="single" w:color="auto" w:sz="4" w:space="0"/>
              <w:right w:val="single" w:color="auto" w:sz="4" w:space="0"/>
            </w:tcBorders>
            <w:shd w:val="clear" w:color="auto" w:fill="auto"/>
            <w:noWrap/>
            <w:vAlign w:val="center"/>
          </w:tcPr>
          <w:p w14:paraId="6145520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c>
          <w:tcPr>
            <w:tcW w:w="1147" w:type="pct"/>
            <w:tcBorders>
              <w:top w:val="nil"/>
              <w:left w:val="nil"/>
              <w:bottom w:val="single" w:color="auto" w:sz="4" w:space="0"/>
              <w:right w:val="single" w:color="auto" w:sz="4" w:space="0"/>
            </w:tcBorders>
            <w:shd w:val="clear" w:color="auto" w:fill="auto"/>
            <w:noWrap/>
            <w:vAlign w:val="center"/>
          </w:tcPr>
          <w:p w14:paraId="5A4588A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bl>
    <w:p w14:paraId="2F8289FC">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主要技术参数</w:t>
      </w:r>
    </w:p>
    <w:tbl>
      <w:tblPr>
        <w:tblStyle w:val="44"/>
        <w:tblW w:w="4998" w:type="pct"/>
        <w:jc w:val="center"/>
        <w:tblLayout w:type="autofit"/>
        <w:tblCellMar>
          <w:top w:w="0" w:type="dxa"/>
          <w:left w:w="0" w:type="dxa"/>
          <w:bottom w:w="0" w:type="dxa"/>
          <w:right w:w="0" w:type="dxa"/>
        </w:tblCellMar>
      </w:tblPr>
      <w:tblGrid>
        <w:gridCol w:w="884"/>
        <w:gridCol w:w="2773"/>
        <w:gridCol w:w="3464"/>
        <w:gridCol w:w="2323"/>
      </w:tblGrid>
      <w:tr w14:paraId="234162CD">
        <w:tblPrEx>
          <w:tblCellMar>
            <w:top w:w="0" w:type="dxa"/>
            <w:left w:w="0" w:type="dxa"/>
            <w:bottom w:w="0" w:type="dxa"/>
            <w:right w:w="0" w:type="dxa"/>
          </w:tblCellMar>
        </w:tblPrEx>
        <w:trPr>
          <w:trHeight w:val="439"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606150">
            <w:pPr>
              <w:keepNext w:val="0"/>
              <w:keepLines w:val="0"/>
              <w:pageBreakBefore w:val="0"/>
              <w:kinsoku/>
              <w:overflowPunct/>
              <w:topLinePunct w:val="0"/>
              <w:autoSpaceDE w:val="0"/>
              <w:autoSpaceDN w:val="0"/>
              <w:bidi w:val="0"/>
              <w:adjustRightInd w:val="0"/>
              <w:snapToGrid w:val="0"/>
              <w:spacing w:afterAutospacing="0" w:line="240" w:lineRule="auto"/>
              <w:ind w:left="187"/>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序号</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E67F45">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项目</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AF2E4B">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参数</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F75C6B">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备注</w:t>
            </w:r>
          </w:p>
        </w:tc>
      </w:tr>
      <w:tr w14:paraId="4233DA00">
        <w:tblPrEx>
          <w:tblCellMar>
            <w:top w:w="0" w:type="dxa"/>
            <w:left w:w="0" w:type="dxa"/>
            <w:bottom w:w="0" w:type="dxa"/>
            <w:right w:w="0" w:type="dxa"/>
          </w:tblCellMar>
        </w:tblPrEx>
        <w:trPr>
          <w:trHeight w:val="478"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3F3DE3">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ascii="宋体" w:hAnsi="宋体" w:eastAsia="宋体" w:cs="宋体"/>
                <w:color w:val="000000"/>
                <w:w w:val="102"/>
                <w:kern w:val="0"/>
                <w:sz w:val="24"/>
                <w:szCs w:val="24"/>
              </w:rPr>
              <w:t>1</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8ADE89">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用途</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144A6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底盘线装配输送</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E8469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68B1974D">
        <w:tblPrEx>
          <w:tblCellMar>
            <w:top w:w="0" w:type="dxa"/>
            <w:left w:w="0" w:type="dxa"/>
            <w:bottom w:w="0" w:type="dxa"/>
            <w:right w:w="0" w:type="dxa"/>
          </w:tblCellMar>
        </w:tblPrEx>
        <w:trPr>
          <w:trHeight w:val="480"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10AC73">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ascii="宋体" w:hAnsi="宋体" w:eastAsia="宋体" w:cs="宋体"/>
                <w:color w:val="000000"/>
                <w:w w:val="102"/>
                <w:kern w:val="0"/>
                <w:sz w:val="24"/>
                <w:szCs w:val="24"/>
              </w:rPr>
              <w:t>2</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6EFF5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输送机型号</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26F36E">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摩擦输送</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4831C9">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4F9F317C">
        <w:tblPrEx>
          <w:tblCellMar>
            <w:top w:w="0" w:type="dxa"/>
            <w:left w:w="0" w:type="dxa"/>
            <w:bottom w:w="0" w:type="dxa"/>
            <w:right w:w="0" w:type="dxa"/>
          </w:tblCellMar>
        </w:tblPrEx>
        <w:trPr>
          <w:trHeight w:val="565"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04E0F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3</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62B17C">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sz w:val="24"/>
                <w:szCs w:val="24"/>
              </w:rPr>
              <w:t>车身最大外形尺寸</w:t>
            </w:r>
            <w:r>
              <w:rPr>
                <w:rFonts w:hint="eastAsia" w:ascii="宋体" w:hAnsi="宋体" w:eastAsia="宋体" w:cs="宋体"/>
                <w:sz w:val="24"/>
                <w:szCs w:val="24"/>
                <w:lang w:eastAsia="zh-CN"/>
              </w:rPr>
              <w:t>（</w:t>
            </w:r>
            <w:r>
              <w:rPr>
                <w:rFonts w:ascii="宋体" w:hAnsi="宋体" w:eastAsia="宋体" w:cs="宋体"/>
                <w:sz w:val="24"/>
                <w:szCs w:val="24"/>
              </w:rPr>
              <w:t>mm</w:t>
            </w:r>
            <w:r>
              <w:rPr>
                <w:rFonts w:hint="eastAsia" w:ascii="宋体" w:hAnsi="宋体" w:eastAsia="宋体" w:cs="宋体"/>
                <w:sz w:val="24"/>
                <w:szCs w:val="24"/>
                <w:lang w:eastAsia="zh-CN"/>
              </w:rPr>
              <w:t>）</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04DA78">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以图纸会签为准</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090FE4">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695742A5">
        <w:tblPrEx>
          <w:tblCellMar>
            <w:top w:w="0" w:type="dxa"/>
            <w:left w:w="0" w:type="dxa"/>
            <w:bottom w:w="0" w:type="dxa"/>
            <w:right w:w="0" w:type="dxa"/>
          </w:tblCellMar>
        </w:tblPrEx>
        <w:trPr>
          <w:trHeight w:val="478"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B02A82">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4</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64631B">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运行方式</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F98806">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连续式</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F4DA09">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30B1D6BA">
        <w:tblPrEx>
          <w:tblCellMar>
            <w:top w:w="0" w:type="dxa"/>
            <w:left w:w="0" w:type="dxa"/>
            <w:bottom w:w="0" w:type="dxa"/>
            <w:right w:w="0" w:type="dxa"/>
          </w:tblCellMar>
        </w:tblPrEx>
        <w:trPr>
          <w:trHeight w:val="480"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A824F8">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5</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250A1E">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吊具形式</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A87D88E">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H型，前</w:t>
            </w:r>
            <w:r>
              <w:rPr>
                <w:rFonts w:hint="eastAsia" w:ascii="宋体" w:hAnsi="宋体" w:eastAsia="宋体" w:cs="宋体"/>
                <w:color w:val="000000"/>
                <w:kern w:val="0"/>
                <w:sz w:val="24"/>
                <w:szCs w:val="24"/>
                <w:lang w:val="en-US" w:eastAsia="zh-CN"/>
              </w:rPr>
              <w:t>托</w:t>
            </w:r>
            <w:r>
              <w:rPr>
                <w:rFonts w:hint="eastAsia" w:ascii="宋体" w:hAnsi="宋体" w:eastAsia="宋体" w:cs="宋体"/>
                <w:color w:val="000000"/>
                <w:kern w:val="0"/>
                <w:sz w:val="24"/>
                <w:szCs w:val="24"/>
              </w:rPr>
              <w:t>后托</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6CB119">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支点手动可调</w:t>
            </w:r>
          </w:p>
        </w:tc>
      </w:tr>
      <w:tr w14:paraId="316561B9">
        <w:tblPrEx>
          <w:tblCellMar>
            <w:top w:w="0" w:type="dxa"/>
            <w:left w:w="0" w:type="dxa"/>
            <w:bottom w:w="0" w:type="dxa"/>
            <w:right w:w="0" w:type="dxa"/>
          </w:tblCellMar>
        </w:tblPrEx>
        <w:trPr>
          <w:trHeight w:val="478"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AB9878">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6</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3817B6">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工位间距（㎜）</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84AA5">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72</w:t>
            </w:r>
            <w:r>
              <w:rPr>
                <w:rFonts w:ascii="宋体" w:hAnsi="宋体" w:eastAsia="宋体" w:cs="宋体"/>
                <w:color w:val="000000"/>
                <w:kern w:val="0"/>
                <w:sz w:val="24"/>
                <w:szCs w:val="24"/>
              </w:rPr>
              <w:t>00</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60E3D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04A74CF4">
        <w:tblPrEx>
          <w:tblCellMar>
            <w:top w:w="0" w:type="dxa"/>
            <w:left w:w="0" w:type="dxa"/>
            <w:bottom w:w="0" w:type="dxa"/>
            <w:right w:w="0" w:type="dxa"/>
          </w:tblCellMar>
        </w:tblPrEx>
        <w:trPr>
          <w:trHeight w:val="478"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76B2AC">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rPr>
              <w:t>7</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14BBA7">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工位数</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9D921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49B8BD">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797FA574">
        <w:tblPrEx>
          <w:tblCellMar>
            <w:top w:w="0" w:type="dxa"/>
            <w:left w:w="0" w:type="dxa"/>
            <w:bottom w:w="0" w:type="dxa"/>
            <w:right w:w="0" w:type="dxa"/>
          </w:tblCellMar>
        </w:tblPrEx>
        <w:trPr>
          <w:trHeight w:val="478"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4DF43C">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lang w:val="en-US" w:eastAsia="zh-CN"/>
              </w:rPr>
              <w:t>8</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B5F15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内饰转底盘方式</w:t>
            </w:r>
          </w:p>
        </w:tc>
        <w:tc>
          <w:tcPr>
            <w:tcW w:w="1833" w:type="pct"/>
            <w:tcBorders>
              <w:top w:val="single" w:color="000000" w:sz="4" w:space="0"/>
              <w:left w:val="single" w:color="000000" w:sz="4" w:space="0"/>
              <w:bottom w:val="single" w:color="auto" w:sz="4" w:space="0"/>
              <w:right w:val="single" w:color="000000" w:sz="4" w:space="0"/>
            </w:tcBorders>
            <w:shd w:val="clear" w:color="auto" w:fill="FFFFFF"/>
            <w:vAlign w:val="center"/>
          </w:tcPr>
          <w:p w14:paraId="2ABBE846">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四柱托臂升降机（托臂随行）</w:t>
            </w:r>
          </w:p>
        </w:tc>
        <w:tc>
          <w:tcPr>
            <w:tcW w:w="1229" w:type="pct"/>
            <w:tcBorders>
              <w:top w:val="single" w:color="000000" w:sz="4" w:space="0"/>
              <w:left w:val="single" w:color="000000" w:sz="4" w:space="0"/>
              <w:bottom w:val="single" w:color="auto" w:sz="4" w:space="0"/>
              <w:right w:val="single" w:color="000000" w:sz="4" w:space="0"/>
            </w:tcBorders>
            <w:shd w:val="clear" w:color="auto" w:fill="FFFFFF"/>
            <w:vAlign w:val="center"/>
          </w:tcPr>
          <w:p w14:paraId="5EA6300C">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58C62C4B">
        <w:tblPrEx>
          <w:tblCellMar>
            <w:top w:w="0" w:type="dxa"/>
            <w:left w:w="0" w:type="dxa"/>
            <w:bottom w:w="0" w:type="dxa"/>
            <w:right w:w="0" w:type="dxa"/>
          </w:tblCellMar>
        </w:tblPrEx>
        <w:trPr>
          <w:trHeight w:val="612"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E5EF91">
            <w:pPr>
              <w:keepNext w:val="0"/>
              <w:keepLines w:val="0"/>
              <w:pageBreakBefore w:val="0"/>
              <w:kinsoku/>
              <w:overflowPunct/>
              <w:topLinePunct w:val="0"/>
              <w:autoSpaceDE w:val="0"/>
              <w:autoSpaceDN w:val="0"/>
              <w:bidi w:val="0"/>
              <w:adjustRightInd w:val="0"/>
              <w:snapToGrid w:val="0"/>
              <w:spacing w:afterAutospacing="0" w:line="240" w:lineRule="auto"/>
              <w:ind w:left="0"/>
              <w:jc w:val="center"/>
              <w:rPr>
                <w:rFonts w:hint="eastAsia" w:ascii="宋体" w:hAnsi="宋体" w:eastAsia="宋体" w:cs="宋体"/>
                <w:color w:val="000000"/>
                <w:w w:val="102"/>
                <w:kern w:val="0"/>
                <w:sz w:val="24"/>
                <w:szCs w:val="24"/>
                <w:lang w:eastAsia="zh-CN"/>
              </w:rPr>
            </w:pPr>
            <w:r>
              <w:rPr>
                <w:rFonts w:hint="eastAsia" w:ascii="宋体" w:hAnsi="宋体" w:eastAsia="宋体" w:cs="宋体"/>
                <w:color w:val="000000"/>
                <w:w w:val="102"/>
                <w:kern w:val="0"/>
                <w:sz w:val="24"/>
                <w:szCs w:val="24"/>
                <w:lang w:val="en-US" w:eastAsia="zh-CN"/>
              </w:rPr>
              <w:t>9</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C68664">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kern w:val="0"/>
                <w:sz w:val="24"/>
                <w:szCs w:val="24"/>
              </w:rPr>
              <w:t>底盘转完成线方式</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1F251E">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四柱托臂升降机</w:t>
            </w:r>
            <w:r>
              <w:rPr>
                <w:rFonts w:ascii="宋体" w:hAnsi="宋体" w:eastAsia="宋体" w:cs="宋体"/>
                <w:color w:val="000000"/>
                <w:kern w:val="0"/>
                <w:sz w:val="24"/>
                <w:szCs w:val="24"/>
              </w:rPr>
              <w:t>+随行侧顶机</w:t>
            </w:r>
          </w:p>
        </w:tc>
        <w:tc>
          <w:tcPr>
            <w:tcW w:w="122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4B5D71">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r w14:paraId="1BB6B562">
        <w:tblPrEx>
          <w:tblCellMar>
            <w:top w:w="0" w:type="dxa"/>
            <w:left w:w="0" w:type="dxa"/>
            <w:bottom w:w="0" w:type="dxa"/>
            <w:right w:w="0" w:type="dxa"/>
          </w:tblCellMar>
        </w:tblPrEx>
        <w:trPr>
          <w:trHeight w:val="478" w:hRule="exact"/>
          <w:jc w:val="center"/>
        </w:trPr>
        <w:tc>
          <w:tcPr>
            <w:tcW w:w="46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47D840">
            <w:pPr>
              <w:keepNext w:val="0"/>
              <w:keepLines w:val="0"/>
              <w:pageBreakBefore w:val="0"/>
              <w:kinsoku/>
              <w:overflowPunct/>
              <w:topLinePunct w:val="0"/>
              <w:autoSpaceDE w:val="0"/>
              <w:autoSpaceDN w:val="0"/>
              <w:bidi w:val="0"/>
              <w:adjustRightInd w:val="0"/>
              <w:snapToGrid w:val="0"/>
              <w:spacing w:afterAutospacing="0" w:line="240" w:lineRule="auto"/>
              <w:ind w:left="0"/>
              <w:jc w:val="center"/>
              <w:rPr>
                <w:rFonts w:ascii="宋体" w:hAnsi="宋体" w:eastAsia="宋体" w:cs="宋体"/>
                <w:color w:val="000000"/>
                <w:w w:val="102"/>
                <w:kern w:val="0"/>
                <w:sz w:val="24"/>
                <w:szCs w:val="24"/>
              </w:rPr>
            </w:pPr>
            <w:r>
              <w:rPr>
                <w:rFonts w:hint="eastAsia" w:ascii="宋体" w:hAnsi="宋体" w:eastAsia="宋体" w:cs="宋体"/>
                <w:color w:val="000000"/>
                <w:w w:val="102"/>
                <w:kern w:val="0"/>
                <w:sz w:val="24"/>
                <w:szCs w:val="24"/>
                <w:lang w:val="en-US" w:eastAsia="zh-CN"/>
              </w:rPr>
              <w:t>10</w:t>
            </w:r>
          </w:p>
        </w:tc>
        <w:tc>
          <w:tcPr>
            <w:tcW w:w="14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769919">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工艺运行速度</w:t>
            </w:r>
          </w:p>
        </w:tc>
        <w:tc>
          <w:tcPr>
            <w:tcW w:w="183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522876">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highlight w:val="none"/>
              </w:rPr>
              <w:t>0.96</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1.8m/min</w:t>
            </w:r>
          </w:p>
        </w:tc>
        <w:tc>
          <w:tcPr>
            <w:tcW w:w="1229" w:type="pct"/>
            <w:tcBorders>
              <w:top w:val="single" w:color="000000" w:sz="4" w:space="0"/>
              <w:left w:val="single" w:color="000000" w:sz="4" w:space="0"/>
              <w:bottom w:val="single" w:color="auto" w:sz="4" w:space="0"/>
              <w:right w:val="single" w:color="000000" w:sz="4" w:space="0"/>
            </w:tcBorders>
            <w:shd w:val="clear" w:color="auto" w:fill="FFFFFF"/>
            <w:vAlign w:val="center"/>
          </w:tcPr>
          <w:p w14:paraId="671C9897">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color w:val="000000"/>
                <w:kern w:val="0"/>
                <w:sz w:val="24"/>
                <w:szCs w:val="24"/>
              </w:rPr>
            </w:pPr>
          </w:p>
        </w:tc>
      </w:tr>
    </w:tbl>
    <w:p w14:paraId="0C29799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bookmarkStart w:id="315" w:name="OLE_LINK43"/>
      <w:r>
        <w:rPr>
          <w:rFonts w:ascii="Times New Roman" w:hAnsi="Times New Roman" w:eastAsia="宋体" w:cs="Times New Roman"/>
          <w:sz w:val="24"/>
        </w:rPr>
        <w:t>注：以上仅作参考，具体以设计会签为准。</w:t>
      </w:r>
    </w:p>
    <w:bookmarkEnd w:id="315"/>
    <w:p w14:paraId="1903F8FC">
      <w:pPr>
        <w:keepNext w:val="0"/>
        <w:keepLines w:val="0"/>
        <w:pageBreakBefore w:val="0"/>
        <w:widowControl w:val="0"/>
        <w:numPr>
          <w:ilvl w:val="0"/>
          <w:numId w:val="461"/>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bookmarkStart w:id="316" w:name="_Toc13681271"/>
      <w:r>
        <w:rPr>
          <w:rFonts w:ascii="Times New Roman" w:hAnsi="Times New Roman" w:eastAsia="宋体" w:cs="Times New Roman"/>
          <w:b/>
          <w:sz w:val="24"/>
        </w:rPr>
        <w:t>设备</w:t>
      </w:r>
      <w:bookmarkEnd w:id="316"/>
      <w:r>
        <w:rPr>
          <w:rFonts w:ascii="Times New Roman" w:hAnsi="Times New Roman" w:eastAsia="宋体" w:cs="Times New Roman"/>
          <w:b/>
          <w:sz w:val="24"/>
        </w:rPr>
        <w:t>详细技术说明</w:t>
      </w:r>
    </w:p>
    <w:p w14:paraId="2A780988">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jc w:val="both"/>
        <w:textAlignment w:val="auto"/>
        <w:rPr>
          <w:rFonts w:ascii="Times New Roman" w:hAnsi="Times New Roman" w:eastAsia="宋体" w:cs="Times New Roman"/>
          <w:b w:val="0"/>
          <w:sz w:val="24"/>
        </w:rPr>
      </w:pPr>
      <w:r>
        <w:rPr>
          <w:rFonts w:ascii="Times New Roman" w:hAnsi="Times New Roman" w:eastAsia="宋体" w:cs="Times New Roman"/>
          <w:sz w:val="24"/>
        </w:rPr>
        <w:t>底盘空中摩擦输送机用于车身底盘装配作业，钢结构采用地面立柱。</w:t>
      </w:r>
    </w:p>
    <w:p w14:paraId="792BEFD1">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轨道</w:t>
      </w:r>
    </w:p>
    <w:p w14:paraId="0F15330F">
      <w:pPr>
        <w:keepNext w:val="0"/>
        <w:keepLines w:val="0"/>
        <w:pageBreakBefore w:val="0"/>
        <w:kinsoku/>
        <w:overflowPunct/>
        <w:topLinePunct w:val="0"/>
        <w:bidi w:val="0"/>
        <w:adjustRightInd w:val="0"/>
        <w:snapToGrid w:val="0"/>
        <w:spacing w:afterAutospacing="0" w:line="360" w:lineRule="auto"/>
        <w:jc w:val="center"/>
        <w:rPr>
          <w:rFonts w:ascii="Times New Roman" w:hAnsi="Times New Roman" w:eastAsia="宋体" w:cs="Times New Roman"/>
          <w:color w:val="000000"/>
          <w:sz w:val="24"/>
          <w:szCs w:val="24"/>
        </w:rPr>
      </w:pPr>
      <w:r>
        <w:rPr>
          <w:rFonts w:ascii="宋体" w:hAnsi="宋体" w:eastAsia="宋体" w:cs="Times New Roman"/>
          <w:sz w:val="24"/>
          <w:szCs w:val="20"/>
        </w:rPr>
        <w:drawing>
          <wp:inline distT="0" distB="0" distL="0" distR="0">
            <wp:extent cx="3709670" cy="1150620"/>
            <wp:effectExtent l="0" t="0" r="8890" b="762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3709670" cy="1150620"/>
                    </a:xfrm>
                    <a:prstGeom prst="rect">
                      <a:avLst/>
                    </a:prstGeom>
                  </pic:spPr>
                </pic:pic>
              </a:graphicData>
            </a:graphic>
          </wp:inline>
        </w:drawing>
      </w:r>
    </w:p>
    <w:p w14:paraId="308A1880">
      <w:pPr>
        <w:keepNext w:val="0"/>
        <w:keepLines w:val="0"/>
        <w:pageBreakBefore w:val="0"/>
        <w:widowControl w:val="0"/>
        <w:numPr>
          <w:ilvl w:val="0"/>
          <w:numId w:val="4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输送段轨道采用H型钢（16Mn），通过可调吊座与辅梁相连。</w:t>
      </w:r>
    </w:p>
    <w:p w14:paraId="540EF3EF">
      <w:pPr>
        <w:keepNext w:val="0"/>
        <w:keepLines w:val="0"/>
        <w:pageBreakBefore w:val="0"/>
        <w:widowControl w:val="0"/>
        <w:numPr>
          <w:ilvl w:val="0"/>
          <w:numId w:val="4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工艺段轨道为组合结构，在主轨两侧设有并行2条平衡轨，保证装配作业时吊具平稳，平衡轨延伸到坡段顶部。</w:t>
      </w:r>
    </w:p>
    <w:p w14:paraId="570994F9">
      <w:pPr>
        <w:keepNext w:val="0"/>
        <w:keepLines w:val="0"/>
        <w:pageBreakBefore w:val="0"/>
        <w:widowControl w:val="0"/>
        <w:numPr>
          <w:ilvl w:val="0"/>
          <w:numId w:val="4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轨道安装后，表面光滑，所有接头打磨平整，安装精度达到轨道纵向直线度误差每米小于1.5mm，全长不超过5mm，轨道端面对轨道纵向中心线的垂直度误差小</w:t>
      </w:r>
      <w:r>
        <w:rPr>
          <w:rFonts w:hint="eastAsia" w:ascii="Times New Roman" w:hAnsi="Times New Roman" w:eastAsia="宋体" w:cs="Times New Roman"/>
          <w:sz w:val="24"/>
          <w:lang w:val="en-US" w:eastAsia="zh-CN"/>
        </w:rPr>
        <w:t>于</w:t>
      </w:r>
      <w:r>
        <w:rPr>
          <w:rFonts w:ascii="Times New Roman" w:hAnsi="Times New Roman" w:eastAsia="宋体" w:cs="Times New Roman"/>
          <w:sz w:val="24"/>
        </w:rPr>
        <w:t>1.5mm，水平轨道的水平度允差不应大于1/1000，全长不应大于5mm，轨道接头对接平齐，小车运行时无卡阻和明显振动。</w:t>
      </w:r>
    </w:p>
    <w:p w14:paraId="6FA2C1A4">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车组吊具</w:t>
      </w:r>
    </w:p>
    <w:p w14:paraId="36961B1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车组吊具由摩擦车组、吊具框架、可调支撑臂、吊具本体组成。</w:t>
      </w:r>
    </w:p>
    <w:p w14:paraId="3DE483AD">
      <w:pPr>
        <w:keepNext w:val="0"/>
        <w:keepLines w:val="0"/>
        <w:pageBreakBefore w:val="0"/>
        <w:widowControl w:val="0"/>
        <w:kinsoku/>
        <w:overflowPunct/>
        <w:topLinePunct w:val="0"/>
        <w:bidi w:val="0"/>
        <w:adjustRightInd w:val="0"/>
        <w:snapToGrid w:val="0"/>
        <w:spacing w:afterAutospacing="0"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车组</w:t>
      </w:r>
      <w:r>
        <w:rPr>
          <w:rFonts w:hint="eastAsia" w:cs="Times New Roman"/>
          <w:sz w:val="24"/>
          <w:lang w:eastAsia="zh-CN"/>
        </w:rPr>
        <w:t>：</w:t>
      </w:r>
    </w:p>
    <w:p w14:paraId="578DFB54">
      <w:pPr>
        <w:keepNext w:val="0"/>
        <w:keepLines w:val="0"/>
        <w:pageBreakBefore w:val="0"/>
        <w:kinsoku/>
        <w:overflowPunct/>
        <w:topLinePunct w:val="0"/>
        <w:bidi w:val="0"/>
        <w:adjustRightInd w:val="0"/>
        <w:snapToGrid w:val="0"/>
        <w:spacing w:afterAutospacing="0" w:line="360" w:lineRule="auto"/>
        <w:ind w:left="360"/>
        <w:jc w:val="center"/>
        <w:rPr>
          <w:rFonts w:ascii="Times New Roman" w:hAnsi="Times New Roman" w:eastAsia="宋体" w:cs="Times New Roman"/>
          <w:sz w:val="24"/>
          <w:szCs w:val="20"/>
        </w:rPr>
      </w:pPr>
      <w:r>
        <w:rPr>
          <w:rFonts w:ascii="Times New Roman" w:hAnsi="Times New Roman" w:eastAsia="宋体" w:cs="Times New Roman"/>
          <w:szCs w:val="20"/>
        </w:rPr>
        <w:drawing>
          <wp:inline distT="0" distB="0" distL="0" distR="0">
            <wp:extent cx="5908040" cy="1062355"/>
            <wp:effectExtent l="0" t="0" r="508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0"/>
                    <a:stretch>
                      <a:fillRect/>
                    </a:stretch>
                  </pic:blipFill>
                  <pic:spPr>
                    <a:xfrm>
                      <a:off x="0" y="0"/>
                      <a:ext cx="5908040" cy="1062355"/>
                    </a:xfrm>
                    <a:prstGeom prst="rect">
                      <a:avLst/>
                    </a:prstGeom>
                  </pic:spPr>
                </pic:pic>
              </a:graphicData>
            </a:graphic>
          </wp:inline>
        </w:drawing>
      </w:r>
    </w:p>
    <w:p w14:paraId="0EF46A00">
      <w:pPr>
        <w:keepNext w:val="0"/>
        <w:keepLines w:val="0"/>
        <w:pageBreakBefore w:val="0"/>
        <w:widowControl w:val="0"/>
        <w:numPr>
          <w:ilvl w:val="0"/>
          <w:numId w:val="4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底盘线采用6车组形式，车组由一台前车、四台中车、一台后车及与之相连的摩擦杆组成。</w:t>
      </w:r>
    </w:p>
    <w:p w14:paraId="664C97AC">
      <w:pPr>
        <w:keepNext w:val="0"/>
        <w:keepLines w:val="0"/>
        <w:pageBreakBefore w:val="0"/>
        <w:widowControl w:val="0"/>
        <w:numPr>
          <w:ilvl w:val="0"/>
          <w:numId w:val="4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底盘线车组长度为7200mm。</w:t>
      </w:r>
    </w:p>
    <w:p w14:paraId="32C93D3B">
      <w:pPr>
        <w:keepNext w:val="0"/>
        <w:keepLines w:val="0"/>
        <w:pageBreakBefore w:val="0"/>
        <w:widowControl w:val="0"/>
        <w:numPr>
          <w:ilvl w:val="0"/>
          <w:numId w:val="4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小车由小车体、走轮、导轮等组成。</w:t>
      </w:r>
    </w:p>
    <w:p w14:paraId="612A4C7F">
      <w:pPr>
        <w:keepNext w:val="0"/>
        <w:keepLines w:val="0"/>
        <w:pageBreakBefore w:val="0"/>
        <w:widowControl w:val="0"/>
        <w:numPr>
          <w:ilvl w:val="0"/>
          <w:numId w:val="4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连杆用于连接各小车，驱动单元摩擦轮通过摩擦连杆侧面驱动车组前进，为保证车组能平稳地运行，摩擦杆在专用卡具上</w:t>
      </w:r>
      <w:r>
        <w:rPr>
          <w:rFonts w:hint="eastAsia" w:ascii="Times New Roman" w:hAnsi="Times New Roman" w:eastAsia="宋体" w:cs="Times New Roman"/>
          <w:sz w:val="24"/>
          <w:lang w:eastAsia="zh-CN"/>
        </w:rPr>
        <w:t>制作</w:t>
      </w:r>
      <w:r>
        <w:rPr>
          <w:rFonts w:ascii="Times New Roman" w:hAnsi="Times New Roman" w:eastAsia="宋体" w:cs="Times New Roman"/>
          <w:sz w:val="24"/>
        </w:rPr>
        <w:t>。</w:t>
      </w:r>
    </w:p>
    <w:p w14:paraId="74360C5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val="en-US" w:eastAsia="zh-CN"/>
        </w:rPr>
      </w:pPr>
      <w:r>
        <w:rPr>
          <w:rFonts w:ascii="Times New Roman" w:hAnsi="Times New Roman" w:eastAsia="宋体" w:cs="Times New Roman"/>
          <w:sz w:val="24"/>
        </w:rPr>
        <w:t>吊具</w:t>
      </w:r>
      <w:r>
        <w:rPr>
          <w:rFonts w:hint="eastAsia" w:cs="Times New Roman"/>
          <w:sz w:val="24"/>
          <w:lang w:eastAsia="zh-CN"/>
        </w:rPr>
        <w:t>：</w:t>
      </w:r>
    </w:p>
    <w:p w14:paraId="59EDE527">
      <w:pPr>
        <w:keepNext w:val="0"/>
        <w:keepLines w:val="0"/>
        <w:pageBreakBefore w:val="0"/>
        <w:kinsoku/>
        <w:overflowPunct/>
        <w:topLinePunct w:val="0"/>
        <w:bidi w:val="0"/>
        <w:adjustRightInd w:val="0"/>
        <w:snapToGrid w:val="0"/>
        <w:spacing w:afterAutospacing="0" w:line="360" w:lineRule="auto"/>
        <w:ind w:firstLine="420" w:firstLineChars="200"/>
        <w:jc w:val="center"/>
        <w:rPr>
          <w:rFonts w:ascii="Times New Roman" w:hAnsi="Times New Roman" w:eastAsia="宋体" w:cs="Times New Roman"/>
          <w:sz w:val="24"/>
          <w:szCs w:val="20"/>
        </w:rPr>
      </w:pPr>
      <w:r>
        <w:rPr>
          <w:rFonts w:ascii="Times New Roman" w:hAnsi="Times New Roman" w:eastAsia="宋体" w:cs="Times New Roman"/>
          <w:szCs w:val="20"/>
        </w:rPr>
        <w:drawing>
          <wp:inline distT="0" distB="0" distL="0" distR="0">
            <wp:extent cx="4001135" cy="2605405"/>
            <wp:effectExtent l="0" t="0" r="6985" b="635"/>
            <wp:docPr id="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21"/>
                    <a:stretch>
                      <a:fillRect/>
                    </a:stretch>
                  </pic:blipFill>
                  <pic:spPr>
                    <a:xfrm>
                      <a:off x="0" y="0"/>
                      <a:ext cx="4007497" cy="2605405"/>
                    </a:xfrm>
                    <a:prstGeom prst="rect">
                      <a:avLst/>
                    </a:prstGeom>
                  </pic:spPr>
                </pic:pic>
              </a:graphicData>
            </a:graphic>
          </wp:inline>
        </w:drawing>
      </w:r>
    </w:p>
    <w:p w14:paraId="568855A0">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底盘吊具用于底盘车身的承载和转运系统，满足底盘线装配工艺要求，在整个转载和转运过程中都满足自动化要求，吊具的设计需要经过工艺验证核算并提交报告给</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后会签才能进行生产。</w:t>
      </w:r>
    </w:p>
    <w:p w14:paraId="79A03A53">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主体结构采用方管焊接而成</w:t>
      </w:r>
      <w:r>
        <w:rPr>
          <w:rFonts w:hint="eastAsia" w:ascii="Times New Roman" w:hAnsi="Times New Roman" w:eastAsia="宋体" w:cs="Times New Roman"/>
          <w:sz w:val="24"/>
          <w:lang w:eastAsia="zh-CN"/>
        </w:rPr>
        <w:t>，</w:t>
      </w:r>
      <w:r>
        <w:rPr>
          <w:rFonts w:ascii="Times New Roman" w:hAnsi="Times New Roman" w:eastAsia="宋体" w:cs="Times New Roman"/>
          <w:sz w:val="24"/>
        </w:rPr>
        <w:t>不带自动平衡装置的结构形式。为防止装配时吊具产生晃动，在装配段设有吊具扶正轨，吊机不得有尖角和锐角等容易对人、车体、部件造成伤害的构造，吊具框架与行走小车之间要求有二次保护。</w:t>
      </w:r>
    </w:p>
    <w:p w14:paraId="0E08860F">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底盘吊具设计时需完全考虑整车装配工艺，吊具结构形式需确保所有在底盘线装配的零部件不受影响，保证前、后盖打开的整车满足在全线通过的要求。</w:t>
      </w:r>
    </w:p>
    <w:p w14:paraId="08F756C9">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底盘吊具具备X、Y向可调功能，满足承载式与非承载式车型不同轴距的共线生产，本方案采用人工识别和调整（预留自动识别及自动切换的空间及工位）。</w:t>
      </w:r>
    </w:p>
    <w:p w14:paraId="1DB0CD7B">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采用H型可张开式吊具，在吊具设计时需考虑车身工艺部件的安装。</w:t>
      </w:r>
    </w:p>
    <w:p w14:paraId="33DE6C38">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吊具采用吊臂可打开方式进行车身转接，要求吊具开启灵活、动作可靠。</w:t>
      </w:r>
    </w:p>
    <w:p w14:paraId="545DCB97">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车身在吊具上的定位采用聚氨酯托块结合方式，</w:t>
      </w:r>
      <w:r>
        <w:rPr>
          <w:rFonts w:hint="eastAsia" w:ascii="Times New Roman" w:hAnsi="Times New Roman" w:eastAsia="宋体" w:cs="Times New Roman"/>
          <w:sz w:val="24"/>
          <w:lang w:eastAsia="zh-CN"/>
        </w:rPr>
        <w:t>抱</w:t>
      </w:r>
      <w:r>
        <w:rPr>
          <w:rFonts w:hint="eastAsia" w:ascii="Times New Roman" w:hAnsi="Times New Roman" w:eastAsia="宋体" w:cs="Times New Roman"/>
          <w:sz w:val="24"/>
          <w:highlight w:val="none"/>
        </w:rPr>
        <w:t>具具有防拉脱功能</w:t>
      </w:r>
      <w:r>
        <w:rPr>
          <w:rFonts w:hint="eastAsia" w:ascii="Times New Roman" w:hAnsi="Times New Roman" w:eastAsia="宋体" w:cs="Times New Roman"/>
          <w:sz w:val="24"/>
          <w:highlight w:val="none"/>
          <w:lang w:eastAsia="zh-CN"/>
        </w:rPr>
        <w:t>，</w:t>
      </w:r>
      <w:r>
        <w:rPr>
          <w:rFonts w:ascii="Times New Roman" w:hAnsi="Times New Roman" w:eastAsia="宋体" w:cs="Times New Roman"/>
          <w:sz w:val="24"/>
        </w:rPr>
        <w:t>吊具在正常冲击下车身不允许出现滑动现象，吊具</w:t>
      </w:r>
      <w:r>
        <w:rPr>
          <w:rFonts w:hint="eastAsia" w:ascii="Times New Roman" w:hAnsi="Times New Roman" w:eastAsia="宋体" w:cs="Times New Roman"/>
          <w:sz w:val="24"/>
          <w:lang w:eastAsia="zh-CN"/>
        </w:rPr>
        <w:t>支撑点</w:t>
      </w:r>
      <w:r>
        <w:rPr>
          <w:rFonts w:ascii="Times New Roman" w:hAnsi="Times New Roman" w:eastAsia="宋体" w:cs="Times New Roman"/>
          <w:sz w:val="24"/>
        </w:rPr>
        <w:t>定位精度在±3mm。</w:t>
      </w:r>
    </w:p>
    <w:p w14:paraId="133A5EB9">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吊具定位方便改造，满足后期车辆生产</w:t>
      </w:r>
      <w:r>
        <w:rPr>
          <w:rFonts w:hint="eastAsia" w:ascii="Times New Roman" w:hAnsi="Times New Roman" w:eastAsia="宋体" w:cs="Times New Roman"/>
          <w:sz w:val="24"/>
          <w:lang w:val="en-US" w:eastAsia="zh-CN"/>
        </w:rPr>
        <w:t>使</w:t>
      </w:r>
      <w:r>
        <w:rPr>
          <w:rFonts w:ascii="Times New Roman" w:hAnsi="Times New Roman" w:eastAsia="宋体" w:cs="Times New Roman"/>
          <w:sz w:val="24"/>
        </w:rPr>
        <w:t>用。</w:t>
      </w:r>
    </w:p>
    <w:p w14:paraId="164B4956">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w:t>
      </w:r>
      <w:r>
        <w:rPr>
          <w:rFonts w:hint="eastAsia" w:ascii="Times New Roman" w:hAnsi="Times New Roman" w:eastAsia="宋体" w:cs="Times New Roman"/>
          <w:sz w:val="24"/>
          <w:lang w:eastAsia="zh-CN"/>
        </w:rPr>
        <w:t>刚度</w:t>
      </w:r>
      <w:r>
        <w:rPr>
          <w:rFonts w:ascii="Times New Roman" w:hAnsi="Times New Roman" w:eastAsia="宋体" w:cs="Times New Roman"/>
          <w:sz w:val="24"/>
        </w:rPr>
        <w:t>及强度满足使用要求，各受力点应进行加固。</w:t>
      </w:r>
    </w:p>
    <w:p w14:paraId="3DC85ED5">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工艺段运行平稳，无摆动，吊具的摩擦杆两端设有挂钩，通过线体上布置的脱钩装置实现吊具之间脱钩。</w:t>
      </w:r>
    </w:p>
    <w:p w14:paraId="70F03156">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17" w:name="_Hlk496197597"/>
      <w:r>
        <w:rPr>
          <w:rFonts w:ascii="Times New Roman" w:hAnsi="Times New Roman" w:eastAsia="宋体" w:cs="Times New Roman"/>
          <w:sz w:val="24"/>
        </w:rPr>
        <w:t>摩擦杆的材质和硬度根据摩擦轮选型进行设计，避免磨损严重或变形</w:t>
      </w:r>
      <w:bookmarkEnd w:id="317"/>
      <w:r>
        <w:rPr>
          <w:rFonts w:ascii="Times New Roman" w:hAnsi="Times New Roman" w:eastAsia="宋体" w:cs="Times New Roman"/>
          <w:sz w:val="24"/>
        </w:rPr>
        <w:t>。</w:t>
      </w:r>
    </w:p>
    <w:p w14:paraId="0E2B0D16">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底盘吊具的设计应保证不与底盘线装配内容及工艺设备（如轮胎拧紧机、AGV） 干涉。</w:t>
      </w:r>
    </w:p>
    <w:p w14:paraId="536AF3B1">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所有吊具都应安装安全钢丝绳或安全链，为防止员工作业时受到伤害，吊具的底部靠近产品的区域需包裹软性防护套。</w:t>
      </w:r>
    </w:p>
    <w:p w14:paraId="42FD91F7">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吊具上与车身接触的支撑托块需要采用</w:t>
      </w:r>
      <w:r>
        <w:rPr>
          <w:rFonts w:hint="eastAsia" w:ascii="Times New Roman" w:hAnsi="Times New Roman" w:eastAsia="宋体" w:cs="Times New Roman"/>
          <w:sz w:val="24"/>
          <w:lang w:eastAsia="zh-CN"/>
        </w:rPr>
        <w:t>聚氨酯</w:t>
      </w:r>
      <w:r>
        <w:rPr>
          <w:rFonts w:ascii="Times New Roman" w:hAnsi="Times New Roman" w:eastAsia="宋体" w:cs="Times New Roman"/>
          <w:sz w:val="24"/>
        </w:rPr>
        <w:t>材料，避免划伤车身，材质硬度符合要求，不能被车身裙边压坏，提供聚氨酯块的特性参数，吊具两边的支撑面水平位置精度保证±2mm。</w:t>
      </w:r>
    </w:p>
    <w:p w14:paraId="69F1E58B">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吊具主体部分设置明显编号，以便于管理。</w:t>
      </w:r>
    </w:p>
    <w:p w14:paraId="3B5A4A5F">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吊具与车组之间有安全钢丝绳，放置吊具承载销断裂造成吊具坠落。</w:t>
      </w:r>
    </w:p>
    <w:p w14:paraId="7FAC600B">
      <w:pPr>
        <w:keepNext w:val="0"/>
        <w:keepLines w:val="0"/>
        <w:pageBreakBefore w:val="0"/>
        <w:widowControl w:val="0"/>
        <w:numPr>
          <w:ilvl w:val="0"/>
          <w:numId w:val="4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吊具结构简单、轻便，整体进行钝角处理，前后支撑面水平精度在±2mm以内，定位销仅起定位作用，支撑单独制作聚氨酯托块支撑车身，支撑于吊臂采用螺栓连接，前后可调。</w:t>
      </w:r>
    </w:p>
    <w:p w14:paraId="4703EA7D">
      <w:pPr>
        <w:keepNext w:val="0"/>
        <w:keepLines w:val="0"/>
        <w:pageBreakBefore w:val="0"/>
        <w:widowControl w:val="0"/>
        <w:numPr>
          <w:ilvl w:val="0"/>
          <w:numId w:val="462"/>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color w:val="000000"/>
          <w:sz w:val="24"/>
        </w:rPr>
      </w:pPr>
      <w:r>
        <w:rPr>
          <w:rFonts w:ascii="Times New Roman" w:hAnsi="Times New Roman" w:eastAsia="宋体" w:cs="Times New Roman"/>
          <w:color w:val="000000"/>
          <w:sz w:val="24"/>
        </w:rPr>
        <w:t>双驱动装置</w:t>
      </w:r>
    </w:p>
    <w:p w14:paraId="2B50F6D1">
      <w:pPr>
        <w:keepNext w:val="0"/>
        <w:keepLines w:val="0"/>
        <w:pageBreakBefore w:val="0"/>
        <w:widowControl/>
        <w:kinsoku/>
        <w:overflowPunct/>
        <w:topLinePunct w:val="0"/>
        <w:autoSpaceDE w:val="0"/>
        <w:autoSpaceDN w:val="0"/>
        <w:bidi w:val="0"/>
        <w:adjustRightInd w:val="0"/>
        <w:snapToGrid w:val="0"/>
        <w:spacing w:afterAutospacing="0" w:line="360" w:lineRule="auto"/>
        <w:ind w:left="0" w:leftChars="0" w:firstLine="0"/>
        <w:jc w:val="center"/>
        <w:rPr>
          <w:rFonts w:ascii="宋体" w:hAnsi="宋体" w:eastAsia="宋体" w:cs="Arial"/>
          <w:kern w:val="0"/>
          <w:sz w:val="24"/>
          <w:szCs w:val="24"/>
          <w:lang w:val="en-US" w:eastAsia="zh-CN" w:bidi="ar-SA"/>
        </w:rPr>
      </w:pPr>
      <w:r>
        <w:rPr>
          <w:rFonts w:hint="eastAsia" w:ascii="宋体" w:hAnsi="宋体" w:eastAsia="宋体" w:cs="Arial"/>
          <w:kern w:val="0"/>
          <w:sz w:val="24"/>
          <w:szCs w:val="24"/>
          <w:lang w:val="en-US" w:eastAsia="zh-CN" w:bidi="ar-SA"/>
        </w:rPr>
        <w:drawing>
          <wp:inline distT="0" distB="0" distL="0" distR="0">
            <wp:extent cx="5265420" cy="1981835"/>
            <wp:effectExtent l="0" t="0" r="1905" b="8890"/>
            <wp:docPr id="1902" name="图片 1902" descr="HOH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 name="图片 1902" descr="HOH5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5265420" cy="1981835"/>
                    </a:xfrm>
                    <a:prstGeom prst="rect">
                      <a:avLst/>
                    </a:prstGeom>
                    <a:noFill/>
                    <a:ln>
                      <a:noFill/>
                    </a:ln>
                  </pic:spPr>
                </pic:pic>
              </a:graphicData>
            </a:graphic>
          </wp:inline>
        </w:drawing>
      </w:r>
    </w:p>
    <w:p w14:paraId="485FC437">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主驱动装置为对称双驱动，用于底盘装配线工艺段多组车组的驱动，由减速电机、摩擦轮、浮动框架、固定框架组成，减速电机为</w:t>
      </w:r>
      <w:r>
        <w:rPr>
          <w:rFonts w:hint="eastAsia" w:asciiTheme="minorEastAsia" w:hAnsiTheme="minorEastAsia" w:eastAsiaTheme="minorEastAsia" w:cstheme="minorEastAsia"/>
          <w:kern w:val="0"/>
          <w:sz w:val="24"/>
          <w:szCs w:val="24"/>
          <w:highlight w:val="none"/>
        </w:rPr>
        <w:t>SEW/AB/西门子</w:t>
      </w:r>
      <w:r>
        <w:rPr>
          <w:rFonts w:ascii="Times New Roman" w:hAnsi="Times New Roman" w:eastAsia="宋体" w:cs="Times New Roman"/>
          <w:sz w:val="24"/>
        </w:rPr>
        <w:t>系列减速机，摩擦轮为铸钢轮外敷聚氨酯，聚氨酯材料采用进口材料，摩擦轮与减速机采用胀套或平键连接，连接后固定在浮动框架上，浮动框架经铰接轴与固定框架连接，运行时，固定于浮动框架的摩擦轮在气缸的作用下紧压摩擦梁侧面，驱动吊具前行；固定框架与轨道及吊挂钢构相连，驱动电机单独控制，采用变频调速。</w:t>
      </w:r>
    </w:p>
    <w:p w14:paraId="1C4D9DC5">
      <w:pPr>
        <w:keepNext w:val="0"/>
        <w:keepLines w:val="0"/>
        <w:pageBreakBefore w:val="0"/>
        <w:widowControl w:val="0"/>
        <w:numPr>
          <w:ilvl w:val="0"/>
          <w:numId w:val="462"/>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color w:val="000000"/>
          <w:sz w:val="24"/>
        </w:rPr>
      </w:pPr>
      <w:r>
        <w:rPr>
          <w:rFonts w:ascii="Times New Roman" w:hAnsi="Times New Roman" w:eastAsia="宋体" w:cs="Times New Roman"/>
          <w:color w:val="000000"/>
          <w:sz w:val="24"/>
        </w:rPr>
        <w:t xml:space="preserve">快速驱动装置 </w:t>
      </w:r>
    </w:p>
    <w:p w14:paraId="03CCFED6">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sz w:val="24"/>
          <w:szCs w:val="20"/>
        </w:rPr>
      </w:pPr>
      <w:r>
        <w:rPr>
          <w:rFonts w:hint="eastAsia" w:ascii="宋体" w:hAnsi="宋体" w:eastAsia="宋体" w:cs="Times New Roman"/>
          <w:sz w:val="24"/>
          <w:szCs w:val="20"/>
        </w:rPr>
        <w:drawing>
          <wp:inline distT="0" distB="0" distL="0" distR="0">
            <wp:extent cx="5114925" cy="4502150"/>
            <wp:effectExtent l="0" t="0" r="5715" b="8890"/>
            <wp:docPr id="1884" name="图片 1884" descr="HOH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 name="图片 1884" descr="HOH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114925" cy="4507420"/>
                    </a:xfrm>
                    <a:prstGeom prst="rect">
                      <a:avLst/>
                    </a:prstGeom>
                    <a:noFill/>
                    <a:ln>
                      <a:noFill/>
                    </a:ln>
                  </pic:spPr>
                </pic:pic>
              </a:graphicData>
            </a:graphic>
          </wp:inline>
        </w:drawing>
      </w:r>
    </w:p>
    <w:p w14:paraId="0780D28B">
      <w:pPr>
        <w:keepNext w:val="0"/>
        <w:keepLines w:val="0"/>
        <w:pageBreakBefore w:val="0"/>
        <w:widowControl w:val="0"/>
        <w:numPr>
          <w:ilvl w:val="0"/>
          <w:numId w:val="46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快速驱动装置为单边驱动，用于底盘装配输送线中车组快速移动区域。</w:t>
      </w:r>
    </w:p>
    <w:p w14:paraId="42D7223D">
      <w:pPr>
        <w:keepNext w:val="0"/>
        <w:keepLines w:val="0"/>
        <w:pageBreakBefore w:val="0"/>
        <w:widowControl w:val="0"/>
        <w:numPr>
          <w:ilvl w:val="0"/>
          <w:numId w:val="46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快速驱动装置由减速电机、摩擦轮、浮动框架、固定框架组成，减速电机为</w:t>
      </w:r>
      <w:r>
        <w:rPr>
          <w:rFonts w:hint="eastAsia" w:asciiTheme="minorEastAsia" w:hAnsiTheme="minorEastAsia" w:eastAsiaTheme="minorEastAsia" w:cstheme="minorEastAsia"/>
          <w:kern w:val="0"/>
          <w:sz w:val="24"/>
          <w:szCs w:val="24"/>
          <w:highlight w:val="none"/>
        </w:rPr>
        <w:t>SEW/AB/西门子</w:t>
      </w:r>
      <w:r>
        <w:rPr>
          <w:rFonts w:ascii="Times New Roman" w:hAnsi="Times New Roman" w:eastAsia="宋体" w:cs="Times New Roman"/>
          <w:sz w:val="24"/>
        </w:rPr>
        <w:t>系列减速机，摩擦轮为铸钢轮外敷聚氨酯，聚氨酯材料采用进口材料，摩擦轮与减速机采用胀套或平键连接，连接后固定在浮动框架上，浮动框架经铰接轴与固定框架连接，运行时，固定于浮动框架的摩擦轮在弹簧的作用下紧压车组摩擦梁侧面，驱动吊具前行。电机采用变频调速。</w:t>
      </w:r>
    </w:p>
    <w:p w14:paraId="480328BE">
      <w:pPr>
        <w:keepNext w:val="0"/>
        <w:keepLines w:val="0"/>
        <w:pageBreakBefore w:val="0"/>
        <w:widowControl w:val="0"/>
        <w:numPr>
          <w:ilvl w:val="0"/>
          <w:numId w:val="46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驱动摩擦轮底部有托盘，防止驱动轮脱落。驱动轮采用进口聚氨酯轮，导向采用装有轴承的MC尼龙轮，通过弹簧调整驱动</w:t>
      </w:r>
      <w:r>
        <w:rPr>
          <w:rFonts w:hint="eastAsia" w:ascii="Times New Roman" w:hAnsi="Times New Roman" w:eastAsia="宋体" w:cs="Times New Roman"/>
          <w:sz w:val="24"/>
          <w:lang w:eastAsia="zh-CN"/>
        </w:rPr>
        <w:t>夹紧</w:t>
      </w:r>
      <w:r>
        <w:rPr>
          <w:rFonts w:ascii="Times New Roman" w:hAnsi="Times New Roman" w:eastAsia="宋体" w:cs="Times New Roman"/>
          <w:sz w:val="24"/>
        </w:rPr>
        <w:t>力，防止吊具打滑。在转接处设置有吊具定位及打开装置。所有驱动状态均可通过触摸屏查看运行状态。</w:t>
      </w:r>
    </w:p>
    <w:p w14:paraId="0667BA9D">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升降机（工位升降机）</w:t>
      </w:r>
    </w:p>
    <w:p w14:paraId="28471C4D">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color w:val="000000"/>
          <w:sz w:val="24"/>
          <w:szCs w:val="24"/>
        </w:rPr>
      </w:pPr>
      <w:r>
        <w:rPr>
          <w:rFonts w:ascii="宋体" w:hAnsi="宋体" w:eastAsia="宋体" w:cs="宋体"/>
          <w:sz w:val="24"/>
          <w:szCs w:val="24"/>
        </w:rPr>
        <w:drawing>
          <wp:inline distT="0" distB="0" distL="0" distR="0">
            <wp:extent cx="5220970" cy="2995930"/>
            <wp:effectExtent l="0" t="0" r="6350" b="635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icPr>
                  <pic:blipFill>
                    <a:blip r:embed="rId24"/>
                    <a:stretch>
                      <a:fillRect/>
                    </a:stretch>
                  </pic:blipFill>
                  <pic:spPr>
                    <a:xfrm>
                      <a:off x="0" y="0"/>
                      <a:ext cx="5220970" cy="3002909"/>
                    </a:xfrm>
                    <a:prstGeom prst="rect">
                      <a:avLst/>
                    </a:prstGeom>
                  </pic:spPr>
                </pic:pic>
              </a:graphicData>
            </a:graphic>
          </wp:inline>
        </w:drawing>
      </w:r>
    </w:p>
    <w:p w14:paraId="1EC613EB">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工位升降机用于轨道高低位转，由高位降到低位装配，再由低位升到高位跨线。</w:t>
      </w:r>
    </w:p>
    <w:p w14:paraId="45D48708">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升降机为四柱结构，皮带提升，由机架、升降托架、滚床、驱动滚筒、随动滚筒、提升带、配重、检测开关等组成，包胶轮采用威卡包胶产品，立柱采用方管（材质为16Mn）。</w:t>
      </w:r>
    </w:p>
    <w:p w14:paraId="7A2E9C18">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摩擦驱动安装在升降上，采用螺栓直联。</w:t>
      </w:r>
    </w:p>
    <w:p w14:paraId="2DBECA32">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在与托架连接的升降轨道上安装有电动锁紧装置、定位导向装置，电动锁紧装置由电机带动连杆-曲柄运动，配合升降机上升下降到位的锁紧架实现摩擦车组的位置；定位导向装置如上述。</w:t>
      </w:r>
    </w:p>
    <w:p w14:paraId="24EE3210">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可升降的框架与配重装置连接采用皮带的连接方式，皮带安装在驱动带轮上，通过驱动电机带动带轮的转动实现托架的升降，皮带采用进口优质品牌，有断带保护装置。</w:t>
      </w:r>
    </w:p>
    <w:p w14:paraId="656225B2">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在升降框架上升和下降到位有气动锁紧机构，锁紧升降轨道。</w:t>
      </w:r>
    </w:p>
    <w:p w14:paraId="1B7AEBFC">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升降段工作区域设有安全围栏，具体位置现场确定。</w:t>
      </w:r>
    </w:p>
    <w:p w14:paraId="7A59C65C">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升降机驱动装置位于立柱框架顶部，驱动电机采用一用一备，带制动器，速度变频可调，上下运行时要求起始慢，中间行走快，快到位时慢，最后停止。</w:t>
      </w:r>
    </w:p>
    <w:p w14:paraId="7F019211">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在升降机顶部、底部设有限位开关及机械防撞缓冲橡胶挡块，驱动装置处设有检修平台和扶梯。</w:t>
      </w:r>
    </w:p>
    <w:p w14:paraId="1F2A2629">
      <w:pPr>
        <w:keepNext w:val="0"/>
        <w:keepLines w:val="0"/>
        <w:pageBreakBefore w:val="0"/>
        <w:widowControl w:val="0"/>
        <w:numPr>
          <w:ilvl w:val="0"/>
          <w:numId w:val="4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在升降机顶部、底部设有限位开关及机械防撞缓冲挡块，驱动装置处设有检修平台和斜坡式扶梯。</w:t>
      </w:r>
    </w:p>
    <w:p w14:paraId="63972A58">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维修升降机</w:t>
      </w:r>
    </w:p>
    <w:p w14:paraId="59B0D756">
      <w:pPr>
        <w:keepNext w:val="0"/>
        <w:keepLines w:val="0"/>
        <w:pageBreakBefore w:val="0"/>
        <w:widowControl w:val="0"/>
        <w:numPr>
          <w:ilvl w:val="0"/>
          <w:numId w:val="4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维修升降机用于维修段，用于将吊具从空中下降到维修平台上。</w:t>
      </w:r>
    </w:p>
    <w:p w14:paraId="233ED5FE">
      <w:pPr>
        <w:keepNext w:val="0"/>
        <w:keepLines w:val="0"/>
        <w:pageBreakBefore w:val="0"/>
        <w:widowControl w:val="0"/>
        <w:numPr>
          <w:ilvl w:val="0"/>
          <w:numId w:val="4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维修升降机主要由升降轨道、固定框架、手动停止器、导向装置、电动葫芦、限位开关等组成，固定框架吊挂于一次梁下方，钢丝绳电动葫芦及钢丝绳末端张紧装置安装于固定框架上。升降轨上装有改向轮，手动停止器及活动端挡，电动葫芦的钢丝绳绕过改向链轮固定于钢丝绳末端张紧器上，通过电动葫芦为升降轨提供上下运动的动力。手动停止器与活动端挡将车组吊具固定于升降轨上，防止其窜动，导向装置从四个方向对升降轨进行定位，</w:t>
      </w:r>
      <w:r>
        <w:rPr>
          <w:rFonts w:hint="eastAsia" w:ascii="Times New Roman" w:hAnsi="Times New Roman" w:eastAsia="宋体" w:cs="Times New Roman"/>
          <w:sz w:val="24"/>
          <w:lang w:eastAsia="zh-CN"/>
        </w:rPr>
        <w:t>使</w:t>
      </w:r>
      <w:r>
        <w:rPr>
          <w:rFonts w:ascii="Times New Roman" w:hAnsi="Times New Roman" w:eastAsia="宋体" w:cs="Times New Roman"/>
          <w:sz w:val="24"/>
        </w:rPr>
        <w:t>其与固定轨进行精准对接。</w:t>
      </w:r>
    </w:p>
    <w:p w14:paraId="36C411E4">
      <w:pPr>
        <w:keepNext w:val="0"/>
        <w:keepLines w:val="0"/>
        <w:pageBreakBefore w:val="0"/>
        <w:kinsoku/>
        <w:overflowPunct/>
        <w:topLinePunct w:val="0"/>
        <w:bidi w:val="0"/>
        <w:adjustRightInd w:val="0"/>
        <w:snapToGrid w:val="0"/>
        <w:spacing w:afterAutospacing="0" w:line="360" w:lineRule="auto"/>
        <w:rPr>
          <w:rFonts w:ascii="宋体" w:hAnsi="宋体" w:eastAsia="宋体" w:cs="Times New Roman"/>
          <w:sz w:val="24"/>
          <w:szCs w:val="20"/>
        </w:rPr>
      </w:pPr>
      <w:r>
        <w:rPr>
          <w:rFonts w:ascii="宋体" w:hAnsi="宋体" w:eastAsia="宋体" w:cs="Times New Roman"/>
          <w:sz w:val="24"/>
          <w:szCs w:val="20"/>
        </w:rPr>
        <w:drawing>
          <wp:inline distT="0" distB="0" distL="0" distR="0">
            <wp:extent cx="5274310" cy="2087245"/>
            <wp:effectExtent l="0" t="0" r="13970" b="635"/>
            <wp:docPr id="451" name="图片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51"/>
                    <pic:cNvPicPr>
                      <a:picLocks noChangeAspect="1"/>
                    </pic:cNvPicPr>
                  </pic:nvPicPr>
                  <pic:blipFill>
                    <a:blip r:embed="rId25"/>
                    <a:stretch>
                      <a:fillRect/>
                    </a:stretch>
                  </pic:blipFill>
                  <pic:spPr>
                    <a:xfrm>
                      <a:off x="0" y="0"/>
                      <a:ext cx="5274310" cy="2087748"/>
                    </a:xfrm>
                    <a:prstGeom prst="rect">
                      <a:avLst/>
                    </a:prstGeom>
                  </pic:spPr>
                </pic:pic>
              </a:graphicData>
            </a:graphic>
          </wp:inline>
        </w:drawing>
      </w:r>
    </w:p>
    <w:p w14:paraId="2EEACCE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升降轨道</w:t>
      </w:r>
      <w:r>
        <w:rPr>
          <w:rFonts w:hint="eastAsia" w:cs="Times New Roman"/>
          <w:sz w:val="24"/>
          <w:lang w:eastAsia="zh-CN"/>
        </w:rPr>
        <w:t>：</w:t>
      </w:r>
    </w:p>
    <w:p w14:paraId="0324D9F5">
      <w:pPr>
        <w:keepNext w:val="0"/>
        <w:keepLines w:val="0"/>
        <w:pageBreakBefore w:val="0"/>
        <w:widowControl w:val="0"/>
        <w:numPr>
          <w:ilvl w:val="0"/>
          <w:numId w:val="46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由轨道型材，改向轮，活动端挡组装而成。</w:t>
      </w:r>
    </w:p>
    <w:p w14:paraId="13A2BE8F">
      <w:pPr>
        <w:keepNext w:val="0"/>
        <w:keepLines w:val="0"/>
        <w:pageBreakBefore w:val="0"/>
        <w:widowControl w:val="0"/>
        <w:numPr>
          <w:ilvl w:val="0"/>
          <w:numId w:val="46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轨道为车组行走区域，活动端挡单方向可打开，限制车组后退溜车。</w:t>
      </w:r>
    </w:p>
    <w:p w14:paraId="5D4581C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手动停止器</w:t>
      </w:r>
      <w:r>
        <w:rPr>
          <w:rFonts w:hint="eastAsia" w:cs="Times New Roman"/>
          <w:sz w:val="24"/>
          <w:lang w:eastAsia="zh-CN"/>
        </w:rPr>
        <w:t>：</w:t>
      </w:r>
    </w:p>
    <w:p w14:paraId="033221C4">
      <w:pPr>
        <w:keepNext w:val="0"/>
        <w:keepLines w:val="0"/>
        <w:pageBreakBefore w:val="0"/>
        <w:widowControl w:val="0"/>
        <w:numPr>
          <w:ilvl w:val="0"/>
          <w:numId w:val="4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手动停止器由支撑座，挡块，拉杆，拉绳组装而成。</w:t>
      </w:r>
    </w:p>
    <w:p w14:paraId="3405083F">
      <w:pPr>
        <w:keepNext w:val="0"/>
        <w:keepLines w:val="0"/>
        <w:pageBreakBefore w:val="0"/>
        <w:widowControl w:val="0"/>
        <w:numPr>
          <w:ilvl w:val="0"/>
          <w:numId w:val="4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手动停止器成对使用，一前一后对车组进行限位，拉动拉杆末端的拉绳通过杠杆原理实现挡块的抬起和放下。</w:t>
      </w:r>
    </w:p>
    <w:p w14:paraId="1B67492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固定框架</w:t>
      </w:r>
      <w:r>
        <w:rPr>
          <w:rFonts w:hint="eastAsia" w:cs="Times New Roman"/>
          <w:sz w:val="24"/>
          <w:lang w:eastAsia="zh-CN"/>
        </w:rPr>
        <w:t>：</w:t>
      </w:r>
    </w:p>
    <w:p w14:paraId="0DAFE760">
      <w:pPr>
        <w:keepNext w:val="0"/>
        <w:keepLines w:val="0"/>
        <w:pageBreakBefore w:val="0"/>
        <w:widowControl w:val="0"/>
        <w:numPr>
          <w:ilvl w:val="0"/>
          <w:numId w:val="47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由槽钢与板材焊接而成。</w:t>
      </w:r>
    </w:p>
    <w:p w14:paraId="0790625F">
      <w:pPr>
        <w:keepNext w:val="0"/>
        <w:keepLines w:val="0"/>
        <w:pageBreakBefore w:val="0"/>
        <w:widowControl w:val="0"/>
        <w:numPr>
          <w:ilvl w:val="0"/>
          <w:numId w:val="47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固定框架吊挂于一次梁下方，为电动葫芦及钢丝绳末端张紧器等提供安装位置。</w:t>
      </w:r>
    </w:p>
    <w:p w14:paraId="57F89CA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导向装置</w:t>
      </w:r>
    </w:p>
    <w:p w14:paraId="0F3DED14">
      <w:pPr>
        <w:keepNext w:val="0"/>
        <w:keepLines w:val="0"/>
        <w:pageBreakBefore w:val="0"/>
        <w:widowControl w:val="0"/>
        <w:numPr>
          <w:ilvl w:val="0"/>
          <w:numId w:val="4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由导向轨道，导向轮，导轮安装座等组成。</w:t>
      </w:r>
    </w:p>
    <w:p w14:paraId="5E689BDD">
      <w:pPr>
        <w:keepNext w:val="0"/>
        <w:keepLines w:val="0"/>
        <w:pageBreakBefore w:val="0"/>
        <w:widowControl w:val="0"/>
        <w:numPr>
          <w:ilvl w:val="0"/>
          <w:numId w:val="4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升降轨在到位前，四个方向的导向轮与导向轨的相互配合，使升降轨与固定轨可精准对接。</w:t>
      </w:r>
    </w:p>
    <w:p w14:paraId="4D3BA07C">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开关组件</w:t>
      </w:r>
      <w:r>
        <w:rPr>
          <w:rFonts w:hint="eastAsia" w:cs="Times New Roman"/>
          <w:sz w:val="24"/>
          <w:lang w:eastAsia="zh-CN"/>
        </w:rPr>
        <w:t>：</w:t>
      </w:r>
    </w:p>
    <w:p w14:paraId="2DBE3F39">
      <w:pPr>
        <w:keepNext w:val="0"/>
        <w:keepLines w:val="0"/>
        <w:pageBreakBefore w:val="0"/>
        <w:widowControl w:val="0"/>
        <w:numPr>
          <w:ilvl w:val="0"/>
          <w:numId w:val="4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由开关支架，限位开关及开关</w:t>
      </w:r>
      <w:r>
        <w:rPr>
          <w:rFonts w:hint="eastAsia" w:ascii="Times New Roman" w:hAnsi="Times New Roman" w:eastAsia="宋体" w:cs="Times New Roman"/>
          <w:sz w:val="24"/>
          <w:lang w:eastAsia="zh-CN"/>
        </w:rPr>
        <w:t>触发</w:t>
      </w:r>
      <w:r>
        <w:rPr>
          <w:rFonts w:ascii="Times New Roman" w:hAnsi="Times New Roman" w:eastAsia="宋体" w:cs="Times New Roman"/>
          <w:sz w:val="24"/>
        </w:rPr>
        <w:t>板组成，触发板安装于钢丝绳末端张紧器，开关支架安装固定框架上。</w:t>
      </w:r>
    </w:p>
    <w:p w14:paraId="09EF1D0A">
      <w:pPr>
        <w:keepNext w:val="0"/>
        <w:keepLines w:val="0"/>
        <w:pageBreakBefore w:val="0"/>
        <w:widowControl w:val="0"/>
        <w:numPr>
          <w:ilvl w:val="0"/>
          <w:numId w:val="4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当升降轨向上运动时接触到机械限位装置后停止运动，电动葫芦钢丝绳拽动末端张紧器拉杆，压缩弹簧，开关触发板触发开关，电动葫芦断电停止工作。</w:t>
      </w:r>
    </w:p>
    <w:p w14:paraId="203DE96F">
      <w:pPr>
        <w:keepNext w:val="0"/>
        <w:keepLines w:val="0"/>
        <w:pageBreakBefore w:val="0"/>
        <w:widowControl w:val="0"/>
        <w:numPr>
          <w:ilvl w:val="0"/>
          <w:numId w:val="4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维修升降机下部设置有活动护网。</w:t>
      </w:r>
    </w:p>
    <w:p w14:paraId="5FFCA6F1">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安全网</w:t>
      </w:r>
    </w:p>
    <w:p w14:paraId="4CB9F8F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安全网距离车身底部大于400mm，左右大于500mm。底部距地面不低于4000mm。</w:t>
      </w:r>
    </w:p>
    <w:p w14:paraId="5DDF0FC7">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道岔</w:t>
      </w:r>
    </w:p>
    <w:p w14:paraId="6F72E97D">
      <w:pPr>
        <w:keepNext w:val="0"/>
        <w:keepLines w:val="0"/>
        <w:pageBreakBefore w:val="0"/>
        <w:widowControl/>
        <w:kinsoku/>
        <w:overflowPunct/>
        <w:topLinePunct w:val="0"/>
        <w:autoSpaceDE w:val="0"/>
        <w:autoSpaceDN w:val="0"/>
        <w:bidi w:val="0"/>
        <w:adjustRightInd w:val="0"/>
        <w:snapToGrid w:val="0"/>
        <w:spacing w:afterAutospacing="0" w:line="360" w:lineRule="auto"/>
        <w:ind w:left="0" w:leftChars="0" w:firstLine="560"/>
        <w:jc w:val="center"/>
        <w:rPr>
          <w:rFonts w:ascii="宋体" w:hAnsi="宋体" w:eastAsia="宋体" w:cs="Arial"/>
          <w:kern w:val="0"/>
          <w:sz w:val="24"/>
          <w:szCs w:val="24"/>
          <w:lang w:val="en-US" w:eastAsia="zh-CN" w:bidi="ar-SA"/>
        </w:rPr>
      </w:pPr>
      <w:r>
        <w:rPr>
          <w:rFonts w:ascii="宋体" w:hAnsi="宋体" w:eastAsia="宋体" w:cs="Arial"/>
          <w:kern w:val="0"/>
          <w:sz w:val="24"/>
          <w:szCs w:val="24"/>
          <w:lang w:val="en-US" w:eastAsia="zh-CN" w:bidi="ar-SA"/>
        </w:rPr>
        <w:drawing>
          <wp:inline distT="0" distB="0" distL="0" distR="0">
            <wp:extent cx="4994275" cy="2511425"/>
            <wp:effectExtent l="0" t="0" r="4445" b="3175"/>
            <wp:docPr id="11290" name="图片 4" descr="说明: D:\Documents\Tencent Files\380289479\Image\C2C\TYS407FXX05R%[DLT2BDQ[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0" name="图片 4" descr="说明: D:\Documents\Tencent Files\380289479\Image\C2C\TYS407FXX05R%[DLT2BDQ[N.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03040" cy="2515798"/>
                    </a:xfrm>
                    <a:prstGeom prst="rect">
                      <a:avLst/>
                    </a:prstGeom>
                    <a:noFill/>
                    <a:ln>
                      <a:noFill/>
                    </a:ln>
                  </pic:spPr>
                </pic:pic>
              </a:graphicData>
            </a:graphic>
          </wp:inline>
        </w:drawing>
      </w:r>
    </w:p>
    <w:p w14:paraId="21684E34">
      <w:pPr>
        <w:keepNext w:val="0"/>
        <w:keepLines w:val="0"/>
        <w:pageBreakBefore w:val="0"/>
        <w:widowControl w:val="0"/>
        <w:numPr>
          <w:ilvl w:val="0"/>
          <w:numId w:val="4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功能性上可分工艺道岔和维修道岔，道岔在形式上可以分为左出道岔和右出道岔两种，两者为对称装配，道岔作为自行小车输送机系统中的一个重要组成部件，实现车门输送从一条线路转入另一条线路，从一个循环转入另一个循环，维修道岔可将故障小车送入维修段，复位后，可以保持全线设备的正常使用，不会因某一台小车故障而导致整个生产线停产。</w:t>
      </w:r>
    </w:p>
    <w:p w14:paraId="7AD3D3BE">
      <w:pPr>
        <w:keepNext w:val="0"/>
        <w:keepLines w:val="0"/>
        <w:pageBreakBefore w:val="0"/>
        <w:widowControl w:val="0"/>
        <w:numPr>
          <w:ilvl w:val="0"/>
          <w:numId w:val="4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道岔由固定框架、活动框架、曲柄连杆机构、直轨及弯轨组成。</w:t>
      </w:r>
    </w:p>
    <w:p w14:paraId="136EAD0F">
      <w:pPr>
        <w:keepNext w:val="0"/>
        <w:keepLines w:val="0"/>
        <w:pageBreakBefore w:val="0"/>
        <w:widowControl w:val="0"/>
        <w:numPr>
          <w:ilvl w:val="0"/>
          <w:numId w:val="4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固定框架：由槽钢、安装板焊接制作，固定框架上安有轨道条。</w:t>
      </w:r>
    </w:p>
    <w:p w14:paraId="1911B739">
      <w:pPr>
        <w:keepNext w:val="0"/>
        <w:keepLines w:val="0"/>
        <w:pageBreakBefore w:val="0"/>
        <w:widowControl w:val="0"/>
        <w:numPr>
          <w:ilvl w:val="0"/>
          <w:numId w:val="4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活动框架：由槽钢、安装板焊接制作。</w:t>
      </w:r>
    </w:p>
    <w:p w14:paraId="0BD2A0A4">
      <w:pPr>
        <w:keepNext w:val="0"/>
        <w:keepLines w:val="0"/>
        <w:pageBreakBefore w:val="0"/>
        <w:widowControl w:val="0"/>
        <w:numPr>
          <w:ilvl w:val="0"/>
          <w:numId w:val="4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曲柄连杆机构：曲柄连杆机构为道岔的转化提供动力源。</w:t>
      </w:r>
    </w:p>
    <w:p w14:paraId="046FE569">
      <w:pPr>
        <w:keepNext w:val="0"/>
        <w:keepLines w:val="0"/>
        <w:pageBreakBefore w:val="0"/>
        <w:widowControl w:val="0"/>
        <w:numPr>
          <w:ilvl w:val="0"/>
          <w:numId w:val="4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直轨道、弯轨道：如轨道描述。</w:t>
      </w:r>
    </w:p>
    <w:p w14:paraId="454E0463">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停止器（气动）</w:t>
      </w:r>
    </w:p>
    <w:p w14:paraId="0518A9E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停止器在输送机系统中对车流实行安全可靠地控制，尤其是在进升降机前， 停止器（气动）就像十字路口的红绿灯一样，对车流实现安全联锁控制，保证进升降机前摩擦车组的安全，停止器用于摩擦车组的停止和释放，停止器（气动）由方管焊接的支架、气缸支座、气动元件、挡板及挡板运行的轨道组成，停止器（手动）由钢板焊接的支座、挡车臂、控制杆、握柄组件组成。停止器一般为常闭状态。</w:t>
      </w:r>
    </w:p>
    <w:p w14:paraId="65018DBA">
      <w:pPr>
        <w:keepNext w:val="0"/>
        <w:keepLines w:val="0"/>
        <w:pageBreakBefore w:val="0"/>
        <w:widowControl w:val="0"/>
        <w:numPr>
          <w:ilvl w:val="0"/>
          <w:numId w:val="462"/>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color w:val="000000"/>
          <w:sz w:val="24"/>
        </w:rPr>
      </w:pPr>
      <w:r>
        <w:rPr>
          <w:rFonts w:ascii="Times New Roman" w:hAnsi="Times New Roman" w:eastAsia="宋体" w:cs="Times New Roman"/>
          <w:color w:val="000000"/>
          <w:sz w:val="24"/>
        </w:rPr>
        <w:t>上件随行升降机</w:t>
      </w:r>
    </w:p>
    <w:p w14:paraId="110A9D46">
      <w:pPr>
        <w:keepNext w:val="0"/>
        <w:keepLines w:val="0"/>
        <w:pageBreakBefore w:val="0"/>
        <w:kinsoku/>
        <w:overflowPunct/>
        <w:topLinePunct w:val="0"/>
        <w:bidi w:val="0"/>
        <w:adjustRightInd w:val="0"/>
        <w:snapToGrid w:val="0"/>
        <w:spacing w:afterAutospacing="0" w:line="360" w:lineRule="auto"/>
        <w:jc w:val="center"/>
        <w:rPr>
          <w:rFonts w:ascii="Times New Roman" w:hAnsi="Times New Roman" w:eastAsia="宋体" w:cs="Times New Roman"/>
          <w:color w:val="000000"/>
          <w:sz w:val="24"/>
          <w:szCs w:val="24"/>
        </w:rPr>
      </w:pPr>
      <w:r>
        <w:rPr>
          <w:rFonts w:ascii="宋体" w:hAnsi="宋体" w:eastAsia="宋体" w:cs="Times New Roman"/>
          <w:szCs w:val="20"/>
        </w:rPr>
        <w:drawing>
          <wp:inline distT="0" distB="0" distL="0" distR="0">
            <wp:extent cx="2462530" cy="2675255"/>
            <wp:effectExtent l="0" t="0" r="6350" b="6985"/>
            <wp:docPr id="185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 name="图片 12"/>
                    <pic:cNvPicPr>
                      <a:picLocks noChangeAspect="1"/>
                    </pic:cNvPicPr>
                  </pic:nvPicPr>
                  <pic:blipFill>
                    <a:blip r:embed="rId27"/>
                    <a:stretch>
                      <a:fillRect/>
                    </a:stretch>
                  </pic:blipFill>
                  <pic:spPr>
                    <a:xfrm>
                      <a:off x="0" y="0"/>
                      <a:ext cx="2478086" cy="2692215"/>
                    </a:xfrm>
                    <a:prstGeom prst="rect">
                      <a:avLst/>
                    </a:prstGeom>
                    <a:ln>
                      <a:noFill/>
                    </a:ln>
                    <a:effectLst/>
                  </pic:spPr>
                </pic:pic>
              </a:graphicData>
            </a:graphic>
          </wp:inline>
        </w:drawing>
      </w:r>
    </w:p>
    <w:p w14:paraId="3576B029">
      <w:pPr>
        <w:keepNext w:val="0"/>
        <w:keepLines w:val="0"/>
        <w:pageBreakBefore w:val="0"/>
        <w:widowControl w:val="0"/>
        <w:numPr>
          <w:ilvl w:val="0"/>
          <w:numId w:val="4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底盘线上线处设置四柱升降机</w:t>
      </w:r>
      <w:r>
        <w:rPr>
          <w:rFonts w:hint="eastAsia" w:ascii="Times New Roman" w:hAnsi="Times New Roman" w:eastAsia="宋体" w:cs="Times New Roman"/>
          <w:sz w:val="24"/>
          <w:lang w:eastAsia="zh-CN"/>
        </w:rPr>
        <w:t>，</w:t>
      </w:r>
      <w:r>
        <w:rPr>
          <w:rFonts w:ascii="Times New Roman" w:hAnsi="Times New Roman" w:eastAsia="宋体" w:cs="Times New Roman"/>
          <w:sz w:val="24"/>
        </w:rPr>
        <w:t>升降机在升降过程中采用两级速度，在接近上位和下位时采用低速，中间过程采用高速。空车组吊具高位进入升降机，吊具夹紧定位装置动作，待吊具打开后，发信号给升降机允许其执行下一个动作，升降机接到吊具到位夹紧的信号后缓慢上升，将车身托起待吊具合拢后放置在吊具上，完成转挂后伸缩叉缩回，车组吊具前进，升降机快速下降到低位伸出托臂（长度不小于300mm）与内饰线工件随行，随行将工件托起后复位，上升到高位将工件转接到底盘吊具上，动作进入下一循环。</w:t>
      </w:r>
    </w:p>
    <w:p w14:paraId="1F7C319F">
      <w:pPr>
        <w:keepNext w:val="0"/>
        <w:keepLines w:val="0"/>
        <w:pageBreakBefore w:val="0"/>
        <w:widowControl w:val="0"/>
        <w:numPr>
          <w:ilvl w:val="0"/>
          <w:numId w:val="4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立柱采用方管。</w:t>
      </w:r>
    </w:p>
    <w:p w14:paraId="71E9569E">
      <w:pPr>
        <w:keepNext w:val="0"/>
        <w:keepLines w:val="0"/>
        <w:pageBreakBefore w:val="0"/>
        <w:widowControl w:val="0"/>
        <w:numPr>
          <w:ilvl w:val="0"/>
          <w:numId w:val="4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活动托架与配重装置分别与皮带两端连接，通过驱动电机带动带轮的转动实现托架的升降；皮带采用进口品牌，有断带保护装置。</w:t>
      </w:r>
    </w:p>
    <w:p w14:paraId="0435EF73">
      <w:pPr>
        <w:keepNext w:val="0"/>
        <w:keepLines w:val="0"/>
        <w:pageBreakBefore w:val="0"/>
        <w:widowControl w:val="0"/>
        <w:numPr>
          <w:ilvl w:val="0"/>
          <w:numId w:val="4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升降段工作区域设有安全围栏，具体位置现场确定。</w:t>
      </w:r>
    </w:p>
    <w:p w14:paraId="51518D6D">
      <w:pPr>
        <w:keepNext w:val="0"/>
        <w:keepLines w:val="0"/>
        <w:pageBreakBefore w:val="0"/>
        <w:widowControl w:val="0"/>
        <w:numPr>
          <w:ilvl w:val="0"/>
          <w:numId w:val="4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升降机驱动装置位于立柱框架顶部，驱动电机带制动器，速度变频可调，上下运行时要求起始慢，中间行走快，快到位时慢，最后停止。</w:t>
      </w:r>
    </w:p>
    <w:p w14:paraId="7601C1A6">
      <w:pPr>
        <w:keepNext w:val="0"/>
        <w:keepLines w:val="0"/>
        <w:pageBreakBefore w:val="0"/>
        <w:widowControl w:val="0"/>
        <w:numPr>
          <w:ilvl w:val="0"/>
          <w:numId w:val="4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在升降机顶部、底部设有限位开关及机械防撞缓冲装置，驱动装置处设有检修平台和扶梯。</w:t>
      </w:r>
    </w:p>
    <w:p w14:paraId="7B04D58A">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下件升降机</w:t>
      </w:r>
    </w:p>
    <w:p w14:paraId="458D0400">
      <w:pPr>
        <w:keepNext w:val="0"/>
        <w:keepLines w:val="0"/>
        <w:pageBreakBefore w:val="0"/>
        <w:kinsoku/>
        <w:overflowPunct/>
        <w:topLinePunct w:val="0"/>
        <w:bidi w:val="0"/>
        <w:adjustRightInd w:val="0"/>
        <w:snapToGrid w:val="0"/>
        <w:spacing w:afterAutospacing="0" w:line="360" w:lineRule="auto"/>
        <w:jc w:val="center"/>
        <w:rPr>
          <w:rFonts w:ascii="Times New Roman" w:hAnsi="Times New Roman" w:eastAsia="宋体" w:cs="Times New Roman"/>
          <w:color w:val="000000"/>
          <w:sz w:val="24"/>
          <w:szCs w:val="24"/>
        </w:rPr>
      </w:pPr>
      <w:r>
        <w:rPr>
          <w:rFonts w:ascii="宋体" w:hAnsi="宋体" w:eastAsia="宋体" w:cs="Times New Roman"/>
          <w:szCs w:val="20"/>
        </w:rPr>
        <w:drawing>
          <wp:inline distT="0" distB="0" distL="0" distR="0">
            <wp:extent cx="2462530" cy="2675255"/>
            <wp:effectExtent l="0" t="0" r="6350" b="6985"/>
            <wp:docPr id="4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2"/>
                    <pic:cNvPicPr>
                      <a:picLocks noChangeAspect="1"/>
                    </pic:cNvPicPr>
                  </pic:nvPicPr>
                  <pic:blipFill>
                    <a:blip r:embed="rId27"/>
                    <a:stretch>
                      <a:fillRect/>
                    </a:stretch>
                  </pic:blipFill>
                  <pic:spPr>
                    <a:xfrm>
                      <a:off x="0" y="0"/>
                      <a:ext cx="2478086" cy="2692215"/>
                    </a:xfrm>
                    <a:prstGeom prst="rect">
                      <a:avLst/>
                    </a:prstGeom>
                    <a:ln>
                      <a:noFill/>
                    </a:ln>
                    <a:effectLst/>
                  </pic:spPr>
                </pic:pic>
              </a:graphicData>
            </a:graphic>
          </wp:inline>
        </w:drawing>
      </w:r>
    </w:p>
    <w:p w14:paraId="04FACBB0">
      <w:pPr>
        <w:keepNext w:val="0"/>
        <w:keepLines w:val="0"/>
        <w:pageBreakBefore w:val="0"/>
        <w:widowControl w:val="0"/>
        <w:numPr>
          <w:ilvl w:val="0"/>
          <w:numId w:val="4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底盘线下线处设置四柱升降机</w:t>
      </w:r>
      <w:r>
        <w:rPr>
          <w:rFonts w:hint="eastAsia" w:ascii="Times New Roman" w:hAnsi="Times New Roman" w:eastAsia="宋体" w:cs="Times New Roman"/>
          <w:sz w:val="24"/>
          <w:lang w:eastAsia="zh-CN"/>
        </w:rPr>
        <w:t>，</w:t>
      </w:r>
      <w:r>
        <w:rPr>
          <w:rFonts w:ascii="Times New Roman" w:hAnsi="Times New Roman" w:eastAsia="宋体" w:cs="Times New Roman"/>
          <w:sz w:val="24"/>
        </w:rPr>
        <w:t>升降机在升降过程中采用两级速度，在接近上位和下位时采用低速，中间过程采用高速，车组吊具高位进入升降机，吊具夹紧定位装置动作，待吊具打开后，发信号给升降机允许其执行下一个动作，升降机接到吊具到位夹紧的信号后缓慢下降，将车身</w:t>
      </w:r>
      <w:r>
        <w:rPr>
          <w:rFonts w:ascii="Times New Roman" w:hAnsi="Times New Roman" w:eastAsia="宋体" w:cs="Times New Roman"/>
          <w:sz w:val="24"/>
          <w:highlight w:val="none"/>
        </w:rPr>
        <w:t>落在侧顶机上，侧顶机</w:t>
      </w:r>
      <w:r>
        <w:rPr>
          <w:rFonts w:ascii="Times New Roman" w:hAnsi="Times New Roman" w:eastAsia="宋体" w:cs="Times New Roman"/>
          <w:sz w:val="24"/>
        </w:rPr>
        <w:t>随行将工件放置在完成线体后复位完成转挂后，车组吊具前进，升降机快速上升，动作进入下一循环。</w:t>
      </w:r>
    </w:p>
    <w:p w14:paraId="111FF0C6">
      <w:pPr>
        <w:keepNext w:val="0"/>
        <w:keepLines w:val="0"/>
        <w:pageBreakBefore w:val="0"/>
        <w:widowControl w:val="0"/>
        <w:numPr>
          <w:ilvl w:val="0"/>
          <w:numId w:val="4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立柱采用方管形式。</w:t>
      </w:r>
    </w:p>
    <w:p w14:paraId="2DC506A2">
      <w:pPr>
        <w:keepNext w:val="0"/>
        <w:keepLines w:val="0"/>
        <w:pageBreakBefore w:val="0"/>
        <w:widowControl w:val="0"/>
        <w:numPr>
          <w:ilvl w:val="0"/>
          <w:numId w:val="4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活动托架与配重装置分别与皮带两端连接，通过驱动电机带动带轮的转动实现托架的升降；皮带采用进口品牌，有断带保护装置。</w:t>
      </w:r>
    </w:p>
    <w:p w14:paraId="262B57DB">
      <w:pPr>
        <w:keepNext w:val="0"/>
        <w:keepLines w:val="0"/>
        <w:pageBreakBefore w:val="0"/>
        <w:widowControl w:val="0"/>
        <w:numPr>
          <w:ilvl w:val="0"/>
          <w:numId w:val="4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升降段工作区域设有安全围栏，具体位置现场确定。</w:t>
      </w:r>
    </w:p>
    <w:p w14:paraId="4E61EBB5">
      <w:pPr>
        <w:keepNext w:val="0"/>
        <w:keepLines w:val="0"/>
        <w:pageBreakBefore w:val="0"/>
        <w:widowControl w:val="0"/>
        <w:numPr>
          <w:ilvl w:val="0"/>
          <w:numId w:val="4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升降机驱动装置位于立柱框架顶部，驱动电机带制动器，速度变频可调，上下运行时要求起始慢，中间行走快，快到位时慢，最后停止。</w:t>
      </w:r>
    </w:p>
    <w:p w14:paraId="0BBC59D3">
      <w:pPr>
        <w:keepNext w:val="0"/>
        <w:keepLines w:val="0"/>
        <w:pageBreakBefore w:val="0"/>
        <w:widowControl w:val="0"/>
        <w:numPr>
          <w:ilvl w:val="0"/>
          <w:numId w:val="4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在升降机顶部、底部设有限位开关及机械防撞缓冲装置，驱动装置处设有检修平台和扶梯。</w:t>
      </w:r>
    </w:p>
    <w:p w14:paraId="6F9D7A24">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吊具打开装置</w:t>
      </w:r>
    </w:p>
    <w:p w14:paraId="5B145C4C">
      <w:pPr>
        <w:keepNext w:val="0"/>
        <w:keepLines w:val="0"/>
        <w:pageBreakBefore w:val="0"/>
        <w:widowControl w:val="0"/>
        <w:numPr>
          <w:ilvl w:val="0"/>
          <w:numId w:val="4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在车身转挂工位处设有吊具打开装置，打开装置设计时应保证其足够的刚度及强度。</w:t>
      </w:r>
    </w:p>
    <w:p w14:paraId="734D28B6">
      <w:pPr>
        <w:keepNext w:val="0"/>
        <w:keepLines w:val="0"/>
        <w:pageBreakBefore w:val="0"/>
        <w:widowControl w:val="0"/>
        <w:numPr>
          <w:ilvl w:val="0"/>
          <w:numId w:val="4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采用两个气缸分别控制吊具两侧打开臂，从而使吊具打开或闭合。</w:t>
      </w:r>
    </w:p>
    <w:p w14:paraId="537300B9">
      <w:pPr>
        <w:keepNext w:val="0"/>
        <w:keepLines w:val="0"/>
        <w:pageBreakBefore w:val="0"/>
        <w:widowControl w:val="0"/>
        <w:numPr>
          <w:ilvl w:val="0"/>
          <w:numId w:val="4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两个气缸由一套气路单元控制，控制单元到气缸管路长度基本一致，保证两边气缸同步。</w:t>
      </w:r>
    </w:p>
    <w:p w14:paraId="70CBC213">
      <w:pPr>
        <w:keepNext w:val="0"/>
        <w:keepLines w:val="0"/>
        <w:pageBreakBefore w:val="0"/>
        <w:widowControl w:val="0"/>
        <w:numPr>
          <w:ilvl w:val="0"/>
          <w:numId w:val="4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吊臂的打开与闭合设置开关进行检测，通过控制系统与其他设备</w:t>
      </w:r>
      <w:r>
        <w:rPr>
          <w:rFonts w:hint="eastAsia" w:ascii="Times New Roman" w:hAnsi="Times New Roman" w:eastAsia="宋体" w:cs="Times New Roman"/>
          <w:sz w:val="24"/>
          <w:lang w:eastAsia="zh-CN"/>
        </w:rPr>
        <w:t>联锁</w:t>
      </w:r>
      <w:r>
        <w:rPr>
          <w:rFonts w:ascii="Times New Roman" w:hAnsi="Times New Roman" w:eastAsia="宋体" w:cs="Times New Roman"/>
          <w:sz w:val="24"/>
        </w:rPr>
        <w:t>动作。</w:t>
      </w:r>
    </w:p>
    <w:p w14:paraId="09954CBA">
      <w:pPr>
        <w:keepNext w:val="0"/>
        <w:keepLines w:val="0"/>
        <w:pageBreakBefore w:val="0"/>
        <w:widowControl w:val="0"/>
        <w:numPr>
          <w:ilvl w:val="0"/>
          <w:numId w:val="4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气动元件品牌见品牌表要求。</w:t>
      </w:r>
    </w:p>
    <w:p w14:paraId="17A91518">
      <w:pPr>
        <w:keepNext w:val="0"/>
        <w:keepLines w:val="0"/>
        <w:pageBreakBefore w:val="0"/>
        <w:widowControl w:val="0"/>
        <w:numPr>
          <w:ilvl w:val="0"/>
          <w:numId w:val="4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吊具两侧打开臂的控制也可由电机控制，具体图纸会签时确定。</w:t>
      </w:r>
    </w:p>
    <w:p w14:paraId="4007A288">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吊具检修区</w:t>
      </w:r>
    </w:p>
    <w:p w14:paraId="26D52B91">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吊具检修区设置在空吊具返回段的钢平台上，由吊具检具、吊具维修轨道、维修葫芦以及照明、插座等组成。</w:t>
      </w:r>
    </w:p>
    <w:p w14:paraId="7DE9C0B5">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吊具检修区域为钢平台结构，其中吊具维修用升降洞口设有活动检修门及安全护栏，检修门的打开采用手动形式，吊具小修在空中平台上完成，大修则通过维修升降机降至地面维修。</w:t>
      </w:r>
    </w:p>
    <w:p w14:paraId="78AFE886">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吊具检修区内维修葫芦轨道采用无动力轨道。维修区能存放1个吊具（含维修葫芦位置）。</w:t>
      </w:r>
    </w:p>
    <w:p w14:paraId="7024918E">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在吊具检修区设有吊具小车检修润滑专用轨道，用于小车的维修、更换及润滑。</w:t>
      </w:r>
    </w:p>
    <w:p w14:paraId="3DFF5A74">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进入吊具维修区的吊具先进行精度检测，检具由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设计及制作。</w:t>
      </w:r>
    </w:p>
    <w:p w14:paraId="1B9C316D">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检具用于对吊具进行检测和校准，检具工位设置1套车组定位装置，需提供吊具及吊具检具的检测报告。</w:t>
      </w:r>
    </w:p>
    <w:p w14:paraId="314BA1C7">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吊具维修装置由升降葫芦及升降轨道组成，升降葫芦采用国产名优双钩钢丝绳葫芦，起重量3吨，行程约6m，葫芦升降采用人工控制方式，升降轨道两端应设置轨道接口锁紧装置，保证轨道对接准确可靠。</w:t>
      </w:r>
    </w:p>
    <w:p w14:paraId="30A652FC">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需维修的吊具可通过电动葫芦将吊具及轨道段一起平稳地降至地面，进行维修。</w:t>
      </w:r>
    </w:p>
    <w:p w14:paraId="4F46162F">
      <w:pPr>
        <w:keepNext w:val="0"/>
        <w:keepLines w:val="0"/>
        <w:pageBreakBefore w:val="0"/>
        <w:widowControl w:val="0"/>
        <w:numPr>
          <w:ilvl w:val="0"/>
          <w:numId w:val="4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设置一条维修通道，满足维修要求。</w:t>
      </w:r>
    </w:p>
    <w:p w14:paraId="5A7D05A6">
      <w:pPr>
        <w:keepNext w:val="0"/>
        <w:keepLines w:val="0"/>
        <w:pageBreakBefore w:val="0"/>
        <w:widowControl w:val="0"/>
        <w:numPr>
          <w:ilvl w:val="0"/>
          <w:numId w:val="4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电控技术要求</w:t>
      </w:r>
    </w:p>
    <w:p w14:paraId="2F5F7C10">
      <w:pPr>
        <w:keepNext w:val="0"/>
        <w:keepLines w:val="0"/>
        <w:pageBreakBefore w:val="0"/>
        <w:widowControl w:val="0"/>
        <w:numPr>
          <w:ilvl w:val="0"/>
          <w:numId w:val="4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底盘线采用摩擦轮驱动形式，由单驱双驱摩擦轮，气动锁紧机构，升降机等主要部件构成</w:t>
      </w:r>
      <w:r>
        <w:rPr>
          <w:rFonts w:hint="eastAsia" w:ascii="Times New Roman" w:hAnsi="Times New Roman" w:eastAsia="宋体" w:cs="Times New Roman"/>
          <w:sz w:val="24"/>
          <w:lang w:eastAsia="zh-CN"/>
        </w:rPr>
        <w:t>。</w:t>
      </w:r>
    </w:p>
    <w:p w14:paraId="6CFE6426">
      <w:pPr>
        <w:keepNext w:val="0"/>
        <w:keepLines w:val="0"/>
        <w:pageBreakBefore w:val="0"/>
        <w:widowControl/>
        <w:numPr>
          <w:ilvl w:val="0"/>
          <w:numId w:val="4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开关采用接插件形式，电机</w:t>
      </w:r>
      <w:r>
        <w:rPr>
          <w:rFonts w:hint="eastAsia" w:ascii="Times New Roman" w:hAnsi="Times New Roman" w:eastAsia="宋体" w:cs="Times New Roman"/>
          <w:sz w:val="24"/>
          <w:lang w:val="en-US" w:eastAsia="zh-CN"/>
        </w:rPr>
        <w:t>线缆全部</w:t>
      </w:r>
      <w:r>
        <w:rPr>
          <w:rFonts w:ascii="Times New Roman" w:hAnsi="Times New Roman" w:eastAsia="宋体" w:cs="Times New Roman"/>
          <w:sz w:val="24"/>
        </w:rPr>
        <w:t>直接接线中间不允许有接头</w:t>
      </w:r>
      <w:r>
        <w:rPr>
          <w:rFonts w:hint="eastAsia" w:ascii="Times New Roman" w:hAnsi="Times New Roman" w:eastAsia="宋体" w:cs="Times New Roman"/>
          <w:sz w:val="24"/>
          <w:lang w:eastAsia="zh-CN"/>
        </w:rPr>
        <w:t>。</w:t>
      </w:r>
    </w:p>
    <w:p w14:paraId="35817C14">
      <w:pPr>
        <w:keepNext w:val="0"/>
        <w:keepLines w:val="0"/>
        <w:pageBreakBefore w:val="0"/>
        <w:widowControl w:val="0"/>
        <w:numPr>
          <w:ilvl w:val="0"/>
          <w:numId w:val="4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工艺线安装线边按钮盒，每个工位设置双侧联动的急停控制（带复位功能），每个工位单侧设置安全确认按钮（作业完成后按下）并有提示灯。</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703"/>
        <w:gridCol w:w="7099"/>
      </w:tblGrid>
      <w:tr w14:paraId="248C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1784A957">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882" w:type="pct"/>
            <w:vAlign w:val="center"/>
          </w:tcPr>
          <w:p w14:paraId="4AA075C3">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功能项</w:t>
            </w:r>
          </w:p>
        </w:tc>
        <w:tc>
          <w:tcPr>
            <w:tcW w:w="3676" w:type="pct"/>
            <w:vAlign w:val="center"/>
          </w:tcPr>
          <w:p w14:paraId="16FD84DE">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详细要求</w:t>
            </w:r>
          </w:p>
        </w:tc>
      </w:tr>
      <w:tr w14:paraId="1D65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3822BBB4">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ascii="宋体" w:hAnsi="宋体" w:eastAsia="宋体" w:cs="宋体"/>
                <w:bCs/>
                <w:color w:val="000000"/>
                <w:sz w:val="24"/>
                <w:szCs w:val="24"/>
              </w:rPr>
              <w:t>1</w:t>
            </w:r>
          </w:p>
        </w:tc>
        <w:tc>
          <w:tcPr>
            <w:tcW w:w="882" w:type="pct"/>
            <w:tcBorders>
              <w:top w:val="single" w:color="auto" w:sz="4" w:space="0"/>
              <w:left w:val="single" w:color="auto" w:sz="4" w:space="0"/>
              <w:bottom w:val="single" w:color="auto" w:sz="4" w:space="0"/>
              <w:right w:val="single" w:color="auto" w:sz="4" w:space="0"/>
            </w:tcBorders>
            <w:vAlign w:val="center"/>
          </w:tcPr>
          <w:p w14:paraId="58E35025">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ascii="宋体" w:hAnsi="宋体" w:eastAsia="宋体" w:cs="宋体"/>
                <w:bCs/>
                <w:color w:val="000000"/>
                <w:sz w:val="24"/>
                <w:szCs w:val="24"/>
              </w:rPr>
              <w:t>PLC</w:t>
            </w:r>
            <w:r>
              <w:rPr>
                <w:rFonts w:hint="eastAsia" w:ascii="宋体" w:hAnsi="宋体" w:eastAsia="宋体" w:cs="宋体"/>
                <w:bCs/>
                <w:color w:val="000000"/>
                <w:sz w:val="24"/>
                <w:szCs w:val="24"/>
              </w:rPr>
              <w:t>和总线</w:t>
            </w:r>
          </w:p>
        </w:tc>
        <w:tc>
          <w:tcPr>
            <w:tcW w:w="3676" w:type="pct"/>
            <w:tcBorders>
              <w:top w:val="single" w:color="auto" w:sz="4" w:space="0"/>
              <w:left w:val="single" w:color="auto" w:sz="4" w:space="0"/>
              <w:bottom w:val="single" w:color="auto" w:sz="4" w:space="0"/>
              <w:right w:val="single" w:color="auto" w:sz="4" w:space="0"/>
            </w:tcBorders>
            <w:vAlign w:val="center"/>
          </w:tcPr>
          <w:p w14:paraId="17A9BA24">
            <w:pPr>
              <w:keepNext w:val="0"/>
              <w:keepLines w:val="0"/>
              <w:pageBreakBefore w:val="0"/>
              <w:kinsoku/>
              <w:overflowPunct/>
              <w:topLinePunct w:val="0"/>
              <w:bidi w:val="0"/>
              <w:adjustRightInd w:val="0"/>
              <w:snapToGrid w:val="0"/>
              <w:spacing w:afterAutospacing="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rPr>
              <w:t>系统采用</w:t>
            </w:r>
            <w:r>
              <w:rPr>
                <w:rFonts w:ascii="宋体" w:hAnsi="宋体" w:eastAsia="宋体" w:cs="宋体"/>
                <w:color w:val="000000"/>
                <w:sz w:val="24"/>
                <w:szCs w:val="24"/>
              </w:rPr>
              <w:t>SIEMENS S7-1500F</w:t>
            </w:r>
            <w:r>
              <w:rPr>
                <w:rFonts w:hint="eastAsia" w:ascii="宋体" w:hAnsi="宋体" w:eastAsia="宋体" w:cs="宋体"/>
                <w:color w:val="000000"/>
                <w:sz w:val="24"/>
                <w:szCs w:val="24"/>
              </w:rPr>
              <w:t>系列</w:t>
            </w:r>
            <w:r>
              <w:rPr>
                <w:rFonts w:ascii="宋体" w:hAnsi="宋体" w:eastAsia="宋体" w:cs="宋体"/>
                <w:color w:val="000000"/>
                <w:sz w:val="24"/>
                <w:szCs w:val="24"/>
              </w:rPr>
              <w:t>PLC及PROFINET</w:t>
            </w:r>
            <w:r>
              <w:rPr>
                <w:rFonts w:hint="eastAsia" w:ascii="宋体" w:hAnsi="宋体" w:eastAsia="宋体" w:cs="宋体"/>
                <w:color w:val="000000"/>
                <w:sz w:val="24"/>
                <w:szCs w:val="24"/>
              </w:rPr>
              <w:t>总线进行控制和</w:t>
            </w:r>
            <w:r>
              <w:rPr>
                <w:rFonts w:ascii="宋体" w:hAnsi="宋体" w:eastAsia="宋体" w:cs="宋体"/>
                <w:color w:val="000000"/>
                <w:sz w:val="24"/>
                <w:szCs w:val="24"/>
              </w:rPr>
              <w:t>通讯</w:t>
            </w:r>
            <w:r>
              <w:rPr>
                <w:rFonts w:hint="eastAsia" w:ascii="宋体" w:hAnsi="宋体" w:eastAsia="宋体" w:cs="宋体"/>
                <w:color w:val="000000"/>
                <w:sz w:val="24"/>
                <w:szCs w:val="24"/>
              </w:rPr>
              <w:t>。</w:t>
            </w:r>
          </w:p>
          <w:p w14:paraId="1DBAEC89">
            <w:pPr>
              <w:keepNext w:val="0"/>
              <w:keepLines w:val="0"/>
              <w:pageBreakBefore w:val="0"/>
              <w:kinsoku/>
              <w:overflowPunct/>
              <w:topLinePunct w:val="0"/>
              <w:bidi w:val="0"/>
              <w:adjustRightInd w:val="0"/>
              <w:snapToGrid w:val="0"/>
              <w:spacing w:afterAutospacing="0" w:line="360" w:lineRule="auto"/>
              <w:jc w:val="left"/>
              <w:rPr>
                <w:rFonts w:ascii="宋体" w:hAnsi="宋体" w:eastAsia="宋体" w:cs="宋体"/>
                <w:color w:val="000000"/>
                <w:sz w:val="24"/>
                <w:szCs w:val="24"/>
              </w:rPr>
            </w:pPr>
            <w:r>
              <w:rPr>
                <w:rFonts w:ascii="宋体" w:hAnsi="宋体" w:eastAsia="宋体" w:cs="宋体"/>
                <w:color w:val="000000"/>
                <w:sz w:val="24"/>
                <w:szCs w:val="24"/>
              </w:rPr>
              <w:t>PLC配置独立的以太网通讯模块CP1543-1，用于与MES系统联网使用。</w:t>
            </w:r>
          </w:p>
        </w:tc>
      </w:tr>
      <w:tr w14:paraId="134C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454D140B">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ascii="宋体" w:hAnsi="宋体" w:eastAsia="宋体" w:cs="宋体"/>
                <w:bCs/>
                <w:color w:val="000000"/>
                <w:sz w:val="24"/>
                <w:szCs w:val="24"/>
              </w:rPr>
              <w:t>2</w:t>
            </w:r>
          </w:p>
        </w:tc>
        <w:tc>
          <w:tcPr>
            <w:tcW w:w="882" w:type="pct"/>
            <w:tcBorders>
              <w:top w:val="single" w:color="auto" w:sz="4" w:space="0"/>
              <w:left w:val="single" w:color="auto" w:sz="4" w:space="0"/>
              <w:bottom w:val="single" w:color="auto" w:sz="4" w:space="0"/>
              <w:right w:val="single" w:color="auto" w:sz="4" w:space="0"/>
            </w:tcBorders>
            <w:vAlign w:val="center"/>
          </w:tcPr>
          <w:p w14:paraId="210D68BB">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交换机</w:t>
            </w:r>
          </w:p>
        </w:tc>
        <w:tc>
          <w:tcPr>
            <w:tcW w:w="3676" w:type="pct"/>
            <w:tcBorders>
              <w:top w:val="single" w:color="auto" w:sz="4" w:space="0"/>
              <w:left w:val="single" w:color="auto" w:sz="4" w:space="0"/>
              <w:bottom w:val="single" w:color="auto" w:sz="4" w:space="0"/>
              <w:right w:val="single" w:color="auto" w:sz="4" w:space="0"/>
            </w:tcBorders>
            <w:vAlign w:val="center"/>
          </w:tcPr>
          <w:p w14:paraId="3B0B6F3C">
            <w:pPr>
              <w:keepNext w:val="0"/>
              <w:keepLines w:val="0"/>
              <w:pageBreakBefore w:val="0"/>
              <w:kinsoku/>
              <w:overflowPunct/>
              <w:topLinePunct w:val="0"/>
              <w:bidi w:val="0"/>
              <w:adjustRightInd w:val="0"/>
              <w:snapToGrid w:val="0"/>
              <w:spacing w:afterAutospacing="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rPr>
              <w:t>系统</w:t>
            </w:r>
            <w:r>
              <w:rPr>
                <w:rFonts w:ascii="宋体" w:hAnsi="宋体" w:eastAsia="宋体" w:cs="宋体"/>
                <w:color w:val="000000"/>
                <w:sz w:val="24"/>
                <w:szCs w:val="24"/>
              </w:rPr>
              <w:t>配置SIEMENS以太网</w:t>
            </w:r>
            <w:r>
              <w:rPr>
                <w:rFonts w:hint="eastAsia" w:ascii="宋体" w:hAnsi="宋体" w:eastAsia="宋体" w:cs="宋体"/>
                <w:color w:val="000000"/>
                <w:sz w:val="24"/>
                <w:szCs w:val="24"/>
              </w:rPr>
              <w:t>交换机</w:t>
            </w:r>
            <w:r>
              <w:rPr>
                <w:rFonts w:ascii="宋体" w:hAnsi="宋体" w:eastAsia="宋体" w:cs="宋体"/>
                <w:color w:val="000000"/>
                <w:sz w:val="24"/>
                <w:szCs w:val="24"/>
              </w:rPr>
              <w:t>，</w:t>
            </w:r>
            <w:r>
              <w:rPr>
                <w:rFonts w:hint="eastAsia" w:ascii="宋体" w:hAnsi="宋体" w:eastAsia="宋体" w:cs="宋体"/>
                <w:color w:val="000000"/>
                <w:sz w:val="24"/>
                <w:szCs w:val="24"/>
              </w:rPr>
              <w:t>交换机</w:t>
            </w:r>
            <w:r>
              <w:rPr>
                <w:rFonts w:ascii="宋体" w:hAnsi="宋体" w:eastAsia="宋体" w:cs="宋体"/>
                <w:color w:val="000000"/>
                <w:sz w:val="24"/>
                <w:szCs w:val="24"/>
              </w:rPr>
              <w:t>之间进行环网</w:t>
            </w:r>
            <w:r>
              <w:rPr>
                <w:rFonts w:hint="eastAsia" w:ascii="宋体" w:hAnsi="宋体" w:eastAsia="宋体" w:cs="宋体"/>
                <w:color w:val="000000"/>
                <w:sz w:val="24"/>
                <w:szCs w:val="24"/>
              </w:rPr>
              <w:t>连接</w:t>
            </w:r>
            <w:r>
              <w:rPr>
                <w:rFonts w:ascii="宋体" w:hAnsi="宋体" w:eastAsia="宋体" w:cs="宋体"/>
                <w:color w:val="000000"/>
                <w:sz w:val="24"/>
                <w:szCs w:val="24"/>
              </w:rPr>
              <w:t>。</w:t>
            </w:r>
          </w:p>
        </w:tc>
      </w:tr>
      <w:tr w14:paraId="0B88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tcBorders>
              <w:top w:val="single" w:color="auto" w:sz="4" w:space="0"/>
              <w:left w:val="single" w:color="auto" w:sz="4" w:space="0"/>
              <w:bottom w:val="single" w:color="auto" w:sz="4" w:space="0"/>
              <w:right w:val="single" w:color="auto" w:sz="4" w:space="0"/>
            </w:tcBorders>
            <w:vAlign w:val="center"/>
          </w:tcPr>
          <w:p w14:paraId="554113A1">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ascii="宋体" w:hAnsi="宋体" w:eastAsia="宋体" w:cs="宋体"/>
                <w:bCs/>
                <w:color w:val="000000"/>
                <w:sz w:val="24"/>
                <w:szCs w:val="24"/>
              </w:rPr>
              <w:t>3</w:t>
            </w:r>
          </w:p>
        </w:tc>
        <w:tc>
          <w:tcPr>
            <w:tcW w:w="882" w:type="pct"/>
            <w:tcBorders>
              <w:top w:val="single" w:color="auto" w:sz="4" w:space="0"/>
              <w:left w:val="single" w:color="auto" w:sz="4" w:space="0"/>
              <w:bottom w:val="single" w:color="auto" w:sz="4" w:space="0"/>
              <w:right w:val="single" w:color="auto" w:sz="4" w:space="0"/>
            </w:tcBorders>
            <w:vAlign w:val="center"/>
          </w:tcPr>
          <w:p w14:paraId="310FD9E6">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远程</w:t>
            </w:r>
            <w:r>
              <w:rPr>
                <w:rFonts w:ascii="宋体" w:hAnsi="宋体" w:eastAsia="宋体" w:cs="宋体"/>
                <w:bCs/>
                <w:color w:val="000000"/>
                <w:sz w:val="24"/>
                <w:szCs w:val="24"/>
              </w:rPr>
              <w:t>IO</w:t>
            </w:r>
            <w:r>
              <w:rPr>
                <w:rFonts w:hint="eastAsia" w:ascii="宋体" w:hAnsi="宋体" w:eastAsia="宋体" w:cs="宋体"/>
                <w:bCs/>
                <w:color w:val="000000"/>
                <w:sz w:val="24"/>
                <w:szCs w:val="24"/>
              </w:rPr>
              <w:t>模块</w:t>
            </w:r>
          </w:p>
        </w:tc>
        <w:tc>
          <w:tcPr>
            <w:tcW w:w="3676" w:type="pct"/>
            <w:tcBorders>
              <w:top w:val="single" w:color="auto" w:sz="4" w:space="0"/>
              <w:left w:val="single" w:color="auto" w:sz="4" w:space="0"/>
              <w:bottom w:val="single" w:color="auto" w:sz="4" w:space="0"/>
              <w:right w:val="single" w:color="auto" w:sz="4" w:space="0"/>
            </w:tcBorders>
            <w:vAlign w:val="center"/>
          </w:tcPr>
          <w:p w14:paraId="5841E8FC">
            <w:pPr>
              <w:keepNext w:val="0"/>
              <w:keepLines w:val="0"/>
              <w:pageBreakBefore w:val="0"/>
              <w:kinsoku/>
              <w:overflowPunct/>
              <w:topLinePunct w:val="0"/>
              <w:bidi w:val="0"/>
              <w:adjustRightInd w:val="0"/>
              <w:snapToGrid w:val="0"/>
              <w:spacing w:afterAutospacing="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rPr>
              <w:t>选用</w:t>
            </w:r>
            <w:r>
              <w:rPr>
                <w:rFonts w:ascii="宋体" w:hAnsi="宋体" w:eastAsia="宋体" w:cs="宋体"/>
                <w:color w:val="000000"/>
                <w:sz w:val="24"/>
                <w:szCs w:val="24"/>
              </w:rPr>
              <w:t>ET200Sp</w:t>
            </w:r>
            <w:r>
              <w:rPr>
                <w:rFonts w:hint="eastAsia" w:ascii="宋体" w:hAnsi="宋体" w:eastAsia="宋体" w:cs="宋体"/>
                <w:color w:val="000000"/>
                <w:sz w:val="24"/>
                <w:szCs w:val="24"/>
              </w:rPr>
              <w:t>模块。</w:t>
            </w:r>
          </w:p>
        </w:tc>
      </w:tr>
      <w:tr w14:paraId="2071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27B94999">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color w:val="000000"/>
                <w:sz w:val="24"/>
                <w:szCs w:val="24"/>
              </w:rPr>
            </w:pPr>
            <w:r>
              <w:rPr>
                <w:rFonts w:ascii="宋体" w:hAnsi="宋体" w:eastAsia="宋体" w:cs="宋体"/>
                <w:color w:val="000000"/>
                <w:sz w:val="24"/>
                <w:szCs w:val="24"/>
              </w:rPr>
              <w:t>3</w:t>
            </w:r>
          </w:p>
        </w:tc>
        <w:tc>
          <w:tcPr>
            <w:tcW w:w="882" w:type="pct"/>
            <w:vAlign w:val="center"/>
          </w:tcPr>
          <w:p w14:paraId="6EA0DAD3">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color w:val="000000"/>
                <w:sz w:val="24"/>
                <w:szCs w:val="24"/>
              </w:rPr>
            </w:pPr>
            <w:r>
              <w:rPr>
                <w:rFonts w:ascii="宋体" w:hAnsi="宋体" w:eastAsia="宋体" w:cs="宋体"/>
                <w:color w:val="000000"/>
                <w:sz w:val="24"/>
                <w:szCs w:val="24"/>
              </w:rPr>
              <w:t>HMI布置</w:t>
            </w:r>
          </w:p>
        </w:tc>
        <w:tc>
          <w:tcPr>
            <w:tcW w:w="3676" w:type="pct"/>
            <w:vAlign w:val="center"/>
          </w:tcPr>
          <w:p w14:paraId="319A5354">
            <w:pPr>
              <w:keepNext w:val="0"/>
              <w:keepLines w:val="0"/>
              <w:pageBreakBefore w:val="0"/>
              <w:numPr>
                <w:ilvl w:val="255"/>
                <w:numId w:val="0"/>
              </w:numPr>
              <w:kinsoku/>
              <w:overflowPunct/>
              <w:topLinePunct w:val="0"/>
              <w:bidi w:val="0"/>
              <w:adjustRightInd w:val="0"/>
              <w:snapToGrid w:val="0"/>
              <w:spacing w:afterAutospacing="0" w:line="360" w:lineRule="auto"/>
              <w:jc w:val="left"/>
              <w:rPr>
                <w:rFonts w:ascii="宋体" w:hAnsi="宋体" w:eastAsia="宋体" w:cs="宋体"/>
                <w:color w:val="000000"/>
                <w:sz w:val="24"/>
                <w:szCs w:val="24"/>
              </w:rPr>
            </w:pPr>
            <w:r>
              <w:rPr>
                <w:rFonts w:hint="eastAsia" w:ascii="宋体" w:hAnsi="宋体" w:eastAsia="宋体" w:cs="宋体"/>
                <w:color w:val="000000"/>
                <w:sz w:val="24"/>
                <w:szCs w:val="24"/>
              </w:rPr>
              <w:t>主控柜面板设置</w:t>
            </w:r>
            <w:r>
              <w:rPr>
                <w:rFonts w:ascii="宋体" w:hAnsi="宋体" w:eastAsia="宋体" w:cs="宋体"/>
                <w:color w:val="000000"/>
                <w:sz w:val="24"/>
                <w:szCs w:val="24"/>
              </w:rPr>
              <w:t>TP1500</w:t>
            </w:r>
            <w:r>
              <w:rPr>
                <w:rFonts w:hint="eastAsia" w:ascii="宋体" w:hAnsi="宋体" w:eastAsia="宋体" w:cs="宋体"/>
                <w:color w:val="000000"/>
                <w:sz w:val="24"/>
                <w:szCs w:val="24"/>
              </w:rPr>
              <w:t>触摸屏。</w:t>
            </w:r>
          </w:p>
          <w:p w14:paraId="5951EAE7">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jc w:val="left"/>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rPr>
              <w:t>底盘线</w:t>
            </w:r>
            <w:r>
              <w:rPr>
                <w:rFonts w:ascii="宋体" w:hAnsi="宋体" w:eastAsia="宋体" w:cs="Times New Roman"/>
                <w:color w:val="000000"/>
                <w:sz w:val="24"/>
                <w:szCs w:val="24"/>
              </w:rPr>
              <w:t>上线升降机位置操作站分别设置</w:t>
            </w:r>
            <w:r>
              <w:rPr>
                <w:rFonts w:hint="eastAsia" w:ascii="宋体" w:hAnsi="宋体" w:eastAsia="宋体" w:cs="Times New Roman"/>
                <w:color w:val="000000"/>
                <w:sz w:val="24"/>
                <w:szCs w:val="24"/>
              </w:rPr>
              <w:t>TP1200触摸屏</w:t>
            </w:r>
            <w:r>
              <w:rPr>
                <w:rFonts w:ascii="宋体" w:hAnsi="宋体" w:eastAsia="宋体" w:cs="Times New Roman"/>
                <w:color w:val="000000"/>
                <w:sz w:val="24"/>
                <w:szCs w:val="24"/>
              </w:rPr>
              <w:t>。</w:t>
            </w:r>
          </w:p>
          <w:p w14:paraId="70DC76AC">
            <w:pPr>
              <w:keepNext w:val="0"/>
              <w:keepLines w:val="0"/>
              <w:pageBreakBefore w:val="0"/>
              <w:numPr>
                <w:ilvl w:val="0"/>
                <w:numId w:val="0"/>
              </w:numPr>
              <w:kinsoku/>
              <w:overflowPunct/>
              <w:topLinePunct w:val="0"/>
              <w:bidi w:val="0"/>
              <w:adjustRightInd w:val="0"/>
              <w:snapToGrid w:val="0"/>
              <w:spacing w:afterAutospacing="0" w:line="360" w:lineRule="auto"/>
              <w:ind w:left="360" w:leftChars="0" w:hanging="360" w:firstLineChars="0"/>
              <w:jc w:val="left"/>
              <w:rPr>
                <w:rFonts w:ascii="宋体" w:hAnsi="宋体" w:eastAsia="宋体" w:cs="宋体"/>
                <w:color w:val="000000"/>
                <w:sz w:val="24"/>
                <w:szCs w:val="24"/>
              </w:rPr>
            </w:pPr>
            <w:r>
              <w:rPr>
                <w:rFonts w:hint="default" w:ascii="宋体" w:hAnsi="宋体" w:eastAsia="宋体" w:cs="Times New Roman"/>
                <w:color w:val="000000"/>
                <w:kern w:val="2"/>
                <w:sz w:val="24"/>
                <w:szCs w:val="24"/>
                <w:lang w:val="en-US" w:eastAsia="zh-CN" w:bidi="ar-SA"/>
              </w:rPr>
              <w:t>2）</w:t>
            </w:r>
            <w:r>
              <w:rPr>
                <w:rFonts w:hint="eastAsia" w:ascii="宋体" w:hAnsi="宋体" w:eastAsia="宋体" w:cs="宋体"/>
                <w:color w:val="000000"/>
                <w:sz w:val="24"/>
                <w:szCs w:val="24"/>
              </w:rPr>
              <w:t>其他位置</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根据</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提供的工艺图纸说明</w:t>
            </w:r>
            <w:r>
              <w:rPr>
                <w:rFonts w:ascii="宋体" w:hAnsi="宋体" w:eastAsia="宋体" w:cs="宋体"/>
                <w:color w:val="000000"/>
                <w:sz w:val="24"/>
                <w:szCs w:val="24"/>
              </w:rPr>
              <w:t>HMI位置及数量，投标时提供。</w:t>
            </w:r>
          </w:p>
        </w:tc>
      </w:tr>
      <w:tr w14:paraId="5FBD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09BB5B19">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ascii="宋体" w:hAnsi="宋体" w:eastAsia="宋体" w:cs="宋体"/>
                <w:bCs/>
                <w:color w:val="000000"/>
                <w:sz w:val="24"/>
                <w:szCs w:val="24"/>
              </w:rPr>
              <w:t>4</w:t>
            </w:r>
          </w:p>
        </w:tc>
        <w:tc>
          <w:tcPr>
            <w:tcW w:w="882" w:type="pct"/>
            <w:vAlign w:val="center"/>
          </w:tcPr>
          <w:p w14:paraId="63FB64E2">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控制要求</w:t>
            </w:r>
          </w:p>
        </w:tc>
        <w:tc>
          <w:tcPr>
            <w:tcW w:w="3676" w:type="pct"/>
            <w:vAlign w:val="center"/>
          </w:tcPr>
          <w:p w14:paraId="23EE7B8E">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1</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z w:val="24"/>
                <w:szCs w:val="24"/>
              </w:rPr>
              <w:t>设备</w:t>
            </w:r>
            <w:r>
              <w:rPr>
                <w:rFonts w:ascii="宋体" w:hAnsi="宋体" w:eastAsia="宋体" w:cs="宋体"/>
                <w:color w:val="000000"/>
                <w:sz w:val="24"/>
                <w:szCs w:val="24"/>
              </w:rPr>
              <w:t>采用自动、手动、维护操作模式。</w:t>
            </w:r>
          </w:p>
          <w:p w14:paraId="4BADEDD0">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z w:val="24"/>
                <w:szCs w:val="24"/>
              </w:rPr>
              <w:t>设备交接位置设置车身检测开关和交接完成检测开关，确保转接过程安全、平稳。</w:t>
            </w:r>
          </w:p>
          <w:p w14:paraId="63E0B19E">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3</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z w:val="24"/>
                <w:szCs w:val="24"/>
              </w:rPr>
              <w:t>升降机出、入</w:t>
            </w:r>
            <w:r>
              <w:rPr>
                <w:rFonts w:ascii="宋体" w:hAnsi="宋体" w:eastAsia="宋体" w:cs="宋体"/>
                <w:color w:val="000000"/>
                <w:sz w:val="24"/>
                <w:szCs w:val="24"/>
              </w:rPr>
              <w:t>口位置设置安全光栅，</w:t>
            </w:r>
            <w:r>
              <w:rPr>
                <w:rFonts w:hint="eastAsia" w:ascii="宋体" w:hAnsi="宋体" w:eastAsia="宋体" w:cs="宋体"/>
                <w:color w:val="000000"/>
                <w:sz w:val="24"/>
                <w:szCs w:val="24"/>
              </w:rPr>
              <w:t>围栏</w:t>
            </w:r>
            <w:r>
              <w:rPr>
                <w:rFonts w:ascii="宋体" w:hAnsi="宋体" w:eastAsia="宋体" w:cs="宋体"/>
                <w:color w:val="000000"/>
                <w:sz w:val="24"/>
                <w:szCs w:val="24"/>
              </w:rPr>
              <w:t>安全门设置安全门锁，与系统联锁。</w:t>
            </w:r>
          </w:p>
          <w:p w14:paraId="1DB8F97E">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4</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z w:val="24"/>
                <w:szCs w:val="24"/>
              </w:rPr>
              <w:t>车身下线</w:t>
            </w:r>
            <w:r>
              <w:rPr>
                <w:rFonts w:ascii="宋体" w:hAnsi="宋体" w:eastAsia="宋体" w:cs="宋体"/>
                <w:color w:val="000000"/>
                <w:sz w:val="24"/>
                <w:szCs w:val="24"/>
              </w:rPr>
              <w:t>转接升降机设置车身拖点检测开关。</w:t>
            </w:r>
          </w:p>
          <w:p w14:paraId="53B55BFF">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5</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z w:val="24"/>
                <w:szCs w:val="24"/>
              </w:rPr>
              <w:t>设备需设置</w:t>
            </w:r>
            <w:r>
              <w:rPr>
                <w:rFonts w:ascii="宋体" w:hAnsi="宋体" w:eastAsia="宋体" w:cs="宋体"/>
                <w:color w:val="000000"/>
                <w:sz w:val="24"/>
                <w:szCs w:val="24"/>
              </w:rPr>
              <w:t>FPS</w:t>
            </w:r>
            <w:r>
              <w:rPr>
                <w:rFonts w:hint="eastAsia" w:ascii="宋体" w:hAnsi="宋体" w:eastAsia="宋体" w:cs="宋体"/>
                <w:color w:val="000000"/>
                <w:sz w:val="24"/>
                <w:szCs w:val="24"/>
              </w:rPr>
              <w:t>整工位检测开关，并反馈</w:t>
            </w:r>
            <w:r>
              <w:rPr>
                <w:rFonts w:ascii="宋体" w:hAnsi="宋体" w:eastAsia="宋体" w:cs="宋体"/>
                <w:color w:val="000000"/>
                <w:sz w:val="24"/>
                <w:szCs w:val="24"/>
              </w:rPr>
              <w:t>PLC</w:t>
            </w:r>
            <w:r>
              <w:rPr>
                <w:rFonts w:hint="eastAsia" w:ascii="宋体" w:hAnsi="宋体" w:eastAsia="宋体" w:cs="宋体"/>
                <w:color w:val="000000"/>
                <w:sz w:val="24"/>
                <w:szCs w:val="24"/>
              </w:rPr>
              <w:t>系统。</w:t>
            </w:r>
          </w:p>
          <w:p w14:paraId="211C1A56">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6</w:t>
            </w:r>
            <w:r>
              <w:rPr>
                <w:rFonts w:hint="eastAsia" w:ascii="宋体" w:hAnsi="宋体" w:eastAsia="宋体" w:cs="宋体"/>
                <w:color w:val="000000"/>
                <w:kern w:val="2"/>
                <w:sz w:val="24"/>
                <w:szCs w:val="24"/>
                <w:lang w:val="en-US" w:eastAsia="zh-CN" w:bidi="ar-SA"/>
              </w:rPr>
              <w:t>）</w:t>
            </w:r>
            <w:r>
              <w:rPr>
                <w:rFonts w:hint="eastAsia" w:ascii="宋体" w:hAnsi="宋体" w:eastAsia="宋体" w:cs="宋体"/>
                <w:color w:val="000000"/>
                <w:sz w:val="24"/>
                <w:szCs w:val="24"/>
              </w:rPr>
              <w:t>吊具控制充分考虑安全检测、安全开关的设置，确保系统安全等级要求。</w:t>
            </w:r>
          </w:p>
        </w:tc>
      </w:tr>
      <w:tr w14:paraId="19966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vAlign w:val="center"/>
          </w:tcPr>
          <w:p w14:paraId="0F209AFC">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ascii="宋体" w:hAnsi="宋体" w:eastAsia="宋体" w:cs="宋体"/>
                <w:bCs/>
                <w:color w:val="000000"/>
                <w:sz w:val="24"/>
                <w:szCs w:val="24"/>
              </w:rPr>
              <w:t>5</w:t>
            </w:r>
          </w:p>
        </w:tc>
        <w:tc>
          <w:tcPr>
            <w:tcW w:w="882" w:type="pct"/>
            <w:vAlign w:val="center"/>
          </w:tcPr>
          <w:p w14:paraId="39C12515">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联锁</w:t>
            </w:r>
          </w:p>
        </w:tc>
        <w:tc>
          <w:tcPr>
            <w:tcW w:w="3676" w:type="pct"/>
            <w:vAlign w:val="center"/>
          </w:tcPr>
          <w:p w14:paraId="00295A56">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1</w:t>
            </w:r>
            <w:r>
              <w:rPr>
                <w:rFonts w:hint="eastAsia" w:ascii="宋体" w:hAnsi="宋体" w:eastAsia="宋体" w:cs="宋体"/>
                <w:color w:val="000000"/>
                <w:kern w:val="2"/>
                <w:sz w:val="24"/>
                <w:szCs w:val="24"/>
                <w:lang w:val="en-US" w:eastAsia="zh-CN" w:bidi="ar-SA"/>
              </w:rPr>
              <w:t>）</w:t>
            </w:r>
            <w:r>
              <w:rPr>
                <w:rFonts w:hint="eastAsia" w:ascii="宋体" w:hAnsi="宋体" w:eastAsia="宋体" w:cs="Times New Roman"/>
                <w:color w:val="000000"/>
                <w:sz w:val="24"/>
                <w:szCs w:val="24"/>
              </w:rPr>
              <w:t>与内饰线、完成线采用PN</w:t>
            </w:r>
            <w:r>
              <w:rPr>
                <w:rFonts w:ascii="宋体" w:hAnsi="宋体" w:eastAsia="宋体" w:cs="Times New Roman"/>
                <w:color w:val="000000"/>
                <w:sz w:val="24"/>
                <w:szCs w:val="24"/>
              </w:rPr>
              <w:t>/</w:t>
            </w:r>
            <w:r>
              <w:rPr>
                <w:rFonts w:hint="eastAsia" w:ascii="宋体" w:hAnsi="宋体" w:eastAsia="宋体" w:cs="Times New Roman"/>
                <w:color w:val="000000"/>
                <w:sz w:val="24"/>
                <w:szCs w:val="24"/>
              </w:rPr>
              <w:t>PN耦合器和</w:t>
            </w:r>
            <w:r>
              <w:rPr>
                <w:rFonts w:ascii="宋体" w:hAnsi="宋体" w:eastAsia="宋体" w:cs="Times New Roman"/>
                <w:color w:val="000000"/>
                <w:sz w:val="24"/>
                <w:szCs w:val="24"/>
              </w:rPr>
              <w:t>无源干接点方式</w:t>
            </w:r>
            <w:r>
              <w:rPr>
                <w:rFonts w:hint="eastAsia" w:ascii="宋体" w:hAnsi="宋体" w:eastAsia="宋体" w:cs="Times New Roman"/>
                <w:color w:val="000000"/>
                <w:sz w:val="24"/>
                <w:szCs w:val="24"/>
                <w:lang w:eastAsia="zh-CN"/>
              </w:rPr>
              <w:t>联锁</w:t>
            </w:r>
          </w:p>
          <w:p w14:paraId="64887106">
            <w:pPr>
              <w:keepNext w:val="0"/>
              <w:keepLines w:val="0"/>
              <w:pageBreakBefore w:val="0"/>
              <w:numPr>
                <w:ilvl w:val="0"/>
                <w:numId w:val="0"/>
              </w:numPr>
              <w:kinsoku/>
              <w:overflowPunct/>
              <w:topLinePunct w:val="0"/>
              <w:bidi w:val="0"/>
              <w:adjustRightInd w:val="0"/>
              <w:snapToGrid w:val="0"/>
              <w:spacing w:afterAutospacing="0" w:line="360" w:lineRule="auto"/>
              <w:ind w:left="425" w:leftChars="0" w:hanging="425" w:firstLineChars="0"/>
              <w:jc w:val="left"/>
              <w:rPr>
                <w:rFonts w:ascii="宋体" w:hAnsi="宋体" w:eastAsia="宋体" w:cs="宋体"/>
                <w:color w:val="000000"/>
                <w:sz w:val="24"/>
                <w:szCs w:val="24"/>
              </w:rPr>
            </w:pPr>
            <w:r>
              <w:rPr>
                <w:rFonts w:hint="default" w:ascii="宋体" w:hAnsi="宋体" w:eastAsia="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w:t>
            </w:r>
            <w:r>
              <w:rPr>
                <w:rFonts w:ascii="宋体" w:hAnsi="宋体" w:eastAsia="宋体" w:cs="宋体"/>
                <w:color w:val="000000"/>
                <w:sz w:val="24"/>
                <w:szCs w:val="24"/>
              </w:rPr>
              <w:t>与拧紧工具</w:t>
            </w:r>
            <w:r>
              <w:rPr>
                <w:rFonts w:hint="eastAsia" w:ascii="宋体" w:hAnsi="宋体" w:eastAsia="宋体" w:cs="宋体"/>
                <w:color w:val="000000"/>
                <w:sz w:val="24"/>
                <w:szCs w:val="24"/>
              </w:rPr>
              <w:t>系统采用以太网连接通信，底盘线提供以太网接口及数据。</w:t>
            </w:r>
          </w:p>
        </w:tc>
      </w:tr>
    </w:tbl>
    <w:p w14:paraId="22ADB18B">
      <w:pPr>
        <w:keepNext w:val="0"/>
        <w:keepLines w:val="0"/>
        <w:pageBreakBefore w:val="0"/>
        <w:widowControl w:val="0"/>
        <w:numPr>
          <w:ilvl w:val="0"/>
          <w:numId w:val="45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完成线设备技术要求</w:t>
      </w:r>
    </w:p>
    <w:p w14:paraId="7C7D6ED4">
      <w:pPr>
        <w:keepNext w:val="0"/>
        <w:keepLines w:val="0"/>
        <w:pageBreakBefore w:val="0"/>
        <w:widowControl w:val="0"/>
        <w:numPr>
          <w:ilvl w:val="0"/>
          <w:numId w:val="4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工艺流程概述：</w:t>
      </w:r>
      <w:r>
        <w:rPr>
          <w:rFonts w:ascii="Times New Roman" w:hAnsi="Times New Roman" w:eastAsia="宋体" w:cs="Times New Roman"/>
          <w:sz w:val="24"/>
        </w:rPr>
        <w:t>本宽板链用于完成线，速度变频可调。</w:t>
      </w:r>
    </w:p>
    <w:p w14:paraId="0987F566">
      <w:pPr>
        <w:keepNext w:val="0"/>
        <w:keepLines w:val="0"/>
        <w:pageBreakBefore w:val="0"/>
        <w:widowControl w:val="0"/>
        <w:numPr>
          <w:ilvl w:val="0"/>
          <w:numId w:val="4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输送线主要由驱动装置、传动轴总成、张紧轴总成、传动轴支架、张紧轴支架、中间机架、头部地坑钢结构、尾部地坑钢结构、两头地坑盖板、输送链条、检修地坑、台面板、导轨及电控设备等组成。</w:t>
      </w:r>
    </w:p>
    <w:p w14:paraId="5FF2EEDA">
      <w:pPr>
        <w:keepNext w:val="0"/>
        <w:keepLines w:val="0"/>
        <w:pageBreakBefore w:val="0"/>
        <w:widowControl w:val="0"/>
        <w:numPr>
          <w:ilvl w:val="0"/>
          <w:numId w:val="4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本项目中上线位置配置随行升降机进行转序，并将车身随行输送到板链上。</w:t>
      </w:r>
    </w:p>
    <w:p w14:paraId="4243CACA">
      <w:pPr>
        <w:keepNext w:val="0"/>
        <w:keepLines w:val="0"/>
        <w:pageBreakBefore w:val="0"/>
        <w:widowControl w:val="0"/>
        <w:numPr>
          <w:ilvl w:val="0"/>
          <w:numId w:val="4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宽板链入口、出口、操作工位等区域设置按钮站，布置急停开关、复位开关和三色柱示灯，便于在出现异常或故障时使用，确保生产安全。在按急停时，指示灯红灯亮，并伴有声音提醒，松开急停开关并复位后，声光报警停止，并能自动启动输送线。</w:t>
      </w:r>
    </w:p>
    <w:p w14:paraId="41CDB2FC">
      <w:pPr>
        <w:keepNext w:val="0"/>
        <w:keepLines w:val="0"/>
        <w:pageBreakBefore w:val="0"/>
        <w:widowControl w:val="0"/>
        <w:numPr>
          <w:ilvl w:val="0"/>
          <w:numId w:val="4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线体末端（检查工位）设置安全、可靠的防撞车保护装置（光电开关保护），以防下线车辆无人开走滞留和随后车辆发生撞车事故。</w:t>
      </w:r>
    </w:p>
    <w:p w14:paraId="574B08D5">
      <w:pPr>
        <w:keepNext w:val="0"/>
        <w:keepLines w:val="0"/>
        <w:pageBreakBefore w:val="0"/>
        <w:widowControl w:val="0"/>
        <w:numPr>
          <w:ilvl w:val="0"/>
          <w:numId w:val="4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输送线末端位置设置防夹脚装置，当有异物进入回转区域时，触发阻挡机构及安全开关及时停线，最大程度上保护人员安全。</w:t>
      </w:r>
    </w:p>
    <w:p w14:paraId="3068EA8B">
      <w:pPr>
        <w:keepNext w:val="0"/>
        <w:keepLines w:val="0"/>
        <w:pageBreakBefore w:val="0"/>
        <w:kinsoku/>
        <w:overflowPunct/>
        <w:topLinePunct w:val="0"/>
        <w:bidi w:val="0"/>
        <w:adjustRightInd w:val="0"/>
        <w:snapToGrid w:val="0"/>
        <w:spacing w:afterAutospacing="0" w:line="360" w:lineRule="auto"/>
        <w:ind w:left="200"/>
        <w:rPr>
          <w:rFonts w:ascii="宋体" w:hAnsi="宋体" w:eastAsia="宋体" w:cs="Arial"/>
          <w:sz w:val="24"/>
          <w:szCs w:val="20"/>
        </w:rPr>
      </w:pPr>
      <w:r>
        <w:rPr>
          <w:rFonts w:ascii="宋体" w:hAnsi="宋体" w:eastAsia="宋体" w:cs="Times New Roman"/>
          <w:sz w:val="24"/>
          <w:szCs w:val="20"/>
        </w:rPr>
        <w:drawing>
          <wp:inline distT="0" distB="0" distL="114300" distR="114300">
            <wp:extent cx="5621020" cy="1031240"/>
            <wp:effectExtent l="0" t="0" r="2540" b="5080"/>
            <wp:docPr id="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
                    <pic:cNvPicPr>
                      <a:picLocks noChangeAspect="1"/>
                    </pic:cNvPicPr>
                  </pic:nvPicPr>
                  <pic:blipFill>
                    <a:blip r:embed="rId28"/>
                    <a:stretch>
                      <a:fillRect/>
                    </a:stretch>
                  </pic:blipFill>
                  <pic:spPr>
                    <a:xfrm>
                      <a:off x="0" y="0"/>
                      <a:ext cx="5621020" cy="1033358"/>
                    </a:xfrm>
                    <a:prstGeom prst="rect">
                      <a:avLst/>
                    </a:prstGeom>
                    <a:noFill/>
                    <a:ln>
                      <a:noFill/>
                    </a:ln>
                  </pic:spPr>
                </pic:pic>
              </a:graphicData>
            </a:graphic>
          </wp:inline>
        </w:drawing>
      </w:r>
    </w:p>
    <w:p w14:paraId="0254CC71">
      <w:pPr>
        <w:keepNext w:val="0"/>
        <w:keepLines w:val="0"/>
        <w:pageBreakBefore w:val="0"/>
        <w:kinsoku/>
        <w:overflowPunct/>
        <w:topLinePunct w:val="0"/>
        <w:bidi w:val="0"/>
        <w:adjustRightInd w:val="0"/>
        <w:snapToGrid w:val="0"/>
        <w:spacing w:afterAutospacing="0" w:line="360" w:lineRule="auto"/>
        <w:jc w:val="left"/>
        <w:rPr>
          <w:rFonts w:ascii="宋体" w:hAnsi="宋体" w:eastAsia="宋体" w:cs="Times New Roman"/>
          <w:sz w:val="24"/>
          <w:szCs w:val="20"/>
        </w:rPr>
      </w:pPr>
      <w:r>
        <w:rPr>
          <w:rFonts w:ascii="宋体" w:hAnsi="宋体" w:eastAsia="宋体" w:cs="Times New Roman"/>
          <w:sz w:val="24"/>
          <w:szCs w:val="20"/>
        </w:rPr>
        <w:drawing>
          <wp:inline distT="0" distB="0" distL="114300" distR="114300">
            <wp:extent cx="5788660" cy="3338830"/>
            <wp:effectExtent l="0" t="0" r="2540" b="13970"/>
            <wp:docPr id="14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 name="图片 3"/>
                    <pic:cNvPicPr>
                      <a:picLocks noChangeAspect="1"/>
                    </pic:cNvPicPr>
                  </pic:nvPicPr>
                  <pic:blipFill>
                    <a:blip r:embed="rId29"/>
                    <a:stretch>
                      <a:fillRect/>
                    </a:stretch>
                  </pic:blipFill>
                  <pic:spPr>
                    <a:xfrm>
                      <a:off x="0" y="0"/>
                      <a:ext cx="5788660" cy="3338830"/>
                    </a:xfrm>
                    <a:prstGeom prst="rect">
                      <a:avLst/>
                    </a:prstGeom>
                    <a:noFill/>
                    <a:ln>
                      <a:noFill/>
                    </a:ln>
                  </pic:spPr>
                </pic:pic>
              </a:graphicData>
            </a:graphic>
          </wp:inline>
        </w:drawing>
      </w:r>
      <w:r>
        <w:rPr>
          <w:rFonts w:ascii="宋体" w:hAnsi="宋体" w:eastAsia="宋体" w:cs="Times New Roman"/>
          <w:sz w:val="24"/>
          <w:szCs w:val="20"/>
        </w:rPr>
        <w:drawing>
          <wp:inline distT="0" distB="0" distL="114300" distR="114300">
            <wp:extent cx="5908040" cy="3593465"/>
            <wp:effectExtent l="0" t="0" r="5080" b="3175"/>
            <wp:docPr id="14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 name="图片 4"/>
                    <pic:cNvPicPr>
                      <a:picLocks noChangeAspect="1"/>
                    </pic:cNvPicPr>
                  </pic:nvPicPr>
                  <pic:blipFill>
                    <a:blip r:embed="rId30"/>
                    <a:stretch>
                      <a:fillRect/>
                    </a:stretch>
                  </pic:blipFill>
                  <pic:spPr>
                    <a:xfrm>
                      <a:off x="0" y="0"/>
                      <a:ext cx="5908040" cy="3593465"/>
                    </a:xfrm>
                    <a:prstGeom prst="rect">
                      <a:avLst/>
                    </a:prstGeom>
                    <a:noFill/>
                    <a:ln>
                      <a:noFill/>
                    </a:ln>
                  </pic:spPr>
                </pic:pic>
              </a:graphicData>
            </a:graphic>
          </wp:inline>
        </w:drawing>
      </w:r>
    </w:p>
    <w:p w14:paraId="4C6EF038">
      <w:pPr>
        <w:keepNext w:val="0"/>
        <w:keepLines w:val="0"/>
        <w:pageBreakBefore w:val="0"/>
        <w:widowControl w:val="0"/>
        <w:numPr>
          <w:ilvl w:val="0"/>
          <w:numId w:val="481"/>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主要设备及参数</w:t>
      </w:r>
    </w:p>
    <w:tbl>
      <w:tblPr>
        <w:tblStyle w:val="44"/>
        <w:tblW w:w="4998" w:type="pct"/>
        <w:jc w:val="center"/>
        <w:tblLayout w:type="autofit"/>
        <w:tblCellMar>
          <w:top w:w="0" w:type="dxa"/>
          <w:left w:w="108" w:type="dxa"/>
          <w:bottom w:w="0" w:type="dxa"/>
          <w:right w:w="108" w:type="dxa"/>
        </w:tblCellMar>
      </w:tblPr>
      <w:tblGrid>
        <w:gridCol w:w="975"/>
        <w:gridCol w:w="3154"/>
        <w:gridCol w:w="1224"/>
        <w:gridCol w:w="1238"/>
        <w:gridCol w:w="3059"/>
      </w:tblGrid>
      <w:tr w14:paraId="55707527">
        <w:tblPrEx>
          <w:tblCellMar>
            <w:top w:w="0" w:type="dxa"/>
            <w:left w:w="108" w:type="dxa"/>
            <w:bottom w:w="0" w:type="dxa"/>
            <w:right w:w="108" w:type="dxa"/>
          </w:tblCellMar>
        </w:tblPrEx>
        <w:trPr>
          <w:trHeight w:val="567" w:hRule="atLeast"/>
          <w:jc w:val="center"/>
        </w:trPr>
        <w:tc>
          <w:tcPr>
            <w:tcW w:w="50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28D4F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序号</w:t>
            </w:r>
          </w:p>
        </w:tc>
        <w:tc>
          <w:tcPr>
            <w:tcW w:w="1633" w:type="pct"/>
            <w:tcBorders>
              <w:top w:val="single" w:color="auto" w:sz="4" w:space="0"/>
              <w:left w:val="nil"/>
              <w:bottom w:val="single" w:color="auto" w:sz="4" w:space="0"/>
              <w:right w:val="single" w:color="auto" w:sz="4" w:space="0"/>
            </w:tcBorders>
            <w:shd w:val="clear" w:color="auto" w:fill="auto"/>
            <w:noWrap/>
            <w:vAlign w:val="center"/>
          </w:tcPr>
          <w:p w14:paraId="035845D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设备名称</w:t>
            </w:r>
          </w:p>
        </w:tc>
        <w:tc>
          <w:tcPr>
            <w:tcW w:w="634" w:type="pct"/>
            <w:tcBorders>
              <w:top w:val="single" w:color="auto" w:sz="4" w:space="0"/>
              <w:left w:val="nil"/>
              <w:bottom w:val="single" w:color="auto" w:sz="4" w:space="0"/>
              <w:right w:val="single" w:color="auto" w:sz="4" w:space="0"/>
            </w:tcBorders>
            <w:shd w:val="clear" w:color="auto" w:fill="auto"/>
            <w:noWrap/>
            <w:vAlign w:val="center"/>
          </w:tcPr>
          <w:p w14:paraId="106032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数量</w:t>
            </w:r>
          </w:p>
        </w:tc>
        <w:tc>
          <w:tcPr>
            <w:tcW w:w="641" w:type="pct"/>
            <w:tcBorders>
              <w:top w:val="single" w:color="auto" w:sz="4" w:space="0"/>
              <w:left w:val="nil"/>
              <w:bottom w:val="single" w:color="auto" w:sz="4" w:space="0"/>
              <w:right w:val="single" w:color="auto" w:sz="4" w:space="0"/>
            </w:tcBorders>
            <w:shd w:val="clear" w:color="auto" w:fill="auto"/>
            <w:noWrap/>
            <w:vAlign w:val="center"/>
          </w:tcPr>
          <w:p w14:paraId="4A12A82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单位</w:t>
            </w:r>
          </w:p>
        </w:tc>
        <w:tc>
          <w:tcPr>
            <w:tcW w:w="1584" w:type="pct"/>
            <w:tcBorders>
              <w:top w:val="single" w:color="auto" w:sz="4" w:space="0"/>
              <w:left w:val="nil"/>
              <w:bottom w:val="single" w:color="auto" w:sz="4" w:space="0"/>
              <w:right w:val="single" w:color="auto" w:sz="4" w:space="0"/>
            </w:tcBorders>
            <w:shd w:val="clear" w:color="auto" w:fill="auto"/>
            <w:noWrap/>
            <w:vAlign w:val="center"/>
          </w:tcPr>
          <w:p w14:paraId="37FFE5D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备注</w:t>
            </w:r>
          </w:p>
        </w:tc>
      </w:tr>
      <w:tr w14:paraId="122D432A">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1F3ACDF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1633" w:type="pct"/>
            <w:tcBorders>
              <w:top w:val="nil"/>
              <w:left w:val="nil"/>
              <w:bottom w:val="single" w:color="auto" w:sz="4" w:space="0"/>
              <w:right w:val="single" w:color="auto" w:sz="4" w:space="0"/>
            </w:tcBorders>
            <w:shd w:val="clear" w:color="auto" w:fill="auto"/>
            <w:vAlign w:val="center"/>
          </w:tcPr>
          <w:p w14:paraId="661BC2B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驱动装置</w:t>
            </w:r>
          </w:p>
        </w:tc>
        <w:tc>
          <w:tcPr>
            <w:tcW w:w="634" w:type="pct"/>
            <w:tcBorders>
              <w:top w:val="nil"/>
              <w:left w:val="nil"/>
              <w:bottom w:val="single" w:color="auto" w:sz="4" w:space="0"/>
              <w:right w:val="single" w:color="auto" w:sz="4" w:space="0"/>
            </w:tcBorders>
            <w:shd w:val="clear" w:color="auto" w:fill="auto"/>
            <w:vAlign w:val="center"/>
          </w:tcPr>
          <w:p w14:paraId="04A35E8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02F5A6D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65DB35F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变频</w:t>
            </w:r>
          </w:p>
        </w:tc>
      </w:tr>
      <w:tr w14:paraId="3081AC08">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6DD578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2</w:t>
            </w:r>
          </w:p>
        </w:tc>
        <w:tc>
          <w:tcPr>
            <w:tcW w:w="1633" w:type="pct"/>
            <w:tcBorders>
              <w:top w:val="nil"/>
              <w:left w:val="nil"/>
              <w:bottom w:val="single" w:color="auto" w:sz="4" w:space="0"/>
              <w:right w:val="single" w:color="auto" w:sz="4" w:space="0"/>
            </w:tcBorders>
            <w:shd w:val="clear" w:color="auto" w:fill="auto"/>
            <w:vAlign w:val="center"/>
          </w:tcPr>
          <w:p w14:paraId="32CA8DE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头轮及支架总成</w:t>
            </w:r>
          </w:p>
        </w:tc>
        <w:tc>
          <w:tcPr>
            <w:tcW w:w="634" w:type="pct"/>
            <w:tcBorders>
              <w:top w:val="nil"/>
              <w:left w:val="nil"/>
              <w:bottom w:val="single" w:color="auto" w:sz="4" w:space="0"/>
              <w:right w:val="single" w:color="auto" w:sz="4" w:space="0"/>
            </w:tcBorders>
            <w:shd w:val="clear" w:color="auto" w:fill="auto"/>
            <w:vAlign w:val="center"/>
          </w:tcPr>
          <w:p w14:paraId="63DA3CF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6943431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77CD214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70487574">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589DF8D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3</w:t>
            </w:r>
          </w:p>
        </w:tc>
        <w:tc>
          <w:tcPr>
            <w:tcW w:w="1633" w:type="pct"/>
            <w:tcBorders>
              <w:top w:val="nil"/>
              <w:left w:val="nil"/>
              <w:bottom w:val="single" w:color="auto" w:sz="4" w:space="0"/>
              <w:right w:val="single" w:color="auto" w:sz="4" w:space="0"/>
            </w:tcBorders>
            <w:shd w:val="clear" w:color="auto" w:fill="auto"/>
            <w:vAlign w:val="center"/>
          </w:tcPr>
          <w:p w14:paraId="19B1E01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头部地坑盖板</w:t>
            </w:r>
          </w:p>
        </w:tc>
        <w:tc>
          <w:tcPr>
            <w:tcW w:w="634" w:type="pct"/>
            <w:tcBorders>
              <w:top w:val="nil"/>
              <w:left w:val="nil"/>
              <w:bottom w:val="single" w:color="auto" w:sz="4" w:space="0"/>
              <w:right w:val="single" w:color="auto" w:sz="4" w:space="0"/>
            </w:tcBorders>
            <w:shd w:val="clear" w:color="auto" w:fill="auto"/>
            <w:vAlign w:val="center"/>
          </w:tcPr>
          <w:p w14:paraId="26AD895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7F2BAF4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5B6020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17D839CE">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36C929E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4</w:t>
            </w:r>
          </w:p>
        </w:tc>
        <w:tc>
          <w:tcPr>
            <w:tcW w:w="1633" w:type="pct"/>
            <w:tcBorders>
              <w:top w:val="nil"/>
              <w:left w:val="nil"/>
              <w:bottom w:val="single" w:color="auto" w:sz="4" w:space="0"/>
              <w:right w:val="single" w:color="auto" w:sz="4" w:space="0"/>
            </w:tcBorders>
            <w:shd w:val="clear" w:color="auto" w:fill="auto"/>
            <w:vAlign w:val="center"/>
          </w:tcPr>
          <w:p w14:paraId="093BD68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中间支架及盖板系统</w:t>
            </w:r>
          </w:p>
        </w:tc>
        <w:tc>
          <w:tcPr>
            <w:tcW w:w="634" w:type="pct"/>
            <w:tcBorders>
              <w:top w:val="nil"/>
              <w:left w:val="nil"/>
              <w:bottom w:val="single" w:color="auto" w:sz="4" w:space="0"/>
              <w:right w:val="single" w:color="auto" w:sz="4" w:space="0"/>
            </w:tcBorders>
            <w:shd w:val="clear" w:color="auto" w:fill="auto"/>
            <w:vAlign w:val="center"/>
          </w:tcPr>
          <w:p w14:paraId="67FC7C4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517CDDC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42F38B9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24A288EB">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7502A0C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5</w:t>
            </w:r>
          </w:p>
        </w:tc>
        <w:tc>
          <w:tcPr>
            <w:tcW w:w="1633" w:type="pct"/>
            <w:tcBorders>
              <w:top w:val="nil"/>
              <w:left w:val="single" w:color="auto" w:sz="4" w:space="0"/>
              <w:bottom w:val="single" w:color="auto" w:sz="4" w:space="0"/>
              <w:right w:val="single" w:color="auto" w:sz="4" w:space="0"/>
            </w:tcBorders>
            <w:shd w:val="clear" w:color="auto" w:fill="auto"/>
            <w:vAlign w:val="center"/>
          </w:tcPr>
          <w:p w14:paraId="365D201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张紧装置总成</w:t>
            </w:r>
          </w:p>
        </w:tc>
        <w:tc>
          <w:tcPr>
            <w:tcW w:w="634" w:type="pct"/>
            <w:tcBorders>
              <w:top w:val="nil"/>
              <w:left w:val="single" w:color="auto" w:sz="4" w:space="0"/>
              <w:bottom w:val="single" w:color="auto" w:sz="4" w:space="0"/>
              <w:right w:val="single" w:color="auto" w:sz="4" w:space="0"/>
            </w:tcBorders>
            <w:shd w:val="clear" w:color="auto" w:fill="auto"/>
            <w:vAlign w:val="center"/>
          </w:tcPr>
          <w:p w14:paraId="5D21EFA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single" w:color="auto" w:sz="4" w:space="0"/>
              <w:bottom w:val="single" w:color="auto" w:sz="4" w:space="0"/>
              <w:right w:val="single" w:color="auto" w:sz="4" w:space="0"/>
            </w:tcBorders>
            <w:shd w:val="clear" w:color="auto" w:fill="auto"/>
            <w:vAlign w:val="center"/>
          </w:tcPr>
          <w:p w14:paraId="100158F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25E4D65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5E520D0C">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1391E63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6</w:t>
            </w:r>
          </w:p>
        </w:tc>
        <w:tc>
          <w:tcPr>
            <w:tcW w:w="1633" w:type="pct"/>
            <w:tcBorders>
              <w:top w:val="nil"/>
              <w:left w:val="nil"/>
              <w:bottom w:val="single" w:color="auto" w:sz="4" w:space="0"/>
              <w:right w:val="single" w:color="auto" w:sz="4" w:space="0"/>
            </w:tcBorders>
            <w:shd w:val="clear" w:color="auto" w:fill="auto"/>
            <w:vAlign w:val="center"/>
          </w:tcPr>
          <w:p w14:paraId="53D7463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工位检测装置</w:t>
            </w:r>
          </w:p>
        </w:tc>
        <w:tc>
          <w:tcPr>
            <w:tcW w:w="634" w:type="pct"/>
            <w:tcBorders>
              <w:top w:val="nil"/>
              <w:left w:val="nil"/>
              <w:bottom w:val="single" w:color="auto" w:sz="4" w:space="0"/>
              <w:right w:val="single" w:color="auto" w:sz="4" w:space="0"/>
            </w:tcBorders>
            <w:shd w:val="clear" w:color="auto" w:fill="auto"/>
            <w:vAlign w:val="center"/>
          </w:tcPr>
          <w:p w14:paraId="02EA16E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2E993BA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1688E84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78FED2F9">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14F73A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7</w:t>
            </w:r>
          </w:p>
        </w:tc>
        <w:tc>
          <w:tcPr>
            <w:tcW w:w="1633" w:type="pct"/>
            <w:tcBorders>
              <w:top w:val="nil"/>
              <w:left w:val="nil"/>
              <w:bottom w:val="single" w:color="auto" w:sz="4" w:space="0"/>
              <w:right w:val="single" w:color="auto" w:sz="4" w:space="0"/>
            </w:tcBorders>
            <w:shd w:val="clear" w:color="auto" w:fill="auto"/>
            <w:vAlign w:val="center"/>
          </w:tcPr>
          <w:p w14:paraId="3672B2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输送链板总成</w:t>
            </w:r>
          </w:p>
        </w:tc>
        <w:tc>
          <w:tcPr>
            <w:tcW w:w="634" w:type="pct"/>
            <w:tcBorders>
              <w:top w:val="nil"/>
              <w:left w:val="nil"/>
              <w:bottom w:val="single" w:color="auto" w:sz="4" w:space="0"/>
              <w:right w:val="single" w:color="auto" w:sz="4" w:space="0"/>
            </w:tcBorders>
            <w:shd w:val="clear" w:color="auto" w:fill="auto"/>
            <w:vAlign w:val="center"/>
          </w:tcPr>
          <w:p w14:paraId="5DDD3A2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1AB1F00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7E0E7F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50E90ED5">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6D1777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8</w:t>
            </w:r>
          </w:p>
        </w:tc>
        <w:tc>
          <w:tcPr>
            <w:tcW w:w="1633" w:type="pct"/>
            <w:tcBorders>
              <w:top w:val="nil"/>
              <w:left w:val="nil"/>
              <w:bottom w:val="single" w:color="auto" w:sz="4" w:space="0"/>
              <w:right w:val="single" w:color="auto" w:sz="4" w:space="0"/>
            </w:tcBorders>
            <w:shd w:val="clear" w:color="auto" w:fill="auto"/>
            <w:vAlign w:val="center"/>
          </w:tcPr>
          <w:p w14:paraId="1A1EB6B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按钮站</w:t>
            </w:r>
          </w:p>
        </w:tc>
        <w:tc>
          <w:tcPr>
            <w:tcW w:w="634" w:type="pct"/>
            <w:tcBorders>
              <w:top w:val="nil"/>
              <w:left w:val="nil"/>
              <w:bottom w:val="single" w:color="auto" w:sz="4" w:space="0"/>
              <w:right w:val="single" w:color="auto" w:sz="4" w:space="0"/>
            </w:tcBorders>
            <w:shd w:val="clear" w:color="auto" w:fill="auto"/>
            <w:vAlign w:val="center"/>
          </w:tcPr>
          <w:p w14:paraId="7B64985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60284F7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789BA11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59AC9D82">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440C088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9</w:t>
            </w:r>
          </w:p>
        </w:tc>
        <w:tc>
          <w:tcPr>
            <w:tcW w:w="1633" w:type="pct"/>
            <w:tcBorders>
              <w:top w:val="nil"/>
              <w:left w:val="nil"/>
              <w:bottom w:val="single" w:color="auto" w:sz="4" w:space="0"/>
              <w:right w:val="single" w:color="auto" w:sz="4" w:space="0"/>
            </w:tcBorders>
            <w:shd w:val="clear" w:color="auto" w:fill="auto"/>
            <w:vAlign w:val="center"/>
          </w:tcPr>
          <w:p w14:paraId="625F583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下线保护装置</w:t>
            </w:r>
          </w:p>
        </w:tc>
        <w:tc>
          <w:tcPr>
            <w:tcW w:w="634" w:type="pct"/>
            <w:tcBorders>
              <w:top w:val="nil"/>
              <w:left w:val="nil"/>
              <w:bottom w:val="single" w:color="auto" w:sz="4" w:space="0"/>
              <w:right w:val="single" w:color="auto" w:sz="4" w:space="0"/>
            </w:tcBorders>
            <w:shd w:val="clear" w:color="auto" w:fill="auto"/>
            <w:vAlign w:val="center"/>
          </w:tcPr>
          <w:p w14:paraId="0B7C239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0CD6CAF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noWrap/>
            <w:vAlign w:val="center"/>
          </w:tcPr>
          <w:p w14:paraId="6BDD99E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054384A6">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203232E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10</w:t>
            </w:r>
          </w:p>
        </w:tc>
        <w:tc>
          <w:tcPr>
            <w:tcW w:w="1633" w:type="pct"/>
            <w:tcBorders>
              <w:top w:val="nil"/>
              <w:left w:val="nil"/>
              <w:bottom w:val="single" w:color="auto" w:sz="4" w:space="0"/>
              <w:right w:val="single" w:color="auto" w:sz="4" w:space="0"/>
            </w:tcBorders>
            <w:shd w:val="clear" w:color="auto" w:fill="auto"/>
            <w:vAlign w:val="center"/>
          </w:tcPr>
          <w:p w14:paraId="7BF914D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上线围栏</w:t>
            </w:r>
          </w:p>
        </w:tc>
        <w:tc>
          <w:tcPr>
            <w:tcW w:w="634" w:type="pct"/>
            <w:tcBorders>
              <w:top w:val="nil"/>
              <w:left w:val="nil"/>
              <w:bottom w:val="single" w:color="auto" w:sz="4" w:space="0"/>
              <w:right w:val="single" w:color="auto" w:sz="4" w:space="0"/>
            </w:tcBorders>
            <w:shd w:val="clear" w:color="auto" w:fill="auto"/>
            <w:vAlign w:val="center"/>
          </w:tcPr>
          <w:p w14:paraId="6DB15BF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76E0BFC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vAlign w:val="center"/>
          </w:tcPr>
          <w:p w14:paraId="266374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3FF15654">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02416FE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11</w:t>
            </w:r>
          </w:p>
        </w:tc>
        <w:tc>
          <w:tcPr>
            <w:tcW w:w="1633" w:type="pct"/>
            <w:tcBorders>
              <w:top w:val="nil"/>
              <w:left w:val="nil"/>
              <w:bottom w:val="single" w:color="auto" w:sz="4" w:space="0"/>
              <w:right w:val="single" w:color="auto" w:sz="4" w:space="0"/>
            </w:tcBorders>
            <w:shd w:val="clear" w:color="auto" w:fill="auto"/>
            <w:vAlign w:val="center"/>
          </w:tcPr>
          <w:p w14:paraId="36A1D28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随行侧顶机</w:t>
            </w:r>
          </w:p>
        </w:tc>
        <w:tc>
          <w:tcPr>
            <w:tcW w:w="634" w:type="pct"/>
            <w:tcBorders>
              <w:top w:val="nil"/>
              <w:left w:val="nil"/>
              <w:bottom w:val="single" w:color="auto" w:sz="4" w:space="0"/>
              <w:right w:val="single" w:color="auto" w:sz="4" w:space="0"/>
            </w:tcBorders>
            <w:shd w:val="clear" w:color="auto" w:fill="auto"/>
            <w:vAlign w:val="center"/>
          </w:tcPr>
          <w:p w14:paraId="7054ADB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57856F1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vAlign w:val="center"/>
          </w:tcPr>
          <w:p w14:paraId="4C63905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158CE81B">
        <w:tblPrEx>
          <w:tblCellMar>
            <w:top w:w="0" w:type="dxa"/>
            <w:left w:w="108" w:type="dxa"/>
            <w:bottom w:w="0" w:type="dxa"/>
            <w:right w:w="108" w:type="dxa"/>
          </w:tblCellMar>
        </w:tblPrEx>
        <w:trPr>
          <w:trHeight w:val="567" w:hRule="atLeast"/>
          <w:jc w:val="center"/>
        </w:trPr>
        <w:tc>
          <w:tcPr>
            <w:tcW w:w="505" w:type="pct"/>
            <w:tcBorders>
              <w:top w:val="nil"/>
              <w:left w:val="single" w:color="auto" w:sz="4" w:space="0"/>
              <w:bottom w:val="single" w:color="auto" w:sz="4" w:space="0"/>
              <w:right w:val="single" w:color="auto" w:sz="4" w:space="0"/>
            </w:tcBorders>
            <w:shd w:val="clear" w:color="auto" w:fill="auto"/>
            <w:vAlign w:val="center"/>
          </w:tcPr>
          <w:p w14:paraId="28B192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12</w:t>
            </w:r>
          </w:p>
        </w:tc>
        <w:tc>
          <w:tcPr>
            <w:tcW w:w="1633" w:type="pct"/>
            <w:tcBorders>
              <w:top w:val="nil"/>
              <w:left w:val="nil"/>
              <w:bottom w:val="single" w:color="auto" w:sz="4" w:space="0"/>
              <w:right w:val="single" w:color="auto" w:sz="4" w:space="0"/>
            </w:tcBorders>
            <w:shd w:val="clear" w:color="auto" w:fill="auto"/>
            <w:vAlign w:val="center"/>
          </w:tcPr>
          <w:p w14:paraId="340AE0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地坑照明系统</w:t>
            </w:r>
          </w:p>
        </w:tc>
        <w:tc>
          <w:tcPr>
            <w:tcW w:w="634" w:type="pct"/>
            <w:tcBorders>
              <w:top w:val="nil"/>
              <w:left w:val="nil"/>
              <w:bottom w:val="single" w:color="auto" w:sz="4" w:space="0"/>
              <w:right w:val="single" w:color="auto" w:sz="4" w:space="0"/>
            </w:tcBorders>
            <w:shd w:val="clear" w:color="auto" w:fill="auto"/>
            <w:vAlign w:val="center"/>
          </w:tcPr>
          <w:p w14:paraId="5DDAA6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nil"/>
              <w:left w:val="nil"/>
              <w:bottom w:val="single" w:color="auto" w:sz="4" w:space="0"/>
              <w:right w:val="single" w:color="auto" w:sz="4" w:space="0"/>
            </w:tcBorders>
            <w:shd w:val="clear" w:color="auto" w:fill="auto"/>
            <w:vAlign w:val="center"/>
          </w:tcPr>
          <w:p w14:paraId="5EB5F82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nil"/>
              <w:left w:val="nil"/>
              <w:bottom w:val="single" w:color="auto" w:sz="4" w:space="0"/>
              <w:right w:val="single" w:color="auto" w:sz="4" w:space="0"/>
            </w:tcBorders>
            <w:shd w:val="clear" w:color="auto" w:fill="auto"/>
            <w:vAlign w:val="center"/>
          </w:tcPr>
          <w:p w14:paraId="0FCC4DF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r w14:paraId="3E5A857D">
        <w:tblPrEx>
          <w:tblCellMar>
            <w:top w:w="0" w:type="dxa"/>
            <w:left w:w="108" w:type="dxa"/>
            <w:bottom w:w="0" w:type="dxa"/>
            <w:right w:w="108" w:type="dxa"/>
          </w:tblCellMar>
        </w:tblPrEx>
        <w:trPr>
          <w:trHeight w:val="567" w:hRule="atLeast"/>
          <w:jc w:val="center"/>
        </w:trPr>
        <w:tc>
          <w:tcPr>
            <w:tcW w:w="505" w:type="pct"/>
            <w:tcBorders>
              <w:top w:val="single" w:color="auto" w:sz="4" w:space="0"/>
              <w:left w:val="single" w:color="auto" w:sz="4" w:space="0"/>
              <w:bottom w:val="single" w:color="auto" w:sz="4" w:space="0"/>
              <w:right w:val="single" w:color="auto" w:sz="4" w:space="0"/>
            </w:tcBorders>
            <w:shd w:val="clear" w:color="auto" w:fill="auto"/>
            <w:vAlign w:val="center"/>
          </w:tcPr>
          <w:p w14:paraId="7B65CC6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13</w:t>
            </w:r>
          </w:p>
        </w:tc>
        <w:tc>
          <w:tcPr>
            <w:tcW w:w="1633" w:type="pct"/>
            <w:tcBorders>
              <w:top w:val="single" w:color="auto" w:sz="4" w:space="0"/>
              <w:left w:val="single" w:color="auto" w:sz="4" w:space="0"/>
              <w:bottom w:val="single" w:color="auto" w:sz="4" w:space="0"/>
              <w:right w:val="single" w:color="auto" w:sz="4" w:space="0"/>
            </w:tcBorders>
            <w:shd w:val="clear" w:color="auto" w:fill="auto"/>
            <w:vAlign w:val="center"/>
          </w:tcPr>
          <w:p w14:paraId="6BF7611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稀油润滑装置</w:t>
            </w:r>
          </w:p>
        </w:tc>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69040C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w:t>
            </w:r>
          </w:p>
        </w:tc>
        <w:tc>
          <w:tcPr>
            <w:tcW w:w="641" w:type="pct"/>
            <w:tcBorders>
              <w:top w:val="single" w:color="auto" w:sz="4" w:space="0"/>
              <w:left w:val="single" w:color="auto" w:sz="4" w:space="0"/>
              <w:bottom w:val="single" w:color="auto" w:sz="4" w:space="0"/>
              <w:right w:val="single" w:color="auto" w:sz="4" w:space="0"/>
            </w:tcBorders>
            <w:shd w:val="clear" w:color="auto" w:fill="auto"/>
            <w:vAlign w:val="center"/>
          </w:tcPr>
          <w:p w14:paraId="525348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套</w:t>
            </w:r>
          </w:p>
        </w:tc>
        <w:tc>
          <w:tcPr>
            <w:tcW w:w="1584" w:type="pct"/>
            <w:tcBorders>
              <w:top w:val="single" w:color="auto" w:sz="4" w:space="0"/>
              <w:left w:val="single" w:color="auto" w:sz="4" w:space="0"/>
              <w:bottom w:val="single" w:color="auto" w:sz="4" w:space="0"/>
              <w:right w:val="single" w:color="auto" w:sz="4" w:space="0"/>
            </w:tcBorders>
            <w:shd w:val="clear" w:color="auto" w:fill="auto"/>
            <w:vAlign w:val="center"/>
          </w:tcPr>
          <w:p w14:paraId="04ABF82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r>
    </w:tbl>
    <w:p w14:paraId="58B4C62C">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主要技术参数</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3004"/>
        <w:gridCol w:w="1525"/>
        <w:gridCol w:w="3928"/>
      </w:tblGrid>
      <w:tr w14:paraId="65D6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618" w:type="pct"/>
            <w:vAlign w:val="center"/>
          </w:tcPr>
          <w:p w14:paraId="4EF1851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序号</w:t>
            </w:r>
          </w:p>
        </w:tc>
        <w:tc>
          <w:tcPr>
            <w:tcW w:w="1556" w:type="pct"/>
            <w:vAlign w:val="center"/>
          </w:tcPr>
          <w:p w14:paraId="54EA5DC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项目</w:t>
            </w:r>
          </w:p>
        </w:tc>
        <w:tc>
          <w:tcPr>
            <w:tcW w:w="790" w:type="pct"/>
            <w:vAlign w:val="center"/>
          </w:tcPr>
          <w:p w14:paraId="6B28556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单位</w:t>
            </w:r>
          </w:p>
        </w:tc>
        <w:tc>
          <w:tcPr>
            <w:tcW w:w="2035" w:type="pct"/>
            <w:vAlign w:val="center"/>
          </w:tcPr>
          <w:p w14:paraId="54F1CA6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参数</w:t>
            </w:r>
          </w:p>
        </w:tc>
      </w:tr>
      <w:tr w14:paraId="0AF80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4DAB889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1</w:t>
            </w:r>
          </w:p>
        </w:tc>
        <w:tc>
          <w:tcPr>
            <w:tcW w:w="1556" w:type="pct"/>
            <w:vAlign w:val="center"/>
          </w:tcPr>
          <w:p w14:paraId="19DF062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用途</w:t>
            </w:r>
          </w:p>
        </w:tc>
        <w:tc>
          <w:tcPr>
            <w:tcW w:w="790" w:type="pct"/>
            <w:vAlign w:val="center"/>
          </w:tcPr>
          <w:p w14:paraId="338A48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c>
          <w:tcPr>
            <w:tcW w:w="2035" w:type="pct"/>
            <w:vAlign w:val="center"/>
          </w:tcPr>
          <w:p w14:paraId="781A3D1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sz w:val="24"/>
                <w:szCs w:val="20"/>
              </w:rPr>
              <w:t>完成线装配</w:t>
            </w:r>
          </w:p>
        </w:tc>
      </w:tr>
      <w:tr w14:paraId="52C37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3EF50D1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2</w:t>
            </w:r>
          </w:p>
        </w:tc>
        <w:tc>
          <w:tcPr>
            <w:tcW w:w="1556" w:type="pct"/>
            <w:vAlign w:val="center"/>
          </w:tcPr>
          <w:p w14:paraId="6393043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输送形式</w:t>
            </w:r>
          </w:p>
        </w:tc>
        <w:tc>
          <w:tcPr>
            <w:tcW w:w="790" w:type="pct"/>
            <w:vAlign w:val="center"/>
          </w:tcPr>
          <w:p w14:paraId="7B0BB5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c>
          <w:tcPr>
            <w:tcW w:w="2035" w:type="pct"/>
            <w:vAlign w:val="center"/>
          </w:tcPr>
          <w:p w14:paraId="78913D6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宽</w:t>
            </w:r>
            <w:r>
              <w:rPr>
                <w:rFonts w:ascii="宋体" w:hAnsi="宋体" w:eastAsia="宋体" w:cs="Times New Roman"/>
                <w:sz w:val="24"/>
                <w:szCs w:val="20"/>
              </w:rPr>
              <w:t>板链</w:t>
            </w:r>
          </w:p>
        </w:tc>
      </w:tr>
      <w:tr w14:paraId="0015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1FA4DA3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3</w:t>
            </w:r>
          </w:p>
        </w:tc>
        <w:tc>
          <w:tcPr>
            <w:tcW w:w="1556" w:type="pct"/>
            <w:vAlign w:val="center"/>
          </w:tcPr>
          <w:p w14:paraId="510A639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头尾轮中心线长度</w:t>
            </w:r>
          </w:p>
        </w:tc>
        <w:tc>
          <w:tcPr>
            <w:tcW w:w="790" w:type="pct"/>
            <w:vAlign w:val="center"/>
          </w:tcPr>
          <w:p w14:paraId="3CC4BB6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m</w:t>
            </w:r>
          </w:p>
        </w:tc>
        <w:tc>
          <w:tcPr>
            <w:tcW w:w="2035" w:type="pct"/>
            <w:vAlign w:val="center"/>
          </w:tcPr>
          <w:p w14:paraId="0A44911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132.7</w:t>
            </w:r>
          </w:p>
        </w:tc>
      </w:tr>
      <w:tr w14:paraId="7148A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1916195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4</w:t>
            </w:r>
          </w:p>
        </w:tc>
        <w:tc>
          <w:tcPr>
            <w:tcW w:w="1556" w:type="pct"/>
            <w:vAlign w:val="center"/>
          </w:tcPr>
          <w:p w14:paraId="4DC32EA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工位</w:t>
            </w:r>
            <w:r>
              <w:rPr>
                <w:rFonts w:ascii="宋体" w:hAnsi="宋体" w:eastAsia="宋体" w:cs="Times New Roman"/>
                <w:bCs/>
                <w:sz w:val="24"/>
                <w:szCs w:val="20"/>
              </w:rPr>
              <w:t>间距</w:t>
            </w:r>
          </w:p>
        </w:tc>
        <w:tc>
          <w:tcPr>
            <w:tcW w:w="790" w:type="pct"/>
            <w:vAlign w:val="center"/>
          </w:tcPr>
          <w:p w14:paraId="2842265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mm</w:t>
            </w:r>
          </w:p>
        </w:tc>
        <w:tc>
          <w:tcPr>
            <w:tcW w:w="2035" w:type="pct"/>
            <w:vAlign w:val="center"/>
          </w:tcPr>
          <w:p w14:paraId="01274B3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7200</w:t>
            </w:r>
          </w:p>
        </w:tc>
      </w:tr>
      <w:tr w14:paraId="41BD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42E8E07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5</w:t>
            </w:r>
          </w:p>
        </w:tc>
        <w:tc>
          <w:tcPr>
            <w:tcW w:w="1556" w:type="pct"/>
            <w:vAlign w:val="center"/>
          </w:tcPr>
          <w:p w14:paraId="6D70435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有效工</w:t>
            </w:r>
            <w:r>
              <w:rPr>
                <w:rFonts w:ascii="宋体" w:hAnsi="宋体" w:eastAsia="宋体" w:cs="Times New Roman"/>
                <w:bCs/>
                <w:sz w:val="24"/>
                <w:szCs w:val="20"/>
              </w:rPr>
              <w:t>位数</w:t>
            </w:r>
          </w:p>
        </w:tc>
        <w:tc>
          <w:tcPr>
            <w:tcW w:w="790" w:type="pct"/>
            <w:vAlign w:val="center"/>
          </w:tcPr>
          <w:p w14:paraId="72BB2AA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个</w:t>
            </w:r>
          </w:p>
        </w:tc>
        <w:tc>
          <w:tcPr>
            <w:tcW w:w="2035" w:type="pct"/>
            <w:vAlign w:val="center"/>
          </w:tcPr>
          <w:p w14:paraId="38FA05D6">
            <w:pPr>
              <w:keepNext w:val="0"/>
              <w:keepLines w:val="0"/>
              <w:pageBreakBefore w:val="0"/>
              <w:kinsoku/>
              <w:overflowPunct/>
              <w:topLinePunct w:val="0"/>
              <w:bidi w:val="0"/>
              <w:adjustRightInd w:val="0"/>
              <w:snapToGrid w:val="0"/>
              <w:spacing w:afterAutospacing="0" w:line="240" w:lineRule="auto"/>
              <w:jc w:val="center"/>
              <w:rPr>
                <w:rFonts w:hint="default" w:ascii="宋体" w:hAnsi="宋体" w:eastAsia="宋体" w:cs="Times New Roman"/>
                <w:bCs/>
                <w:sz w:val="24"/>
                <w:szCs w:val="20"/>
                <w:lang w:val="en-US"/>
              </w:rPr>
            </w:pPr>
            <w:r>
              <w:rPr>
                <w:rFonts w:hint="eastAsia" w:ascii="宋体" w:hAnsi="宋体" w:eastAsia="宋体" w:cs="Times New Roman"/>
                <w:bCs/>
                <w:sz w:val="24"/>
                <w:szCs w:val="20"/>
              </w:rPr>
              <w:t>18</w:t>
            </w:r>
          </w:p>
        </w:tc>
      </w:tr>
      <w:tr w14:paraId="50507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59886B3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6</w:t>
            </w:r>
          </w:p>
        </w:tc>
        <w:tc>
          <w:tcPr>
            <w:tcW w:w="1556" w:type="pct"/>
            <w:vAlign w:val="center"/>
          </w:tcPr>
          <w:p w14:paraId="14B733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板宽</w:t>
            </w:r>
          </w:p>
        </w:tc>
        <w:tc>
          <w:tcPr>
            <w:tcW w:w="790" w:type="pct"/>
            <w:vAlign w:val="center"/>
          </w:tcPr>
          <w:p w14:paraId="0F0927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mm</w:t>
            </w:r>
          </w:p>
        </w:tc>
        <w:tc>
          <w:tcPr>
            <w:tcW w:w="2035" w:type="pct"/>
            <w:vAlign w:val="center"/>
          </w:tcPr>
          <w:p w14:paraId="3FD8566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3</w:t>
            </w:r>
            <w:r>
              <w:rPr>
                <w:rFonts w:ascii="宋体" w:hAnsi="宋体" w:eastAsia="宋体" w:cs="Times New Roman"/>
                <w:bCs/>
                <w:sz w:val="24"/>
                <w:szCs w:val="20"/>
              </w:rPr>
              <w:t>2</w:t>
            </w:r>
            <w:r>
              <w:rPr>
                <w:rFonts w:hint="eastAsia" w:ascii="宋体" w:hAnsi="宋体" w:eastAsia="宋体" w:cs="Times New Roman"/>
                <w:bCs/>
                <w:sz w:val="24"/>
                <w:szCs w:val="20"/>
              </w:rPr>
              <w:t>00</w:t>
            </w:r>
          </w:p>
        </w:tc>
      </w:tr>
      <w:tr w14:paraId="55E9F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2CCABF2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7</w:t>
            </w:r>
          </w:p>
        </w:tc>
        <w:tc>
          <w:tcPr>
            <w:tcW w:w="1556" w:type="pct"/>
            <w:vAlign w:val="center"/>
          </w:tcPr>
          <w:p w14:paraId="4AB225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输送板距地面高度</w:t>
            </w:r>
          </w:p>
        </w:tc>
        <w:tc>
          <w:tcPr>
            <w:tcW w:w="790" w:type="pct"/>
            <w:vAlign w:val="center"/>
          </w:tcPr>
          <w:p w14:paraId="4F6574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mm</w:t>
            </w:r>
          </w:p>
        </w:tc>
        <w:tc>
          <w:tcPr>
            <w:tcW w:w="2035" w:type="pct"/>
            <w:vAlign w:val="center"/>
          </w:tcPr>
          <w:p w14:paraId="5174B0C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0.00</w:t>
            </w:r>
          </w:p>
        </w:tc>
      </w:tr>
      <w:tr w14:paraId="570A0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031A066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8</w:t>
            </w:r>
          </w:p>
        </w:tc>
        <w:tc>
          <w:tcPr>
            <w:tcW w:w="1556" w:type="pct"/>
            <w:vAlign w:val="center"/>
          </w:tcPr>
          <w:p w14:paraId="7CAD70A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运动方式</w:t>
            </w:r>
          </w:p>
        </w:tc>
        <w:tc>
          <w:tcPr>
            <w:tcW w:w="790" w:type="pct"/>
            <w:vAlign w:val="center"/>
          </w:tcPr>
          <w:p w14:paraId="500DA09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p>
        </w:tc>
        <w:tc>
          <w:tcPr>
            <w:tcW w:w="2035" w:type="pct"/>
            <w:vAlign w:val="center"/>
          </w:tcPr>
          <w:p w14:paraId="0F1B5D4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连续运行</w:t>
            </w:r>
          </w:p>
        </w:tc>
      </w:tr>
      <w:tr w14:paraId="62234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08D103C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10</w:t>
            </w:r>
          </w:p>
        </w:tc>
        <w:tc>
          <w:tcPr>
            <w:tcW w:w="1556" w:type="pct"/>
            <w:vAlign w:val="center"/>
          </w:tcPr>
          <w:p w14:paraId="0ABEA39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线体速度</w:t>
            </w:r>
          </w:p>
        </w:tc>
        <w:tc>
          <w:tcPr>
            <w:tcW w:w="790" w:type="pct"/>
            <w:vAlign w:val="center"/>
          </w:tcPr>
          <w:p w14:paraId="06FBE46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m/min</w:t>
            </w:r>
          </w:p>
        </w:tc>
        <w:tc>
          <w:tcPr>
            <w:tcW w:w="2035" w:type="pct"/>
            <w:vAlign w:val="center"/>
          </w:tcPr>
          <w:p w14:paraId="738FBE3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highlight w:val="none"/>
              </w:rPr>
              <w:t>0.96-1.8</w:t>
            </w:r>
          </w:p>
        </w:tc>
      </w:tr>
      <w:tr w14:paraId="714B5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5071FC0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11</w:t>
            </w:r>
          </w:p>
        </w:tc>
        <w:tc>
          <w:tcPr>
            <w:tcW w:w="1556" w:type="pct"/>
            <w:vAlign w:val="center"/>
          </w:tcPr>
          <w:p w14:paraId="42D39A3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链条节距</w:t>
            </w:r>
          </w:p>
        </w:tc>
        <w:tc>
          <w:tcPr>
            <w:tcW w:w="790" w:type="pct"/>
            <w:vAlign w:val="center"/>
          </w:tcPr>
          <w:p w14:paraId="158FD94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mm</w:t>
            </w:r>
          </w:p>
        </w:tc>
        <w:tc>
          <w:tcPr>
            <w:tcW w:w="2035" w:type="pct"/>
            <w:vAlign w:val="center"/>
          </w:tcPr>
          <w:p w14:paraId="5CAE219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315</w:t>
            </w:r>
          </w:p>
        </w:tc>
      </w:tr>
      <w:tr w14:paraId="1D7B1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5846F0B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12</w:t>
            </w:r>
          </w:p>
        </w:tc>
        <w:tc>
          <w:tcPr>
            <w:tcW w:w="1556" w:type="pct"/>
            <w:vAlign w:val="center"/>
          </w:tcPr>
          <w:p w14:paraId="3D7007C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链</w:t>
            </w:r>
            <w:r>
              <w:rPr>
                <w:rFonts w:ascii="宋体" w:hAnsi="宋体" w:eastAsia="宋体" w:cs="Times New Roman"/>
                <w:bCs/>
                <w:sz w:val="24"/>
                <w:szCs w:val="20"/>
              </w:rPr>
              <w:t>条</w:t>
            </w:r>
            <w:r>
              <w:rPr>
                <w:rFonts w:hint="eastAsia" w:ascii="宋体" w:hAnsi="宋体" w:eastAsia="宋体" w:cs="Times New Roman"/>
                <w:bCs/>
                <w:sz w:val="24"/>
                <w:szCs w:val="20"/>
              </w:rPr>
              <w:t>抗拉极限</w:t>
            </w:r>
          </w:p>
        </w:tc>
        <w:tc>
          <w:tcPr>
            <w:tcW w:w="790" w:type="pct"/>
            <w:vAlign w:val="center"/>
          </w:tcPr>
          <w:p w14:paraId="665802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KN</w:t>
            </w:r>
          </w:p>
        </w:tc>
        <w:tc>
          <w:tcPr>
            <w:tcW w:w="2035" w:type="pct"/>
            <w:vAlign w:val="center"/>
          </w:tcPr>
          <w:p w14:paraId="720E772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ascii="宋体" w:hAnsi="宋体" w:eastAsia="宋体" w:cs="Times New Roman"/>
                <w:bCs/>
                <w:sz w:val="24"/>
                <w:szCs w:val="20"/>
              </w:rPr>
              <w:t>M224</w:t>
            </w:r>
          </w:p>
        </w:tc>
      </w:tr>
      <w:tr w14:paraId="17E4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56AD8D9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13</w:t>
            </w:r>
          </w:p>
        </w:tc>
        <w:tc>
          <w:tcPr>
            <w:tcW w:w="1556" w:type="pct"/>
            <w:vAlign w:val="center"/>
          </w:tcPr>
          <w:p w14:paraId="364F81C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工件重量</w:t>
            </w:r>
          </w:p>
        </w:tc>
        <w:tc>
          <w:tcPr>
            <w:tcW w:w="790" w:type="pct"/>
            <w:vAlign w:val="center"/>
          </w:tcPr>
          <w:p w14:paraId="782A678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kg</w:t>
            </w:r>
          </w:p>
        </w:tc>
        <w:tc>
          <w:tcPr>
            <w:tcW w:w="2035" w:type="pct"/>
            <w:vAlign w:val="center"/>
          </w:tcPr>
          <w:p w14:paraId="609FE4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≤3000</w:t>
            </w:r>
          </w:p>
        </w:tc>
      </w:tr>
      <w:tr w14:paraId="04268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8" w:type="pct"/>
            <w:vAlign w:val="center"/>
          </w:tcPr>
          <w:p w14:paraId="21877E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14</w:t>
            </w:r>
          </w:p>
        </w:tc>
        <w:tc>
          <w:tcPr>
            <w:tcW w:w="1556" w:type="pct"/>
            <w:vAlign w:val="center"/>
          </w:tcPr>
          <w:p w14:paraId="12C8D51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电机功率</w:t>
            </w:r>
          </w:p>
        </w:tc>
        <w:tc>
          <w:tcPr>
            <w:tcW w:w="790" w:type="pct"/>
            <w:vAlign w:val="center"/>
          </w:tcPr>
          <w:p w14:paraId="3ADD14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lang w:eastAsia="zh-CN"/>
              </w:rPr>
              <w:t>kW</w:t>
            </w:r>
          </w:p>
        </w:tc>
        <w:tc>
          <w:tcPr>
            <w:tcW w:w="2035" w:type="pct"/>
            <w:vAlign w:val="center"/>
          </w:tcPr>
          <w:p w14:paraId="5AAE5CB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sz w:val="24"/>
                <w:szCs w:val="20"/>
              </w:rPr>
            </w:pPr>
            <w:r>
              <w:rPr>
                <w:rFonts w:hint="eastAsia" w:ascii="宋体" w:hAnsi="宋体" w:eastAsia="宋体" w:cs="Times New Roman"/>
                <w:bCs/>
                <w:sz w:val="24"/>
                <w:szCs w:val="20"/>
              </w:rPr>
              <w:t>11</w:t>
            </w:r>
          </w:p>
        </w:tc>
      </w:tr>
    </w:tbl>
    <w:p w14:paraId="0985C1D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bookmarkStart w:id="318" w:name="OLE_LINK44"/>
      <w:r>
        <w:rPr>
          <w:rFonts w:ascii="Times New Roman" w:hAnsi="Times New Roman" w:eastAsia="宋体" w:cs="Times New Roman"/>
          <w:sz w:val="24"/>
        </w:rPr>
        <w:t>注：以上仅作参考，具体以设计会签为准。</w:t>
      </w:r>
    </w:p>
    <w:bookmarkEnd w:id="318"/>
    <w:p w14:paraId="451F4E4A">
      <w:pPr>
        <w:keepNext w:val="0"/>
        <w:keepLines w:val="0"/>
        <w:pageBreakBefore w:val="0"/>
        <w:widowControl w:val="0"/>
        <w:numPr>
          <w:ilvl w:val="0"/>
          <w:numId w:val="481"/>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设备详细技术说明</w:t>
      </w:r>
    </w:p>
    <w:p w14:paraId="15207278">
      <w:pPr>
        <w:keepNext w:val="0"/>
        <w:keepLines w:val="0"/>
        <w:pageBreakBefore w:val="0"/>
        <w:widowControl w:val="0"/>
        <w:numPr>
          <w:ilvl w:val="0"/>
          <w:numId w:val="4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驱动装置</w:t>
      </w:r>
    </w:p>
    <w:p w14:paraId="079BC1C1">
      <w:pPr>
        <w:keepNext w:val="0"/>
        <w:keepLines w:val="0"/>
        <w:pageBreakBefore w:val="0"/>
        <w:widowControl w:val="0"/>
        <w:numPr>
          <w:ilvl w:val="0"/>
          <w:numId w:val="4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驱动装置提供板链所需的动力，由套筒滚子链进行扭矩传送。</w:t>
      </w:r>
    </w:p>
    <w:p w14:paraId="2570BD64">
      <w:pPr>
        <w:keepNext w:val="0"/>
        <w:keepLines w:val="0"/>
        <w:pageBreakBefore w:val="0"/>
        <w:widowControl w:val="0"/>
        <w:numPr>
          <w:ilvl w:val="0"/>
          <w:numId w:val="4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驱动站由电机减速机，底座，链轮等组成；电机减速机选用“</w:t>
      </w:r>
      <w:r>
        <w:rPr>
          <w:rFonts w:hint="eastAsia" w:asciiTheme="minorEastAsia" w:hAnsiTheme="minorEastAsia" w:eastAsiaTheme="minorEastAsia" w:cstheme="minorEastAsia"/>
          <w:kern w:val="0"/>
          <w:sz w:val="24"/>
          <w:szCs w:val="24"/>
          <w:highlight w:val="none"/>
        </w:rPr>
        <w:t>SEW/AB/西门子</w:t>
      </w:r>
      <w:r>
        <w:rPr>
          <w:rFonts w:ascii="Times New Roman" w:hAnsi="Times New Roman" w:eastAsia="宋体" w:cs="Times New Roman"/>
          <w:sz w:val="24"/>
        </w:rPr>
        <w:t>”产品；电机减速机配强冷风扇，底座由型钢焊接而成。主要受力方向加有斜撑，能提供足够的强度和刚度，在板链的驱动侧面板返回处设置防止异物卡入的检测机构，有异常卡入的情况板链随即停止运行。</w:t>
      </w:r>
    </w:p>
    <w:p w14:paraId="550BC31A">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sz w:val="24"/>
          <w:szCs w:val="20"/>
        </w:rPr>
      </w:pPr>
      <w:r>
        <w:rPr>
          <w:rFonts w:ascii="宋体" w:hAnsi="宋体" w:eastAsia="宋体" w:cs="Times New Roman"/>
          <w:sz w:val="24"/>
          <w:szCs w:val="20"/>
        </w:rPr>
        <w:drawing>
          <wp:inline distT="0" distB="0" distL="114300" distR="114300">
            <wp:extent cx="3082925" cy="2761615"/>
            <wp:effectExtent l="0" t="0" r="10795" b="1206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31"/>
                    <a:stretch>
                      <a:fillRect/>
                    </a:stretch>
                  </pic:blipFill>
                  <pic:spPr>
                    <a:xfrm>
                      <a:off x="0" y="0"/>
                      <a:ext cx="3082925" cy="2761615"/>
                    </a:xfrm>
                    <a:prstGeom prst="rect">
                      <a:avLst/>
                    </a:prstGeom>
                    <a:noFill/>
                    <a:ln>
                      <a:noFill/>
                    </a:ln>
                  </pic:spPr>
                </pic:pic>
              </a:graphicData>
            </a:graphic>
          </wp:inline>
        </w:drawing>
      </w:r>
    </w:p>
    <w:p w14:paraId="5CADD14E">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头轮及支架总成</w:t>
      </w:r>
    </w:p>
    <w:p w14:paraId="77082F5D">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头轮及支架总成主要由传动轴支架和传动轴总成组成，头轮轴采用整体实心轴，链轮采用整体铸钢，轴承座选用剖分式轴承座，轴承采用调心滚子轴承，底座由型钢焊接而成。传动装置设有机械和电气的过载保护装置，机械利用剪力安全销结构，过载的情况下，剪切销被剪断链轮失去动力，驱动部分空转。</w:t>
      </w:r>
    </w:p>
    <w:p w14:paraId="1E6EE73B">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hint="eastAsia" w:ascii="宋体" w:hAnsi="宋体" w:eastAsia="宋体" w:cs="宋体"/>
          <w:sz w:val="24"/>
          <w:szCs w:val="20"/>
        </w:rPr>
        <w:drawing>
          <wp:inline distT="0" distB="0" distL="114300" distR="114300">
            <wp:extent cx="4340860" cy="2996565"/>
            <wp:effectExtent l="0" t="0" r="2540" b="5715"/>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32"/>
                    <a:stretch>
                      <a:fillRect/>
                    </a:stretch>
                  </pic:blipFill>
                  <pic:spPr>
                    <a:xfrm>
                      <a:off x="0" y="0"/>
                      <a:ext cx="4349368" cy="2996565"/>
                    </a:xfrm>
                    <a:prstGeom prst="rect">
                      <a:avLst/>
                    </a:prstGeom>
                    <a:noFill/>
                    <a:ln>
                      <a:noFill/>
                    </a:ln>
                  </pic:spPr>
                </pic:pic>
              </a:graphicData>
            </a:graphic>
          </wp:inline>
        </w:drawing>
      </w:r>
    </w:p>
    <w:p w14:paraId="3916D1B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传动轴支架</w:t>
      </w:r>
      <w:r>
        <w:rPr>
          <w:rFonts w:hint="eastAsia" w:cs="Times New Roman"/>
          <w:sz w:val="24"/>
          <w:lang w:eastAsia="zh-CN"/>
        </w:rPr>
        <w:t>：</w:t>
      </w:r>
    </w:p>
    <w:p w14:paraId="4218116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传动轴支架由槽钢和钢板作为主材料，结构性连接后组成框架，设置有定位板防止轴  承产生相对位移，底部设置可使用螺栓调整水平，并在调整完成后地面预埋板焊接固定。</w:t>
      </w:r>
    </w:p>
    <w:p w14:paraId="780604B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传动轴</w:t>
      </w:r>
      <w:r>
        <w:rPr>
          <w:rFonts w:hint="eastAsia" w:cs="Times New Roman"/>
          <w:sz w:val="24"/>
          <w:lang w:eastAsia="zh-CN"/>
        </w:rPr>
        <w:t>：</w:t>
      </w:r>
    </w:p>
    <w:p w14:paraId="3A898488">
      <w:pPr>
        <w:keepNext w:val="0"/>
        <w:keepLines w:val="0"/>
        <w:pageBreakBefore w:val="0"/>
        <w:widowControl w:val="0"/>
        <w:numPr>
          <w:ilvl w:val="0"/>
          <w:numId w:val="4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由优质材料整体加工并热处理后得到。</w:t>
      </w:r>
    </w:p>
    <w:p w14:paraId="1CC813CA">
      <w:pPr>
        <w:keepNext w:val="0"/>
        <w:keepLines w:val="0"/>
        <w:pageBreakBefore w:val="0"/>
        <w:widowControl w:val="0"/>
        <w:numPr>
          <w:ilvl w:val="0"/>
          <w:numId w:val="4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与传动链轮联接的轴端配置2个键槽，且两键槽在同一母线上。</w:t>
      </w:r>
    </w:p>
    <w:p w14:paraId="24E33FC8">
      <w:pPr>
        <w:keepNext w:val="0"/>
        <w:keepLines w:val="0"/>
        <w:pageBreakBefore w:val="0"/>
        <w:widowControl w:val="0"/>
        <w:numPr>
          <w:ilvl w:val="0"/>
          <w:numId w:val="4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传动轴在安装完牵引链轮后，使用卡箍限位。</w:t>
      </w:r>
    </w:p>
    <w:p w14:paraId="48C32A9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val="en-US" w:eastAsia="zh-CN"/>
        </w:rPr>
      </w:pPr>
      <w:r>
        <w:rPr>
          <w:rFonts w:ascii="Times New Roman" w:hAnsi="Times New Roman" w:eastAsia="宋体" w:cs="Times New Roman"/>
          <w:sz w:val="24"/>
        </w:rPr>
        <w:t>牵引链轮</w:t>
      </w:r>
      <w:r>
        <w:rPr>
          <w:rFonts w:hint="eastAsia" w:cs="Times New Roman"/>
          <w:sz w:val="24"/>
          <w:lang w:eastAsia="zh-CN"/>
        </w:rPr>
        <w:t>：</w:t>
      </w:r>
    </w:p>
    <w:p w14:paraId="567B2DFE">
      <w:pPr>
        <w:keepNext w:val="0"/>
        <w:keepLines w:val="0"/>
        <w:pageBreakBefore w:val="0"/>
        <w:widowControl w:val="0"/>
        <w:numPr>
          <w:ilvl w:val="0"/>
          <w:numId w:val="4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由材料加工而成。</w:t>
      </w:r>
    </w:p>
    <w:p w14:paraId="3023E0A2">
      <w:pPr>
        <w:keepNext w:val="0"/>
        <w:keepLines w:val="0"/>
        <w:pageBreakBefore w:val="0"/>
        <w:widowControl w:val="0"/>
        <w:numPr>
          <w:ilvl w:val="0"/>
          <w:numId w:val="4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齿面淬火，整体发黑。</w:t>
      </w:r>
    </w:p>
    <w:p w14:paraId="48E6602F">
      <w:pPr>
        <w:keepNext w:val="0"/>
        <w:keepLines w:val="0"/>
        <w:pageBreakBefore w:val="0"/>
        <w:widowControl w:val="0"/>
        <w:numPr>
          <w:ilvl w:val="0"/>
          <w:numId w:val="4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2件链轮的键槽方向相对于齿方向一致。</w:t>
      </w:r>
    </w:p>
    <w:p w14:paraId="1D1B6007">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ascii="宋体" w:hAnsi="宋体" w:eastAsia="宋体" w:cs="宋体"/>
          <w:sz w:val="24"/>
          <w:szCs w:val="20"/>
        </w:rPr>
        <w:drawing>
          <wp:inline distT="0" distB="0" distL="114300" distR="114300">
            <wp:extent cx="1659255" cy="1845310"/>
            <wp:effectExtent l="0" t="0" r="1905" b="13970"/>
            <wp:docPr id="60"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5"/>
                    <pic:cNvPicPr>
                      <a:picLocks noChangeAspect="1"/>
                    </pic:cNvPicPr>
                  </pic:nvPicPr>
                  <pic:blipFill>
                    <a:blip r:embed="rId33"/>
                    <a:stretch>
                      <a:fillRect/>
                    </a:stretch>
                  </pic:blipFill>
                  <pic:spPr>
                    <a:xfrm>
                      <a:off x="0" y="0"/>
                      <a:ext cx="1671839" cy="1859407"/>
                    </a:xfrm>
                    <a:prstGeom prst="rect">
                      <a:avLst/>
                    </a:prstGeom>
                    <a:noFill/>
                    <a:ln>
                      <a:noFill/>
                    </a:ln>
                  </pic:spPr>
                </pic:pic>
              </a:graphicData>
            </a:graphic>
          </wp:inline>
        </w:drawing>
      </w:r>
    </w:p>
    <w:p w14:paraId="58B7A82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传动链轮和链轮座</w:t>
      </w:r>
      <w:r>
        <w:rPr>
          <w:rFonts w:hint="eastAsia" w:cs="Times New Roman"/>
          <w:sz w:val="24"/>
          <w:lang w:eastAsia="zh-CN"/>
        </w:rPr>
        <w:t>：</w:t>
      </w:r>
    </w:p>
    <w:p w14:paraId="6135AA67">
      <w:pPr>
        <w:keepNext w:val="0"/>
        <w:keepLines w:val="0"/>
        <w:pageBreakBefore w:val="0"/>
        <w:widowControl w:val="0"/>
        <w:numPr>
          <w:ilvl w:val="0"/>
          <w:numId w:val="4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使用滚子链传递扭矩并降低转速。</w:t>
      </w:r>
    </w:p>
    <w:p w14:paraId="7EA5996D">
      <w:pPr>
        <w:keepNext w:val="0"/>
        <w:keepLines w:val="0"/>
        <w:pageBreakBefore w:val="0"/>
        <w:widowControl w:val="0"/>
        <w:numPr>
          <w:ilvl w:val="0"/>
          <w:numId w:val="4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齿面淬火，整体发黑。</w:t>
      </w:r>
    </w:p>
    <w:p w14:paraId="6702AFE7">
      <w:pPr>
        <w:keepNext w:val="0"/>
        <w:keepLines w:val="0"/>
        <w:pageBreakBefore w:val="0"/>
        <w:widowControl w:val="0"/>
        <w:numPr>
          <w:ilvl w:val="0"/>
          <w:numId w:val="4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通过剪切销与链轮座连接。</w:t>
      </w:r>
    </w:p>
    <w:p w14:paraId="2B575284">
      <w:pPr>
        <w:keepNext w:val="0"/>
        <w:keepLines w:val="0"/>
        <w:pageBreakBefore w:val="0"/>
        <w:widowControl w:val="0"/>
        <w:numPr>
          <w:ilvl w:val="0"/>
          <w:numId w:val="4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链轮座由优质材料整体加工而成。</w:t>
      </w:r>
    </w:p>
    <w:p w14:paraId="54F3FA16">
      <w:pPr>
        <w:keepNext w:val="0"/>
        <w:keepLines w:val="0"/>
        <w:pageBreakBefore w:val="0"/>
        <w:widowControl w:val="0"/>
        <w:numPr>
          <w:ilvl w:val="0"/>
          <w:numId w:val="4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链轮座调质处理并整体发黑。</w:t>
      </w:r>
    </w:p>
    <w:p w14:paraId="3CF944D9">
      <w:pPr>
        <w:keepNext w:val="0"/>
        <w:keepLines w:val="0"/>
        <w:pageBreakBefore w:val="0"/>
        <w:widowControl w:val="0"/>
        <w:numPr>
          <w:ilvl w:val="0"/>
          <w:numId w:val="4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链轮座使用键与传动轴配合，剪切销断掉后传动轴失去动力。</w:t>
      </w:r>
    </w:p>
    <w:p w14:paraId="26742CB6">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kern w:val="2"/>
          <w:sz w:val="24"/>
          <w:lang w:val="en-US" w:eastAsia="zh-CN" w:bidi="ar-SA"/>
        </w:rPr>
      </w:pPr>
      <w:r>
        <w:rPr>
          <w:rFonts w:ascii="宋体" w:hAnsi="宋体" w:eastAsia="宋体" w:cs="宋体"/>
          <w:kern w:val="2"/>
          <w:sz w:val="24"/>
          <w:lang w:val="en-US" w:eastAsia="zh-CN" w:bidi="ar-SA"/>
        </w:rPr>
        <w:drawing>
          <wp:inline distT="0" distB="0" distL="0" distR="0">
            <wp:extent cx="2116455" cy="1985645"/>
            <wp:effectExtent l="0" t="0" r="1905" b="10795"/>
            <wp:docPr id="141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 name="图片 24"/>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116455" cy="1985645"/>
                    </a:xfrm>
                    <a:prstGeom prst="rect">
                      <a:avLst/>
                    </a:prstGeom>
                    <a:noFill/>
                    <a:ln>
                      <a:noFill/>
                    </a:ln>
                  </pic:spPr>
                </pic:pic>
              </a:graphicData>
            </a:graphic>
          </wp:inline>
        </w:drawing>
      </w:r>
    </w:p>
    <w:p w14:paraId="7D75256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剪切销</w:t>
      </w:r>
      <w:r>
        <w:rPr>
          <w:rFonts w:hint="eastAsia" w:cs="Times New Roman"/>
          <w:sz w:val="24"/>
          <w:lang w:eastAsia="zh-CN"/>
        </w:rPr>
        <w:t>：</w:t>
      </w:r>
    </w:p>
    <w:p w14:paraId="0E792782">
      <w:pPr>
        <w:keepNext w:val="0"/>
        <w:keepLines w:val="0"/>
        <w:pageBreakBefore w:val="0"/>
        <w:widowControl w:val="0"/>
        <w:numPr>
          <w:ilvl w:val="0"/>
          <w:numId w:val="4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由优质材料整体加工而成。</w:t>
      </w:r>
    </w:p>
    <w:p w14:paraId="2D33FD72">
      <w:pPr>
        <w:keepNext w:val="0"/>
        <w:keepLines w:val="0"/>
        <w:pageBreakBefore w:val="0"/>
        <w:widowControl w:val="0"/>
        <w:numPr>
          <w:ilvl w:val="0"/>
          <w:numId w:val="4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常态时正常使用，过载时断裂保护电机。</w:t>
      </w:r>
    </w:p>
    <w:p w14:paraId="0528964C">
      <w:pPr>
        <w:keepNext w:val="0"/>
        <w:keepLines w:val="0"/>
        <w:pageBreakBefore w:val="0"/>
        <w:widowControl w:val="0"/>
        <w:numPr>
          <w:ilvl w:val="0"/>
          <w:numId w:val="4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头部地坑盖板</w:t>
      </w:r>
    </w:p>
    <w:p w14:paraId="4278E267">
      <w:pPr>
        <w:keepNext w:val="0"/>
        <w:keepLines w:val="0"/>
        <w:pageBreakBefore w:val="0"/>
        <w:widowControl w:val="0"/>
        <w:numPr>
          <w:ilvl w:val="0"/>
          <w:numId w:val="4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头部地坑盖板负责保护驱动装置，且具备整车下线的强度，该部分主要由头部盖板骨架，头部盖板，维修活动盖板组成。</w:t>
      </w:r>
    </w:p>
    <w:p w14:paraId="7F483A25">
      <w:pPr>
        <w:keepNext w:val="0"/>
        <w:keepLines w:val="0"/>
        <w:pageBreakBefore w:val="0"/>
        <w:widowControl w:val="0"/>
        <w:numPr>
          <w:ilvl w:val="0"/>
          <w:numId w:val="488"/>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头部盖板骨架</w:t>
      </w:r>
    </w:p>
    <w:p w14:paraId="13B1CA0C">
      <w:pPr>
        <w:keepNext w:val="0"/>
        <w:keepLines w:val="0"/>
        <w:pageBreakBefore w:val="0"/>
        <w:widowControl w:val="0"/>
        <w:numPr>
          <w:ilvl w:val="0"/>
          <w:numId w:val="488"/>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b w:val="0"/>
          <w:sz w:val="24"/>
        </w:rPr>
      </w:pPr>
      <w:r>
        <w:rPr>
          <w:rFonts w:ascii="Times New Roman" w:hAnsi="Times New Roman" w:eastAsia="宋体" w:cs="Times New Roman"/>
          <w:sz w:val="24"/>
        </w:rPr>
        <w:t>边框主要由[12槽钢组成，加强梁的部分主要由I12和I14工字钢焊接而成。</w:t>
      </w:r>
    </w:p>
    <w:p w14:paraId="17AC734E">
      <w:pPr>
        <w:keepNext w:val="0"/>
        <w:keepLines w:val="0"/>
        <w:pageBreakBefore w:val="0"/>
        <w:widowControl w:val="0"/>
        <w:numPr>
          <w:ilvl w:val="0"/>
          <w:numId w:val="488"/>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b w:val="0"/>
          <w:sz w:val="24"/>
        </w:rPr>
      </w:pPr>
      <w:r>
        <w:rPr>
          <w:rFonts w:ascii="Times New Roman" w:hAnsi="Times New Roman" w:eastAsia="宋体" w:cs="Times New Roman"/>
          <w:sz w:val="24"/>
        </w:rPr>
        <w:t>链条卷入的位置使用I10工字钢切斜口做成台面板导向。</w:t>
      </w:r>
    </w:p>
    <w:p w14:paraId="28D41A68">
      <w:pPr>
        <w:keepNext w:val="0"/>
        <w:keepLines w:val="0"/>
        <w:pageBreakBefore w:val="0"/>
        <w:widowControl w:val="0"/>
        <w:numPr>
          <w:ilvl w:val="0"/>
          <w:numId w:val="488"/>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安装时周边槽钢与地坑基础的预埋角钢焊接。</w:t>
      </w:r>
    </w:p>
    <w:p w14:paraId="13B4C423">
      <w:pPr>
        <w:keepNext w:val="0"/>
        <w:keepLines w:val="0"/>
        <w:pageBreakBefore w:val="0"/>
        <w:widowControl w:val="0"/>
        <w:kinsoku/>
        <w:overflowPunct/>
        <w:topLinePunct w:val="0"/>
        <w:bidi w:val="0"/>
        <w:adjustRightInd w:val="0"/>
        <w:snapToGrid w:val="0"/>
        <w:spacing w:afterAutospacing="0" w:line="360" w:lineRule="auto"/>
        <w:ind w:firstLine="480" w:firstLineChars="200"/>
        <w:jc w:val="both"/>
        <w:rPr>
          <w:rFonts w:ascii="宋体" w:hAnsi="宋体" w:eastAsia="宋体" w:cs="宋体"/>
          <w:kern w:val="2"/>
          <w:sz w:val="24"/>
          <w:lang w:val="en-US" w:eastAsia="zh-CN" w:bidi="ar-SA"/>
        </w:rPr>
      </w:pPr>
      <w:r>
        <w:rPr>
          <w:rFonts w:hint="eastAsia" w:ascii="宋体" w:hAnsi="宋体" w:eastAsia="宋体" w:cs="宋体"/>
          <w:kern w:val="2"/>
          <w:sz w:val="24"/>
          <w:lang w:val="en-US" w:eastAsia="zh-CN" w:bidi="ar-SA"/>
        </w:rPr>
        <w:drawing>
          <wp:inline distT="0" distB="0" distL="0" distR="0">
            <wp:extent cx="5490845" cy="2056130"/>
            <wp:effectExtent l="0" t="0" r="10795" b="127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490845" cy="2056130"/>
                    </a:xfrm>
                    <a:prstGeom prst="rect">
                      <a:avLst/>
                    </a:prstGeom>
                    <a:noFill/>
                    <a:ln>
                      <a:noFill/>
                    </a:ln>
                  </pic:spPr>
                </pic:pic>
              </a:graphicData>
            </a:graphic>
          </wp:inline>
        </w:drawing>
      </w:r>
    </w:p>
    <w:p w14:paraId="5D6BA40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头部盖板</w:t>
      </w:r>
      <w:r>
        <w:rPr>
          <w:rFonts w:hint="eastAsia" w:cs="Times New Roman"/>
          <w:sz w:val="24"/>
          <w:lang w:eastAsia="zh-CN"/>
        </w:rPr>
        <w:t>：</w:t>
      </w:r>
    </w:p>
    <w:p w14:paraId="6C7AC40F">
      <w:pPr>
        <w:keepNext w:val="0"/>
        <w:keepLines w:val="0"/>
        <w:pageBreakBefore w:val="0"/>
        <w:widowControl w:val="0"/>
        <w:numPr>
          <w:ilvl w:val="0"/>
          <w:numId w:val="4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主材料根据承载选择不同厚度的钢板，工件行走位置常选用10</w:t>
      </w:r>
      <w:r>
        <w:rPr>
          <w:rFonts w:hint="eastAsia" w:ascii="Times New Roman" w:hAnsi="Times New Roman" w:eastAsia="宋体" w:cs="Times New Roman"/>
          <w:sz w:val="24"/>
          <w:lang w:eastAsia="zh-CN"/>
        </w:rPr>
        <w:t>—</w:t>
      </w:r>
      <w:r>
        <w:rPr>
          <w:rFonts w:ascii="Times New Roman" w:hAnsi="Times New Roman" w:eastAsia="宋体" w:cs="Times New Roman"/>
          <w:sz w:val="24"/>
        </w:rPr>
        <w:t>12mm。</w:t>
      </w:r>
    </w:p>
    <w:p w14:paraId="5EFE1D2B">
      <w:pPr>
        <w:keepNext w:val="0"/>
        <w:keepLines w:val="0"/>
        <w:pageBreakBefore w:val="0"/>
        <w:widowControl w:val="0"/>
        <w:numPr>
          <w:ilvl w:val="0"/>
          <w:numId w:val="4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头部盖板上加工沉头孔，使用内六角沉头螺钉固定在头部盖板骨架上。</w:t>
      </w:r>
    </w:p>
    <w:p w14:paraId="368F5BA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活动盖板</w:t>
      </w:r>
      <w:r>
        <w:rPr>
          <w:rFonts w:hint="eastAsia" w:cs="Times New Roman"/>
          <w:sz w:val="24"/>
          <w:lang w:eastAsia="zh-CN"/>
        </w:rPr>
        <w:t>：</w:t>
      </w:r>
    </w:p>
    <w:p w14:paraId="6E07469B">
      <w:pPr>
        <w:keepNext w:val="0"/>
        <w:keepLines w:val="0"/>
        <w:pageBreakBefore w:val="0"/>
        <w:widowControl w:val="0"/>
        <w:numPr>
          <w:ilvl w:val="0"/>
          <w:numId w:val="4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用于检修时人员进出地坑。</w:t>
      </w:r>
    </w:p>
    <w:p w14:paraId="28562391">
      <w:pPr>
        <w:keepNext w:val="0"/>
        <w:keepLines w:val="0"/>
        <w:pageBreakBefore w:val="0"/>
        <w:widowControl w:val="0"/>
        <w:numPr>
          <w:ilvl w:val="0"/>
          <w:numId w:val="4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盖板使用6mm花纹钢板作为主板，底部配50x5的角钢作为加强筋，周边承载部分额外焊接8mm的钢板加强。</w:t>
      </w:r>
    </w:p>
    <w:p w14:paraId="24D9313A">
      <w:pPr>
        <w:keepNext w:val="0"/>
        <w:keepLines w:val="0"/>
        <w:pageBreakBefore w:val="0"/>
        <w:widowControl w:val="0"/>
        <w:numPr>
          <w:ilvl w:val="0"/>
          <w:numId w:val="4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每个活动盖板配置拉手2个，常态下隐藏，隐藏状态下拉手上表面与盖板上表面齐平。</w:t>
      </w:r>
    </w:p>
    <w:p w14:paraId="22B47124">
      <w:pPr>
        <w:keepNext w:val="0"/>
        <w:keepLines w:val="0"/>
        <w:pageBreakBefore w:val="0"/>
        <w:kinsoku/>
        <w:overflowPunct/>
        <w:topLinePunct w:val="0"/>
        <w:bidi w:val="0"/>
        <w:adjustRightInd w:val="0"/>
        <w:snapToGrid w:val="0"/>
        <w:spacing w:afterAutospacing="0" w:line="360" w:lineRule="auto"/>
        <w:ind w:firstLine="480" w:firstLineChars="200"/>
        <w:rPr>
          <w:rFonts w:ascii="宋体" w:hAnsi="宋体" w:eastAsia="宋体" w:cs="宋体"/>
          <w:sz w:val="24"/>
          <w:szCs w:val="20"/>
        </w:rPr>
      </w:pPr>
      <w:r>
        <w:rPr>
          <w:rFonts w:ascii="宋体" w:hAnsi="宋体" w:eastAsia="宋体" w:cs="宋体"/>
          <w:sz w:val="24"/>
          <w:szCs w:val="20"/>
        </w:rPr>
        <w:drawing>
          <wp:inline distT="0" distB="0" distL="114300" distR="114300">
            <wp:extent cx="2555240" cy="1884045"/>
            <wp:effectExtent l="0" t="0" r="5080" b="5715"/>
            <wp:docPr id="14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 name="图片 6"/>
                    <pic:cNvPicPr>
                      <a:picLocks noChangeAspect="1"/>
                    </pic:cNvPicPr>
                  </pic:nvPicPr>
                  <pic:blipFill>
                    <a:blip r:embed="rId36"/>
                    <a:stretch>
                      <a:fillRect/>
                    </a:stretch>
                  </pic:blipFill>
                  <pic:spPr>
                    <a:xfrm>
                      <a:off x="0" y="0"/>
                      <a:ext cx="2555240" cy="1884045"/>
                    </a:xfrm>
                    <a:prstGeom prst="rect">
                      <a:avLst/>
                    </a:prstGeom>
                    <a:noFill/>
                    <a:ln>
                      <a:noFill/>
                    </a:ln>
                  </pic:spPr>
                </pic:pic>
              </a:graphicData>
            </a:graphic>
          </wp:inline>
        </w:drawing>
      </w:r>
      <w:r>
        <w:rPr>
          <w:rFonts w:hint="eastAsia" w:ascii="宋体" w:hAnsi="宋体" w:eastAsia="宋体" w:cs="宋体"/>
          <w:sz w:val="24"/>
          <w:szCs w:val="20"/>
        </w:rPr>
        <w:drawing>
          <wp:inline distT="0" distB="0" distL="114300" distR="114300">
            <wp:extent cx="2354580" cy="1718310"/>
            <wp:effectExtent l="0" t="0" r="7620" b="381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37"/>
                    <a:stretch>
                      <a:fillRect/>
                    </a:stretch>
                  </pic:blipFill>
                  <pic:spPr>
                    <a:xfrm>
                      <a:off x="0" y="0"/>
                      <a:ext cx="2354580" cy="1718310"/>
                    </a:xfrm>
                    <a:prstGeom prst="rect">
                      <a:avLst/>
                    </a:prstGeom>
                    <a:noFill/>
                    <a:ln>
                      <a:noFill/>
                    </a:ln>
                  </pic:spPr>
                </pic:pic>
              </a:graphicData>
            </a:graphic>
          </wp:inline>
        </w:drawing>
      </w:r>
    </w:p>
    <w:p w14:paraId="36133A3C">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中间支架及盖板系统</w:t>
      </w:r>
    </w:p>
    <w:p w14:paraId="1C265C3E">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中间支架主要由槽钢、角钢和钢板焊接而成，配有调整螺栓，调整完成标高后焊接于地坑预埋盖板上，等间距布置与地坑中，中间支架上安装有钢轨4根，下部安装有返程导向轨2根，该部分主要负责支撑所有链条、台面板及侧盖板，上件区域的中间支架直接使用膨胀螺栓固定在地面上，该部分的支架配置有斜撑，安装完成后与张紧轮支架连接加固。在基础配置有检修地坑的区域，使用检修盖板封住地坑入口。</w:t>
      </w:r>
    </w:p>
    <w:p w14:paraId="6F525386">
      <w:pPr>
        <w:keepNext w:val="0"/>
        <w:keepLines w:val="0"/>
        <w:pageBreakBefore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szCs w:val="20"/>
        </w:rPr>
      </w:pPr>
      <w:r>
        <w:rPr>
          <w:rFonts w:ascii="宋体" w:hAnsi="宋体" w:eastAsia="宋体" w:cs="宋体"/>
          <w:sz w:val="24"/>
          <w:szCs w:val="20"/>
        </w:rPr>
        <w:drawing>
          <wp:inline distT="0" distB="0" distL="114300" distR="114300">
            <wp:extent cx="5417185" cy="2749550"/>
            <wp:effectExtent l="0" t="0" r="8255" b="8890"/>
            <wp:docPr id="14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 name="图片 8"/>
                    <pic:cNvPicPr>
                      <a:picLocks noChangeAspect="1"/>
                    </pic:cNvPicPr>
                  </pic:nvPicPr>
                  <pic:blipFill>
                    <a:blip r:embed="rId38"/>
                    <a:stretch>
                      <a:fillRect/>
                    </a:stretch>
                  </pic:blipFill>
                  <pic:spPr>
                    <a:xfrm>
                      <a:off x="0" y="0"/>
                      <a:ext cx="5417185" cy="2749550"/>
                    </a:xfrm>
                    <a:prstGeom prst="rect">
                      <a:avLst/>
                    </a:prstGeom>
                    <a:noFill/>
                    <a:ln>
                      <a:noFill/>
                    </a:ln>
                  </pic:spPr>
                </pic:pic>
              </a:graphicData>
            </a:graphic>
          </wp:inline>
        </w:drawing>
      </w:r>
    </w:p>
    <w:p w14:paraId="01E8441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中间支架组件</w:t>
      </w:r>
      <w:r>
        <w:rPr>
          <w:rFonts w:hint="eastAsia" w:cs="Times New Roman"/>
          <w:sz w:val="24"/>
          <w:lang w:eastAsia="zh-CN"/>
        </w:rPr>
        <w:t>：</w:t>
      </w:r>
    </w:p>
    <w:p w14:paraId="3636D018">
      <w:pPr>
        <w:keepNext w:val="0"/>
        <w:keepLines w:val="0"/>
        <w:pageBreakBefore w:val="0"/>
        <w:widowControl w:val="0"/>
        <w:numPr>
          <w:ilvl w:val="0"/>
          <w:numId w:val="4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由[18a槽钢作为主承载框架，上部焊接4块小钢板并配孔用于安装钢轨压板，两侧焊接50x5的角钢固定返程角钢。</w:t>
      </w:r>
    </w:p>
    <w:p w14:paraId="6509755E">
      <w:pPr>
        <w:keepNext w:val="0"/>
        <w:keepLines w:val="0"/>
        <w:pageBreakBefore w:val="0"/>
        <w:widowControl w:val="0"/>
        <w:numPr>
          <w:ilvl w:val="0"/>
          <w:numId w:val="4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槽钢底部配置有螺纹孔，用于调整中间支架高度。</w:t>
      </w:r>
    </w:p>
    <w:p w14:paraId="15DF72FE">
      <w:pPr>
        <w:keepNext w:val="0"/>
        <w:keepLines w:val="0"/>
        <w:pageBreakBefore w:val="0"/>
        <w:widowControl w:val="0"/>
        <w:numPr>
          <w:ilvl w:val="0"/>
          <w:numId w:val="4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高度调整完成后，贴一个短[18a槽钢与预埋板焊接固定。</w:t>
      </w:r>
    </w:p>
    <w:p w14:paraId="538E9E19">
      <w:pPr>
        <w:keepNext w:val="0"/>
        <w:keepLines w:val="0"/>
        <w:pageBreakBefore w:val="0"/>
        <w:widowControl w:val="0"/>
        <w:numPr>
          <w:ilvl w:val="0"/>
          <w:numId w:val="4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在中间支架的上部焊接2根50x5的角钢，用于固定侧边盖板。</w:t>
      </w:r>
    </w:p>
    <w:p w14:paraId="34EA7962">
      <w:pPr>
        <w:keepNext w:val="0"/>
        <w:keepLines w:val="0"/>
        <w:pageBreakBefore w:val="0"/>
        <w:widowControl w:val="0"/>
        <w:numPr>
          <w:ilvl w:val="0"/>
          <w:numId w:val="4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根据承载要求，中间支架组件的安装密度可有所变化。</w:t>
      </w:r>
    </w:p>
    <w:p w14:paraId="75A1AF5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drawing>
          <wp:anchor distT="0" distB="0" distL="114300" distR="114300" simplePos="0" relativeHeight="251660288" behindDoc="0" locked="0" layoutInCell="1" allowOverlap="1">
            <wp:simplePos x="0" y="0"/>
            <wp:positionH relativeFrom="column">
              <wp:posOffset>140970</wp:posOffset>
            </wp:positionH>
            <wp:positionV relativeFrom="paragraph">
              <wp:posOffset>38735</wp:posOffset>
            </wp:positionV>
            <wp:extent cx="5673725" cy="1788160"/>
            <wp:effectExtent l="0" t="0" r="10795" b="10160"/>
            <wp:wrapTopAndBottom/>
            <wp:docPr id="142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 name="图片 9"/>
                    <pic:cNvPicPr>
                      <a:picLocks noChangeAspect="1"/>
                    </pic:cNvPicPr>
                  </pic:nvPicPr>
                  <pic:blipFill>
                    <a:blip r:embed="rId39"/>
                    <a:stretch>
                      <a:fillRect/>
                    </a:stretch>
                  </pic:blipFill>
                  <pic:spPr>
                    <a:xfrm>
                      <a:off x="0" y="0"/>
                      <a:ext cx="5673725" cy="1788160"/>
                    </a:xfrm>
                    <a:prstGeom prst="rect">
                      <a:avLst/>
                    </a:prstGeom>
                    <a:noFill/>
                    <a:ln>
                      <a:noFill/>
                    </a:ln>
                  </pic:spPr>
                </pic:pic>
              </a:graphicData>
            </a:graphic>
          </wp:anchor>
        </w:drawing>
      </w:r>
      <w:r>
        <w:rPr>
          <w:rFonts w:ascii="Times New Roman" w:hAnsi="Times New Roman" w:eastAsia="宋体" w:cs="Times New Roman"/>
          <w:sz w:val="24"/>
        </w:rPr>
        <w:t>侧盖板</w:t>
      </w:r>
      <w:r>
        <w:rPr>
          <w:rFonts w:hint="eastAsia" w:cs="Times New Roman"/>
          <w:sz w:val="24"/>
          <w:lang w:eastAsia="zh-CN"/>
        </w:rPr>
        <w:t>：</w:t>
      </w:r>
    </w:p>
    <w:p w14:paraId="516B3D4B">
      <w:pPr>
        <w:keepNext w:val="0"/>
        <w:keepLines w:val="0"/>
        <w:pageBreakBefore w:val="0"/>
        <w:widowControl w:val="0"/>
        <w:numPr>
          <w:ilvl w:val="0"/>
          <w:numId w:val="4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由5mm花纹钢板制作，使用内六角沉头螺钉固定在下方的角钢上。</w:t>
      </w:r>
    </w:p>
    <w:p w14:paraId="07FD4942">
      <w:pPr>
        <w:keepNext w:val="0"/>
        <w:keepLines w:val="0"/>
        <w:pageBreakBefore w:val="0"/>
        <w:widowControl w:val="0"/>
        <w:numPr>
          <w:ilvl w:val="0"/>
          <w:numId w:val="4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安装前先在地坑两侧和中间支架的竖直角钢上焊接通常的角钢。</w:t>
      </w:r>
    </w:p>
    <w:p w14:paraId="4EADBE4F">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ascii="宋体" w:hAnsi="宋体" w:eastAsia="宋体" w:cs="宋体"/>
          <w:sz w:val="24"/>
          <w:szCs w:val="20"/>
        </w:rPr>
        <w:drawing>
          <wp:inline distT="0" distB="0" distL="114300" distR="114300">
            <wp:extent cx="5527040" cy="2222500"/>
            <wp:effectExtent l="0" t="0" r="5080" b="2540"/>
            <wp:docPr id="61"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6"/>
                    <pic:cNvPicPr>
                      <a:picLocks noChangeAspect="1"/>
                    </pic:cNvPicPr>
                  </pic:nvPicPr>
                  <pic:blipFill>
                    <a:blip r:embed="rId40"/>
                    <a:stretch>
                      <a:fillRect/>
                    </a:stretch>
                  </pic:blipFill>
                  <pic:spPr>
                    <a:xfrm>
                      <a:off x="0" y="0"/>
                      <a:ext cx="5527040" cy="2222500"/>
                    </a:xfrm>
                    <a:prstGeom prst="rect">
                      <a:avLst/>
                    </a:prstGeom>
                    <a:noFill/>
                    <a:ln>
                      <a:noFill/>
                    </a:ln>
                  </pic:spPr>
                </pic:pic>
              </a:graphicData>
            </a:graphic>
          </wp:inline>
        </w:drawing>
      </w:r>
    </w:p>
    <w:p w14:paraId="30EC620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上件区中间支架组件</w:t>
      </w:r>
      <w:r>
        <w:rPr>
          <w:rFonts w:hint="eastAsia" w:cs="Times New Roman"/>
          <w:sz w:val="24"/>
          <w:lang w:eastAsia="zh-CN"/>
        </w:rPr>
        <w:t>：</w:t>
      </w:r>
    </w:p>
    <w:p w14:paraId="75C2E674">
      <w:pPr>
        <w:keepNext w:val="0"/>
        <w:keepLines w:val="0"/>
        <w:pageBreakBefore w:val="0"/>
        <w:widowControl w:val="0"/>
        <w:numPr>
          <w:ilvl w:val="0"/>
          <w:numId w:val="4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主要由立柱、斜撑、承载梁、上件中间支架组成，受地坑结构影响其结构与中间支架有所不同，主要区别在于该区域没有地坑基础，所以使用立柱、斜撑和承载梁搭建中间支架的支撑。</w:t>
      </w:r>
    </w:p>
    <w:p w14:paraId="1F641159">
      <w:pPr>
        <w:keepNext w:val="0"/>
        <w:keepLines w:val="0"/>
        <w:pageBreakBefore w:val="0"/>
        <w:widowControl w:val="0"/>
        <w:numPr>
          <w:ilvl w:val="0"/>
          <w:numId w:val="4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立柱由方管、钢板焊接，底部配膨胀螺栓与地面固定。</w:t>
      </w:r>
    </w:p>
    <w:p w14:paraId="67C8889A">
      <w:pPr>
        <w:keepNext w:val="0"/>
        <w:keepLines w:val="0"/>
        <w:pageBreakBefore w:val="0"/>
        <w:widowControl w:val="0"/>
        <w:numPr>
          <w:ilvl w:val="0"/>
          <w:numId w:val="4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斜撑由钢板和槽钢焊接，与立柱螺接完成后与地面使用膨胀螺栓固定。</w:t>
      </w:r>
    </w:p>
    <w:p w14:paraId="53092C4A">
      <w:pPr>
        <w:keepNext w:val="0"/>
        <w:keepLines w:val="0"/>
        <w:pageBreakBefore w:val="0"/>
        <w:widowControl w:val="0"/>
        <w:numPr>
          <w:ilvl w:val="0"/>
          <w:numId w:val="4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承载梁与立柱螺接，端头与张紧框架连接在一起。</w:t>
      </w:r>
    </w:p>
    <w:p w14:paraId="7D9B9E11">
      <w:pPr>
        <w:keepNext w:val="0"/>
        <w:keepLines w:val="0"/>
        <w:pageBreakBefore w:val="0"/>
        <w:widowControl w:val="0"/>
        <w:numPr>
          <w:ilvl w:val="0"/>
          <w:numId w:val="4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立柱上焊接[8槽钢用于固定张紧侧的返程轨。</w:t>
      </w:r>
    </w:p>
    <w:p w14:paraId="796EA37E">
      <w:pPr>
        <w:keepNext w:val="0"/>
        <w:keepLines w:val="0"/>
        <w:pageBreakBefore w:val="0"/>
        <w:widowControl w:val="0"/>
        <w:numPr>
          <w:ilvl w:val="0"/>
          <w:numId w:val="4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与常态的中间支架结构类似，取消盖板支撑角钢及返程轨连接槽钢。</w:t>
      </w:r>
    </w:p>
    <w:p w14:paraId="7072DFCE">
      <w:pPr>
        <w:keepNext w:val="0"/>
        <w:keepLines w:val="0"/>
        <w:pageBreakBefore w:val="0"/>
        <w:widowControl w:val="0"/>
        <w:kinsoku/>
        <w:overflowPunct/>
        <w:topLinePunct w:val="0"/>
        <w:bidi w:val="0"/>
        <w:adjustRightInd w:val="0"/>
        <w:snapToGrid w:val="0"/>
        <w:spacing w:afterAutospacing="0" w:line="360" w:lineRule="auto"/>
        <w:ind w:firstLine="0" w:firstLineChars="0"/>
        <w:jc w:val="center"/>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drawing>
          <wp:inline distT="0" distB="0" distL="0" distR="0">
            <wp:extent cx="4333240" cy="2910840"/>
            <wp:effectExtent l="0" t="0" r="10160" b="0"/>
            <wp:docPr id="142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 name="图片 11"/>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4333240" cy="2910840"/>
                    </a:xfrm>
                    <a:prstGeom prst="rect">
                      <a:avLst/>
                    </a:prstGeom>
                    <a:noFill/>
                    <a:ln>
                      <a:noFill/>
                    </a:ln>
                  </pic:spPr>
                </pic:pic>
              </a:graphicData>
            </a:graphic>
          </wp:inline>
        </w:drawing>
      </w:r>
    </w:p>
    <w:p w14:paraId="68D9E85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钢轨</w:t>
      </w:r>
      <w:r>
        <w:rPr>
          <w:rFonts w:hint="eastAsia" w:cs="Times New Roman"/>
          <w:sz w:val="24"/>
          <w:lang w:eastAsia="zh-CN"/>
        </w:rPr>
        <w:t>：</w:t>
      </w:r>
    </w:p>
    <w:p w14:paraId="094DE81C">
      <w:pPr>
        <w:keepNext w:val="0"/>
        <w:keepLines w:val="0"/>
        <w:pageBreakBefore w:val="0"/>
        <w:widowControl w:val="0"/>
        <w:numPr>
          <w:ilvl w:val="0"/>
          <w:numId w:val="4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根据承载要求，选用国标轻轨作为输送链的承载链条</w:t>
      </w:r>
      <w:r>
        <w:rPr>
          <w:rFonts w:hint="eastAsia" w:ascii="Times New Roman" w:hAnsi="Times New Roman" w:eastAsia="宋体" w:cs="Times New Roman"/>
          <w:sz w:val="24"/>
          <w:lang w:eastAsia="zh-CN"/>
        </w:rPr>
        <w:t>。</w:t>
      </w:r>
    </w:p>
    <w:p w14:paraId="2FA47C5C">
      <w:pPr>
        <w:keepNext w:val="0"/>
        <w:keepLines w:val="0"/>
        <w:pageBreakBefore w:val="0"/>
        <w:widowControl w:val="0"/>
        <w:numPr>
          <w:ilvl w:val="0"/>
          <w:numId w:val="4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钢轨端头加工出斜面。</w:t>
      </w:r>
    </w:p>
    <w:p w14:paraId="39D50E8D">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ascii="宋体" w:hAnsi="宋体" w:eastAsia="宋体" w:cs="宋体"/>
          <w:sz w:val="24"/>
          <w:szCs w:val="20"/>
        </w:rPr>
        <w:drawing>
          <wp:inline distT="0" distB="0" distL="114300" distR="114300">
            <wp:extent cx="3305175" cy="1896110"/>
            <wp:effectExtent l="0" t="0" r="1905" b="8890"/>
            <wp:docPr id="6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8"/>
                    <pic:cNvPicPr>
                      <a:picLocks noChangeAspect="1"/>
                    </pic:cNvPicPr>
                  </pic:nvPicPr>
                  <pic:blipFill>
                    <a:blip r:embed="rId42"/>
                    <a:stretch>
                      <a:fillRect/>
                    </a:stretch>
                  </pic:blipFill>
                  <pic:spPr>
                    <a:xfrm>
                      <a:off x="0" y="0"/>
                      <a:ext cx="3305175" cy="1896110"/>
                    </a:xfrm>
                    <a:prstGeom prst="rect">
                      <a:avLst/>
                    </a:prstGeom>
                    <a:noFill/>
                    <a:ln>
                      <a:noFill/>
                    </a:ln>
                  </pic:spPr>
                </pic:pic>
              </a:graphicData>
            </a:graphic>
          </wp:inline>
        </w:drawing>
      </w:r>
    </w:p>
    <w:p w14:paraId="6C754BD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返程轨</w:t>
      </w:r>
      <w:r>
        <w:rPr>
          <w:rFonts w:hint="eastAsia" w:cs="Times New Roman"/>
          <w:sz w:val="24"/>
          <w:lang w:eastAsia="zh-CN"/>
        </w:rPr>
        <w:t>：</w:t>
      </w:r>
    </w:p>
    <w:p w14:paraId="01C74757">
      <w:pPr>
        <w:keepNext w:val="0"/>
        <w:keepLines w:val="0"/>
        <w:pageBreakBefore w:val="0"/>
        <w:widowControl w:val="0"/>
        <w:numPr>
          <w:ilvl w:val="0"/>
          <w:numId w:val="49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用100X80X8的不等边角钢制作，头尾两根返程轨有一定的折弯角度</w:t>
      </w:r>
      <w:r>
        <w:rPr>
          <w:rFonts w:hint="eastAsia" w:ascii="Times New Roman" w:hAnsi="Times New Roman" w:eastAsia="宋体" w:cs="Times New Roman"/>
          <w:sz w:val="24"/>
          <w:lang w:eastAsia="zh-CN"/>
        </w:rPr>
        <w:t>。</w:t>
      </w:r>
    </w:p>
    <w:p w14:paraId="47D4BA18">
      <w:pPr>
        <w:keepNext w:val="0"/>
        <w:keepLines w:val="0"/>
        <w:pageBreakBefore w:val="0"/>
        <w:widowControl w:val="0"/>
        <w:numPr>
          <w:ilvl w:val="0"/>
          <w:numId w:val="49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整体与中间支架焊接。</w:t>
      </w:r>
    </w:p>
    <w:p w14:paraId="7F7CB463">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ascii="宋体" w:hAnsi="宋体" w:eastAsia="宋体" w:cs="宋体"/>
          <w:sz w:val="24"/>
          <w:szCs w:val="20"/>
        </w:rPr>
        <w:drawing>
          <wp:inline distT="0" distB="0" distL="114300" distR="114300">
            <wp:extent cx="4339590" cy="1885950"/>
            <wp:effectExtent l="0" t="0" r="3810" b="3810"/>
            <wp:docPr id="6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9"/>
                    <pic:cNvPicPr>
                      <a:picLocks noChangeAspect="1"/>
                    </pic:cNvPicPr>
                  </pic:nvPicPr>
                  <pic:blipFill>
                    <a:blip r:embed="rId43"/>
                    <a:stretch>
                      <a:fillRect/>
                    </a:stretch>
                  </pic:blipFill>
                  <pic:spPr>
                    <a:xfrm>
                      <a:off x="0" y="0"/>
                      <a:ext cx="4339590" cy="1885950"/>
                    </a:xfrm>
                    <a:prstGeom prst="rect">
                      <a:avLst/>
                    </a:prstGeom>
                    <a:noFill/>
                    <a:ln>
                      <a:noFill/>
                    </a:ln>
                  </pic:spPr>
                </pic:pic>
              </a:graphicData>
            </a:graphic>
          </wp:inline>
        </w:drawing>
      </w:r>
    </w:p>
    <w:p w14:paraId="55CA0700">
      <w:pPr>
        <w:keepNext w:val="0"/>
        <w:keepLines w:val="0"/>
        <w:pageBreakBefore w:val="0"/>
        <w:widowControl w:val="0"/>
        <w:numPr>
          <w:ilvl w:val="0"/>
          <w:numId w:val="4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张紧装置总成</w:t>
      </w:r>
    </w:p>
    <w:p w14:paraId="1629E69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张紧装置为板链系统的从动部分，并提供一定的张紧力以抵消链条运行过程中的爬行现象。张紧装置总成：由张紧轴、从动链轮、调节丝杆（带</w:t>
      </w:r>
      <w:r>
        <w:rPr>
          <w:rFonts w:hint="eastAsia" w:ascii="Times New Roman" w:hAnsi="Times New Roman" w:eastAsia="宋体" w:cs="Times New Roman"/>
          <w:sz w:val="24"/>
          <w:lang w:val="en-US" w:eastAsia="zh-CN"/>
        </w:rPr>
        <w:t>弹簧</w:t>
      </w:r>
      <w:r>
        <w:rPr>
          <w:rFonts w:ascii="Times New Roman" w:hAnsi="Times New Roman" w:eastAsia="宋体" w:cs="Times New Roman"/>
          <w:sz w:val="24"/>
        </w:rPr>
        <w:t>、张紧轴支架、带滑槽轴承座等组成，调整行程±500mm，张紧座有足够的强度，链轮采用铸钢，采用球面轴承，底座由型钢焊接而成。张紧装置上的滑动座灵活移动，无卡阻和间断式运行现象。</w:t>
      </w:r>
    </w:p>
    <w:p w14:paraId="20EF02A4">
      <w:pPr>
        <w:keepNext w:val="0"/>
        <w:keepLines w:val="0"/>
        <w:pageBreakBefore w:val="0"/>
        <w:kinsoku/>
        <w:overflowPunct/>
        <w:topLinePunct w:val="0"/>
        <w:bidi w:val="0"/>
        <w:adjustRightInd w:val="0"/>
        <w:snapToGrid w:val="0"/>
        <w:spacing w:afterAutospacing="0" w:line="360" w:lineRule="auto"/>
        <w:ind w:firstLine="480" w:firstLineChars="200"/>
        <w:rPr>
          <w:rFonts w:ascii="宋体" w:hAnsi="宋体" w:eastAsia="宋体" w:cs="宋体"/>
          <w:sz w:val="24"/>
          <w:szCs w:val="20"/>
        </w:rPr>
      </w:pPr>
      <w:r>
        <w:rPr>
          <w:rFonts w:ascii="宋体" w:hAnsi="宋体" w:eastAsia="宋体" w:cs="宋体"/>
          <w:sz w:val="24"/>
          <w:szCs w:val="20"/>
        </w:rPr>
        <w:drawing>
          <wp:inline distT="0" distB="0" distL="114300" distR="114300">
            <wp:extent cx="5299075" cy="2829560"/>
            <wp:effectExtent l="0" t="0" r="4445" b="5080"/>
            <wp:docPr id="142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 name="图片 13"/>
                    <pic:cNvPicPr>
                      <a:picLocks noChangeAspect="1"/>
                    </pic:cNvPicPr>
                  </pic:nvPicPr>
                  <pic:blipFill>
                    <a:blip r:embed="rId44"/>
                    <a:stretch>
                      <a:fillRect/>
                    </a:stretch>
                  </pic:blipFill>
                  <pic:spPr>
                    <a:xfrm>
                      <a:off x="0" y="0"/>
                      <a:ext cx="5299075" cy="2829560"/>
                    </a:xfrm>
                    <a:prstGeom prst="rect">
                      <a:avLst/>
                    </a:prstGeom>
                    <a:noFill/>
                    <a:ln>
                      <a:noFill/>
                    </a:ln>
                  </pic:spPr>
                </pic:pic>
              </a:graphicData>
            </a:graphic>
          </wp:inline>
        </w:drawing>
      </w:r>
    </w:p>
    <w:p w14:paraId="5F8D5DB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张紧轴支架</w:t>
      </w:r>
      <w:r>
        <w:rPr>
          <w:rFonts w:hint="eastAsia" w:cs="Times New Roman"/>
          <w:sz w:val="24"/>
          <w:lang w:eastAsia="zh-CN"/>
        </w:rPr>
        <w:t>：</w:t>
      </w:r>
    </w:p>
    <w:p w14:paraId="565132ED">
      <w:pPr>
        <w:keepNext w:val="0"/>
        <w:keepLines w:val="0"/>
        <w:pageBreakBefore w:val="0"/>
        <w:widowControl w:val="0"/>
        <w:numPr>
          <w:ilvl w:val="0"/>
          <w:numId w:val="4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主框架由[18a焊接，底部焊接调整钢板和加强钢板组成固定脚，四周用钢板固定加强。</w:t>
      </w:r>
    </w:p>
    <w:p w14:paraId="6E61A8B9">
      <w:pPr>
        <w:keepNext w:val="0"/>
        <w:keepLines w:val="0"/>
        <w:pageBreakBefore w:val="0"/>
        <w:widowControl w:val="0"/>
        <w:numPr>
          <w:ilvl w:val="0"/>
          <w:numId w:val="4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碟簧座由材料整体加工，焊接在主框架上，并在主框架上配螺杆的穿杆孔。</w:t>
      </w:r>
    </w:p>
    <w:p w14:paraId="23A8DA16">
      <w:pPr>
        <w:keepNext w:val="0"/>
        <w:keepLines w:val="0"/>
        <w:pageBreakBefore w:val="0"/>
        <w:widowControl w:val="0"/>
        <w:numPr>
          <w:ilvl w:val="0"/>
          <w:numId w:val="4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下滑轨由材料加工并焊接得到，整体焊接于主框架两侧。</w:t>
      </w:r>
    </w:p>
    <w:p w14:paraId="67164C3A">
      <w:pPr>
        <w:keepNext w:val="0"/>
        <w:keepLines w:val="0"/>
        <w:pageBreakBefore w:val="0"/>
        <w:widowControl w:val="0"/>
        <w:numPr>
          <w:ilvl w:val="0"/>
          <w:numId w:val="4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上滑轨制作完成后，螺接于主框架两侧。</w:t>
      </w:r>
    </w:p>
    <w:p w14:paraId="198D99C4">
      <w:pPr>
        <w:keepNext w:val="0"/>
        <w:keepLines w:val="0"/>
        <w:pageBreakBefore w:val="0"/>
        <w:widowControl w:val="0"/>
        <w:numPr>
          <w:ilvl w:val="0"/>
          <w:numId w:val="4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张紧轴支架高度调整完成后，底部与地坑预埋板焊接。</w:t>
      </w:r>
    </w:p>
    <w:p w14:paraId="7135E898">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ascii="宋体" w:hAnsi="宋体" w:eastAsia="宋体" w:cs="宋体"/>
          <w:sz w:val="24"/>
          <w:szCs w:val="20"/>
        </w:rPr>
        <w:drawing>
          <wp:inline distT="0" distB="0" distL="114300" distR="114300">
            <wp:extent cx="3709670" cy="3124200"/>
            <wp:effectExtent l="0" t="0" r="8890" b="0"/>
            <wp:docPr id="6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30"/>
                    <pic:cNvPicPr>
                      <a:picLocks noChangeAspect="1"/>
                    </pic:cNvPicPr>
                  </pic:nvPicPr>
                  <pic:blipFill>
                    <a:blip r:embed="rId45"/>
                    <a:stretch>
                      <a:fillRect/>
                    </a:stretch>
                  </pic:blipFill>
                  <pic:spPr>
                    <a:xfrm>
                      <a:off x="0" y="0"/>
                      <a:ext cx="3728116" cy="3139466"/>
                    </a:xfrm>
                    <a:prstGeom prst="rect">
                      <a:avLst/>
                    </a:prstGeom>
                    <a:noFill/>
                    <a:ln>
                      <a:noFill/>
                    </a:ln>
                  </pic:spPr>
                </pic:pic>
              </a:graphicData>
            </a:graphic>
          </wp:inline>
        </w:drawing>
      </w:r>
    </w:p>
    <w:p w14:paraId="52AAC8B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张紧轴</w:t>
      </w:r>
      <w:r>
        <w:rPr>
          <w:rFonts w:hint="eastAsia" w:cs="Times New Roman"/>
          <w:sz w:val="24"/>
          <w:lang w:eastAsia="zh-CN"/>
        </w:rPr>
        <w:t>：</w:t>
      </w:r>
    </w:p>
    <w:p w14:paraId="685654FC">
      <w:pPr>
        <w:keepNext w:val="0"/>
        <w:keepLines w:val="0"/>
        <w:pageBreakBefore w:val="0"/>
        <w:widowControl w:val="0"/>
        <w:numPr>
          <w:ilvl w:val="0"/>
          <w:numId w:val="49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由优质材料整体加工并热处理后得到。</w:t>
      </w:r>
    </w:p>
    <w:p w14:paraId="58C9F72E">
      <w:pPr>
        <w:keepNext w:val="0"/>
        <w:keepLines w:val="0"/>
        <w:pageBreakBefore w:val="0"/>
        <w:widowControl w:val="0"/>
        <w:numPr>
          <w:ilvl w:val="0"/>
          <w:numId w:val="49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张紧轴仅一端配置键槽，一侧链轮与张紧轴随动。</w:t>
      </w:r>
    </w:p>
    <w:p w14:paraId="048A7402">
      <w:pPr>
        <w:keepNext w:val="0"/>
        <w:keepLines w:val="0"/>
        <w:pageBreakBefore w:val="0"/>
        <w:widowControl w:val="0"/>
        <w:numPr>
          <w:ilvl w:val="0"/>
          <w:numId w:val="49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传动轴在安装完从动链轮后，使用卡箍限位。</w:t>
      </w:r>
    </w:p>
    <w:p w14:paraId="6B0260F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张紧链轮</w:t>
      </w:r>
      <w:r>
        <w:rPr>
          <w:rFonts w:hint="eastAsia" w:cs="Times New Roman"/>
          <w:sz w:val="24"/>
          <w:lang w:eastAsia="zh-CN"/>
        </w:rPr>
        <w:t>：</w:t>
      </w:r>
    </w:p>
    <w:p w14:paraId="36C6536C">
      <w:pPr>
        <w:keepNext w:val="0"/>
        <w:keepLines w:val="0"/>
        <w:pageBreakBefore w:val="0"/>
        <w:widowControl w:val="0"/>
        <w:numPr>
          <w:ilvl w:val="0"/>
          <w:numId w:val="49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由材料加工而成。</w:t>
      </w:r>
    </w:p>
    <w:p w14:paraId="7711F6ED">
      <w:pPr>
        <w:keepNext w:val="0"/>
        <w:keepLines w:val="0"/>
        <w:pageBreakBefore w:val="0"/>
        <w:widowControl w:val="0"/>
        <w:numPr>
          <w:ilvl w:val="0"/>
          <w:numId w:val="49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齿面淬火，整体发黑。</w:t>
      </w:r>
    </w:p>
    <w:p w14:paraId="6694B13A">
      <w:pPr>
        <w:keepNext w:val="0"/>
        <w:keepLines w:val="0"/>
        <w:pageBreakBefore w:val="0"/>
        <w:widowControl w:val="0"/>
        <w:numPr>
          <w:ilvl w:val="0"/>
          <w:numId w:val="49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张紧链轮一个带键槽，一个不带键槽。</w:t>
      </w:r>
    </w:p>
    <w:p w14:paraId="4AB27956">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张紧座组件</w:t>
      </w:r>
      <w:r>
        <w:rPr>
          <w:rFonts w:hint="eastAsia" w:cs="Times New Roman"/>
          <w:sz w:val="24"/>
          <w:lang w:eastAsia="zh-CN"/>
        </w:rPr>
        <w:t>：</w:t>
      </w:r>
    </w:p>
    <w:p w14:paraId="71D31C7D">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轴承座由优质材料加工后焊接而成。</w:t>
      </w:r>
    </w:p>
    <w:p w14:paraId="082DE494">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轴承座整体发黑。</w:t>
      </w:r>
    </w:p>
    <w:p w14:paraId="1983F7FB">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使用优质球面轴承。</w:t>
      </w:r>
    </w:p>
    <w:p w14:paraId="362B6D60">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丝杆及螺母采用T型螺纹。</w:t>
      </w:r>
    </w:p>
    <w:p w14:paraId="454BD675">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选用优质碟簧，碟簧与螺母中间安装滚动轴承。</w:t>
      </w:r>
    </w:p>
    <w:p w14:paraId="457C1647">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与滑轨的接触面光滑，运行无卡阻和间断现象。</w:t>
      </w:r>
    </w:p>
    <w:p w14:paraId="5A898BF6">
      <w:pPr>
        <w:keepNext w:val="0"/>
        <w:keepLines w:val="0"/>
        <w:pageBreakBefore w:val="0"/>
        <w:widowControl w:val="0"/>
        <w:numPr>
          <w:ilvl w:val="0"/>
          <w:numId w:val="4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调整时注意两侧链轮的相对位置是否相同。</w:t>
      </w:r>
    </w:p>
    <w:p w14:paraId="39954336">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0"/>
        </w:rPr>
      </w:pPr>
      <w:r>
        <w:rPr>
          <w:rFonts w:hint="eastAsia" w:ascii="宋体" w:hAnsi="宋体" w:eastAsia="宋体" w:cs="宋体"/>
          <w:sz w:val="24"/>
          <w:szCs w:val="20"/>
        </w:rPr>
        <w:drawing>
          <wp:inline distT="0" distB="0" distL="114300" distR="114300">
            <wp:extent cx="5266690" cy="2556510"/>
            <wp:effectExtent l="0" t="0" r="6350" b="3810"/>
            <wp:docPr id="1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1"/>
                    <pic:cNvPicPr>
                      <a:picLocks noChangeAspect="1"/>
                    </pic:cNvPicPr>
                  </pic:nvPicPr>
                  <pic:blipFill>
                    <a:blip r:embed="rId46"/>
                    <a:stretch>
                      <a:fillRect/>
                    </a:stretch>
                  </pic:blipFill>
                  <pic:spPr>
                    <a:xfrm>
                      <a:off x="0" y="0"/>
                      <a:ext cx="5266690" cy="2589945"/>
                    </a:xfrm>
                    <a:prstGeom prst="rect">
                      <a:avLst/>
                    </a:prstGeom>
                    <a:noFill/>
                    <a:ln>
                      <a:noFill/>
                    </a:ln>
                  </pic:spPr>
                </pic:pic>
              </a:graphicData>
            </a:graphic>
          </wp:inline>
        </w:drawing>
      </w:r>
    </w:p>
    <w:p w14:paraId="7BC2B3B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标尺指针</w:t>
      </w:r>
      <w:r>
        <w:rPr>
          <w:rFonts w:hint="eastAsia" w:cs="Times New Roman"/>
          <w:sz w:val="24"/>
          <w:lang w:eastAsia="zh-CN"/>
        </w:rPr>
        <w:t>：</w:t>
      </w:r>
    </w:p>
    <w:p w14:paraId="691FB618">
      <w:pPr>
        <w:keepNext w:val="0"/>
        <w:keepLines w:val="0"/>
        <w:pageBreakBefore w:val="0"/>
        <w:widowControl w:val="0"/>
        <w:numPr>
          <w:ilvl w:val="0"/>
          <w:numId w:val="5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用于调整时观察左右的张紧相对值。</w:t>
      </w:r>
    </w:p>
    <w:p w14:paraId="33B2EC66">
      <w:pPr>
        <w:keepNext w:val="0"/>
        <w:keepLines w:val="0"/>
        <w:pageBreakBefore w:val="0"/>
        <w:widowControl w:val="0"/>
        <w:numPr>
          <w:ilvl w:val="0"/>
          <w:numId w:val="5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张紧支架上额外贴标尺。</w:t>
      </w:r>
    </w:p>
    <w:p w14:paraId="6BBC2DD7">
      <w:pPr>
        <w:keepNext w:val="0"/>
        <w:keepLines w:val="0"/>
        <w:pageBreakBefore w:val="0"/>
        <w:widowControl w:val="0"/>
        <w:numPr>
          <w:ilvl w:val="0"/>
          <w:numId w:val="4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工位检测装置</w:t>
      </w:r>
    </w:p>
    <w:p w14:paraId="39F7434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用于系统识别板链是否输送到预设工位位置。主要由轨道、轨道压板、开关支架、接近开关、发号板组成，按工位分段布置，每个工位布置1个，开关支架可在轨道上做出一定行程的调整，轨道焊接于中间支架上，当特定链板经过开关支架时，接近开关检测到发号板从而发出信号判定工位到位。</w:t>
      </w:r>
    </w:p>
    <w:p w14:paraId="65B330AC">
      <w:pPr>
        <w:keepNext w:val="0"/>
        <w:keepLines w:val="0"/>
        <w:pageBreakBefore w:val="0"/>
        <w:kinsoku/>
        <w:overflowPunct/>
        <w:topLinePunct w:val="0"/>
        <w:bidi w:val="0"/>
        <w:adjustRightInd w:val="0"/>
        <w:snapToGrid w:val="0"/>
        <w:spacing w:afterAutospacing="0" w:line="360" w:lineRule="auto"/>
        <w:ind w:firstLine="480" w:firstLineChars="200"/>
        <w:jc w:val="left"/>
        <w:rPr>
          <w:rFonts w:ascii="宋体" w:hAnsi="宋体" w:eastAsia="宋体" w:cs="Times New Roman"/>
          <w:sz w:val="24"/>
          <w:szCs w:val="20"/>
        </w:rPr>
      </w:pPr>
      <w:r>
        <w:rPr>
          <w:rFonts w:ascii="宋体" w:hAnsi="宋体" w:eastAsia="宋体" w:cs="Times New Roman"/>
          <w:sz w:val="24"/>
          <w:szCs w:val="20"/>
        </w:rPr>
        <w:drawing>
          <wp:inline distT="0" distB="0" distL="114300" distR="114300">
            <wp:extent cx="5335905" cy="3140710"/>
            <wp:effectExtent l="0" t="0" r="13335" b="1397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47"/>
                    <a:stretch>
                      <a:fillRect/>
                    </a:stretch>
                  </pic:blipFill>
                  <pic:spPr>
                    <a:xfrm>
                      <a:off x="0" y="0"/>
                      <a:ext cx="5335905" cy="3163486"/>
                    </a:xfrm>
                    <a:prstGeom prst="rect">
                      <a:avLst/>
                    </a:prstGeom>
                    <a:noFill/>
                    <a:ln>
                      <a:noFill/>
                    </a:ln>
                  </pic:spPr>
                </pic:pic>
              </a:graphicData>
            </a:graphic>
          </wp:inline>
        </w:drawing>
      </w:r>
    </w:p>
    <w:p w14:paraId="3F6465BF">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输送链板总成</w:t>
      </w:r>
    </w:p>
    <w:p w14:paraId="6123E263">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输送链板总成主要由输送链、台面板、支撑轮组件组成。</w:t>
      </w:r>
    </w:p>
    <w:p w14:paraId="150B23C2">
      <w:pPr>
        <w:keepNext w:val="0"/>
        <w:keepLines w:val="0"/>
        <w:pageBreakBefore w:val="0"/>
        <w:kinsoku/>
        <w:overflowPunct/>
        <w:topLinePunct w:val="0"/>
        <w:bidi w:val="0"/>
        <w:adjustRightInd w:val="0"/>
        <w:snapToGrid w:val="0"/>
        <w:spacing w:afterAutospacing="0" w:line="360" w:lineRule="auto"/>
        <w:ind w:firstLine="480" w:firstLineChars="200"/>
        <w:jc w:val="distribute"/>
        <w:rPr>
          <w:rFonts w:ascii="宋体" w:hAnsi="宋体" w:eastAsia="宋体" w:cs="Arial"/>
          <w:sz w:val="24"/>
          <w:szCs w:val="20"/>
        </w:rPr>
      </w:pPr>
      <w:r>
        <w:rPr>
          <w:rFonts w:ascii="宋体" w:hAnsi="宋体" w:eastAsia="宋体" w:cs="Times New Roman"/>
          <w:sz w:val="24"/>
          <w:szCs w:val="20"/>
        </w:rPr>
        <w:drawing>
          <wp:inline distT="0" distB="0" distL="114300" distR="114300">
            <wp:extent cx="5803900" cy="2309495"/>
            <wp:effectExtent l="0" t="0" r="2540" b="6985"/>
            <wp:docPr id="1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icPr>
                  <pic:blipFill>
                    <a:blip r:embed="rId48"/>
                    <a:stretch>
                      <a:fillRect/>
                    </a:stretch>
                  </pic:blipFill>
                  <pic:spPr>
                    <a:xfrm>
                      <a:off x="0" y="0"/>
                      <a:ext cx="5803900" cy="2309495"/>
                    </a:xfrm>
                    <a:prstGeom prst="rect">
                      <a:avLst/>
                    </a:prstGeom>
                    <a:noFill/>
                    <a:ln>
                      <a:noFill/>
                    </a:ln>
                  </pic:spPr>
                </pic:pic>
              </a:graphicData>
            </a:graphic>
          </wp:inline>
        </w:drawing>
      </w:r>
      <w:r>
        <w:rPr>
          <w:rFonts w:ascii="宋体" w:hAnsi="宋体" w:eastAsia="宋体" w:cs="Times New Roman"/>
          <w:sz w:val="24"/>
          <w:szCs w:val="20"/>
        </w:rPr>
        <w:drawing>
          <wp:inline distT="0" distB="0" distL="114300" distR="114300">
            <wp:extent cx="5908040" cy="1447165"/>
            <wp:effectExtent l="0" t="0" r="5080" b="635"/>
            <wp:docPr id="1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8"/>
                    <pic:cNvPicPr>
                      <a:picLocks noChangeAspect="1"/>
                    </pic:cNvPicPr>
                  </pic:nvPicPr>
                  <pic:blipFill>
                    <a:blip r:embed="rId49"/>
                    <a:stretch>
                      <a:fillRect/>
                    </a:stretch>
                  </pic:blipFill>
                  <pic:spPr>
                    <a:xfrm>
                      <a:off x="0" y="0"/>
                      <a:ext cx="5908040" cy="1447165"/>
                    </a:xfrm>
                    <a:prstGeom prst="rect">
                      <a:avLst/>
                    </a:prstGeom>
                    <a:noFill/>
                    <a:ln>
                      <a:noFill/>
                    </a:ln>
                  </pic:spPr>
                </pic:pic>
              </a:graphicData>
            </a:graphic>
          </wp:inline>
        </w:drawing>
      </w:r>
    </w:p>
    <w:p w14:paraId="3D650E88">
      <w:pPr>
        <w:keepNext w:val="0"/>
        <w:keepLines w:val="0"/>
        <w:pageBreakBefore w:val="0"/>
        <w:widowControl w:val="0"/>
        <w:kinsoku/>
        <w:overflowPunct/>
        <w:topLinePunct w:val="0"/>
        <w:bidi w:val="0"/>
        <w:adjustRightInd w:val="0"/>
        <w:snapToGrid w:val="0"/>
        <w:spacing w:afterAutospacing="0"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输送链</w:t>
      </w:r>
      <w:r>
        <w:rPr>
          <w:rFonts w:hint="eastAsia" w:cs="Times New Roman"/>
          <w:sz w:val="24"/>
          <w:lang w:eastAsia="zh-CN"/>
        </w:rPr>
        <w:t>：</w:t>
      </w:r>
    </w:p>
    <w:p w14:paraId="0BAEA1B4">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trike/>
          <w:sz w:val="24"/>
        </w:rPr>
      </w:pPr>
      <w:r>
        <w:rPr>
          <w:rFonts w:ascii="Times New Roman" w:hAnsi="Times New Roman" w:eastAsia="宋体" w:cs="Times New Roman"/>
          <w:sz w:val="24"/>
        </w:rPr>
        <w:t>由链条厂家提供的高抗拉载荷长节距滚子输送链，滚子内装轴承。链条结构可靠，安全系数很高，拆装方便且便于维护。</w:t>
      </w:r>
    </w:p>
    <w:p w14:paraId="46FEBE9D">
      <w:pPr>
        <w:keepNext w:val="0"/>
        <w:keepLines w:val="0"/>
        <w:pageBreakBefore w:val="0"/>
        <w:widowControl w:val="0"/>
        <w:kinsoku/>
        <w:overflowPunct/>
        <w:topLinePunct w:val="0"/>
        <w:bidi w:val="0"/>
        <w:adjustRightInd w:val="0"/>
        <w:snapToGrid w:val="0"/>
        <w:spacing w:afterAutospacing="0" w:line="360" w:lineRule="auto"/>
        <w:ind w:firstLine="0" w:firstLineChars="0"/>
        <w:jc w:val="center"/>
        <w:rPr>
          <w:rFonts w:ascii="宋体" w:hAnsi="宋体" w:eastAsia="宋体" w:cs="Arial"/>
          <w:kern w:val="2"/>
          <w:sz w:val="24"/>
          <w:szCs w:val="24"/>
          <w:lang w:val="en-US" w:eastAsia="zh-CN" w:bidi="ar-SA"/>
        </w:rPr>
      </w:pPr>
      <w:r>
        <w:rPr>
          <w:rFonts w:ascii="宋体" w:hAnsi="宋体" w:cs="Arial" w:eastAsiaTheme="minorEastAsia"/>
          <w:kern w:val="2"/>
          <w:sz w:val="24"/>
          <w:szCs w:val="22"/>
          <w:lang w:val="en-US" w:eastAsia="zh-CN" w:bidi="ar-SA"/>
        </w:rPr>
        <w:drawing>
          <wp:inline distT="0" distB="0" distL="0" distR="0">
            <wp:extent cx="5804535" cy="2199005"/>
            <wp:effectExtent l="0" t="0" r="1905" b="10795"/>
            <wp:docPr id="143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 name="图片 23"/>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5804535" cy="2199005"/>
                    </a:xfrm>
                    <a:prstGeom prst="rect">
                      <a:avLst/>
                    </a:prstGeom>
                    <a:noFill/>
                    <a:ln>
                      <a:noFill/>
                    </a:ln>
                  </pic:spPr>
                </pic:pic>
              </a:graphicData>
            </a:graphic>
          </wp:inline>
        </w:drawing>
      </w:r>
    </w:p>
    <w:p w14:paraId="6CE73F76">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台面板</w:t>
      </w:r>
      <w:r>
        <w:rPr>
          <w:rFonts w:hint="eastAsia" w:cs="Times New Roman"/>
          <w:sz w:val="24"/>
          <w:lang w:eastAsia="zh-CN"/>
        </w:rPr>
        <w:t>：</w:t>
      </w:r>
    </w:p>
    <w:p w14:paraId="6DFA72CC">
      <w:pPr>
        <w:keepNext w:val="0"/>
        <w:keepLines w:val="0"/>
        <w:pageBreakBefore w:val="0"/>
        <w:widowControl w:val="0"/>
        <w:numPr>
          <w:ilvl w:val="0"/>
          <w:numId w:val="5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顶板由6mm花纹钢板折弯得到，底部配50x5的角钢作加强筋</w:t>
      </w:r>
      <w:r>
        <w:rPr>
          <w:rFonts w:hint="eastAsia" w:ascii="Times New Roman" w:hAnsi="Times New Roman" w:eastAsia="宋体" w:cs="Times New Roman"/>
          <w:sz w:val="24"/>
          <w:lang w:eastAsia="zh-CN"/>
        </w:rPr>
        <w:t>。</w:t>
      </w:r>
    </w:p>
    <w:p w14:paraId="4C1B43BD">
      <w:pPr>
        <w:keepNext w:val="0"/>
        <w:keepLines w:val="0"/>
        <w:pageBreakBefore w:val="0"/>
        <w:widowControl w:val="0"/>
        <w:numPr>
          <w:ilvl w:val="0"/>
          <w:numId w:val="5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底部配8mm的折弯板4块，用于安装输送链链板及支撑轮</w:t>
      </w:r>
      <w:r>
        <w:rPr>
          <w:rFonts w:hint="eastAsia" w:ascii="Times New Roman" w:hAnsi="Times New Roman" w:eastAsia="宋体" w:cs="Times New Roman"/>
          <w:sz w:val="24"/>
          <w:lang w:eastAsia="zh-CN"/>
        </w:rPr>
        <w:t>。</w:t>
      </w:r>
    </w:p>
    <w:p w14:paraId="68D756F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支撑轮</w:t>
      </w:r>
      <w:r>
        <w:rPr>
          <w:rFonts w:hint="eastAsia" w:cs="Times New Roman"/>
          <w:sz w:val="24"/>
          <w:lang w:eastAsia="zh-CN"/>
        </w:rPr>
        <w:t>：</w:t>
      </w:r>
    </w:p>
    <w:p w14:paraId="68574AED">
      <w:pPr>
        <w:keepNext w:val="0"/>
        <w:keepLines w:val="0"/>
        <w:pageBreakBefore w:val="0"/>
        <w:widowControl w:val="0"/>
        <w:numPr>
          <w:ilvl w:val="0"/>
          <w:numId w:val="50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由支撑座、轴承、滚轮、隔套和轮轴组成</w:t>
      </w:r>
      <w:r>
        <w:rPr>
          <w:rFonts w:hint="eastAsia" w:ascii="Times New Roman" w:hAnsi="Times New Roman" w:eastAsia="宋体" w:cs="Times New Roman"/>
          <w:sz w:val="24"/>
          <w:lang w:eastAsia="zh-CN"/>
        </w:rPr>
        <w:t>。</w:t>
      </w:r>
    </w:p>
    <w:p w14:paraId="7FC295C4">
      <w:pPr>
        <w:keepNext w:val="0"/>
        <w:keepLines w:val="0"/>
        <w:pageBreakBefore w:val="0"/>
        <w:widowControl w:val="0"/>
        <w:numPr>
          <w:ilvl w:val="0"/>
          <w:numId w:val="50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支撑座由钢板焊接而成</w:t>
      </w:r>
      <w:r>
        <w:rPr>
          <w:rFonts w:hint="eastAsia" w:ascii="Times New Roman" w:hAnsi="Times New Roman" w:eastAsia="宋体" w:cs="Times New Roman"/>
          <w:sz w:val="24"/>
          <w:lang w:eastAsia="zh-CN"/>
        </w:rPr>
        <w:t>。</w:t>
      </w:r>
    </w:p>
    <w:p w14:paraId="1393884E">
      <w:pPr>
        <w:keepNext w:val="0"/>
        <w:keepLines w:val="0"/>
        <w:pageBreakBefore w:val="0"/>
        <w:widowControl w:val="0"/>
        <w:numPr>
          <w:ilvl w:val="0"/>
          <w:numId w:val="50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根据承载计算选型轴承</w:t>
      </w:r>
      <w:r>
        <w:rPr>
          <w:rFonts w:hint="eastAsia" w:ascii="Times New Roman" w:hAnsi="Times New Roman" w:eastAsia="宋体" w:cs="Times New Roman"/>
          <w:sz w:val="24"/>
          <w:lang w:eastAsia="zh-CN"/>
        </w:rPr>
        <w:t>。</w:t>
      </w:r>
    </w:p>
    <w:p w14:paraId="12A1137C">
      <w:pPr>
        <w:keepNext w:val="0"/>
        <w:keepLines w:val="0"/>
        <w:pageBreakBefore w:val="0"/>
        <w:widowControl w:val="0"/>
        <w:numPr>
          <w:ilvl w:val="0"/>
          <w:numId w:val="4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按钮站</w:t>
      </w:r>
    </w:p>
    <w:p w14:paraId="06A2CB10">
      <w:pPr>
        <w:keepNext w:val="0"/>
        <w:keepLines w:val="0"/>
        <w:pageBreakBefore w:val="0"/>
        <w:widowControl w:val="0"/>
        <w:numPr>
          <w:ilvl w:val="0"/>
          <w:numId w:val="50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按工位布置按钮站支架，左右对称各1个，用于工人在作业过程中的急停/放行操作。</w:t>
      </w:r>
    </w:p>
    <w:p w14:paraId="694DB2B6">
      <w:pPr>
        <w:keepNext w:val="0"/>
        <w:keepLines w:val="0"/>
        <w:pageBreakBefore w:val="0"/>
        <w:widowControl w:val="0"/>
        <w:numPr>
          <w:ilvl w:val="0"/>
          <w:numId w:val="50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按钮站布置在线体两侧</w:t>
      </w:r>
      <w:r>
        <w:rPr>
          <w:rFonts w:hint="eastAsia" w:ascii="Times New Roman" w:hAnsi="Times New Roman" w:eastAsia="宋体" w:cs="Times New Roman"/>
          <w:sz w:val="24"/>
          <w:lang w:eastAsia="zh-CN"/>
        </w:rPr>
        <w:t>。</w:t>
      </w:r>
    </w:p>
    <w:p w14:paraId="2B0EFA81">
      <w:pPr>
        <w:keepNext w:val="0"/>
        <w:keepLines w:val="0"/>
        <w:pageBreakBefore w:val="0"/>
        <w:widowControl w:val="0"/>
        <w:numPr>
          <w:ilvl w:val="0"/>
          <w:numId w:val="50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按钮站带声光报警灯</w:t>
      </w:r>
      <w:r>
        <w:rPr>
          <w:rFonts w:hint="eastAsia" w:ascii="Times New Roman" w:hAnsi="Times New Roman" w:eastAsia="宋体" w:cs="Times New Roman"/>
          <w:sz w:val="24"/>
          <w:lang w:eastAsia="zh-CN"/>
        </w:rPr>
        <w:t>。</w:t>
      </w:r>
    </w:p>
    <w:p w14:paraId="10EAD3C5">
      <w:pPr>
        <w:keepNext w:val="0"/>
        <w:keepLines w:val="0"/>
        <w:pageBreakBefore w:val="0"/>
        <w:widowControl w:val="0"/>
        <w:numPr>
          <w:ilvl w:val="0"/>
          <w:numId w:val="4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工件下线保护装置</w:t>
      </w:r>
    </w:p>
    <w:p w14:paraId="6D8B1E5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用于检测车辆是否正常下线，如下线异常则触发停线信号</w:t>
      </w:r>
      <w:r>
        <w:rPr>
          <w:rFonts w:hint="eastAsia" w:ascii="Times New Roman" w:hAnsi="Times New Roman" w:eastAsia="宋体" w:cs="Times New Roman"/>
          <w:sz w:val="24"/>
          <w:lang w:eastAsia="zh-CN"/>
        </w:rPr>
        <w:t>。</w:t>
      </w:r>
    </w:p>
    <w:p w14:paraId="2A81784F">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sz w:val="24"/>
          <w:szCs w:val="20"/>
        </w:rPr>
      </w:pPr>
      <w:r>
        <w:rPr>
          <w:rFonts w:ascii="宋体" w:hAnsi="宋体" w:eastAsia="宋体" w:cs="Times New Roman"/>
          <w:sz w:val="24"/>
          <w:szCs w:val="20"/>
        </w:rPr>
        <w:drawing>
          <wp:inline distT="0" distB="0" distL="114300" distR="114300">
            <wp:extent cx="5793105" cy="2682875"/>
            <wp:effectExtent l="0" t="0" r="13335" b="14605"/>
            <wp:docPr id="68"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32"/>
                    <pic:cNvPicPr>
                      <a:picLocks noChangeAspect="1"/>
                    </pic:cNvPicPr>
                  </pic:nvPicPr>
                  <pic:blipFill>
                    <a:blip r:embed="rId51" cstate="print"/>
                    <a:stretch>
                      <a:fillRect/>
                    </a:stretch>
                  </pic:blipFill>
                  <pic:spPr>
                    <a:xfrm>
                      <a:off x="0" y="0"/>
                      <a:ext cx="5793105" cy="2689229"/>
                    </a:xfrm>
                    <a:prstGeom prst="rect">
                      <a:avLst/>
                    </a:prstGeom>
                    <a:noFill/>
                    <a:ln>
                      <a:noFill/>
                    </a:ln>
                  </pic:spPr>
                </pic:pic>
              </a:graphicData>
            </a:graphic>
          </wp:inline>
        </w:drawing>
      </w:r>
    </w:p>
    <w:p w14:paraId="217A28A7">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上件围栏</w:t>
      </w:r>
    </w:p>
    <w:p w14:paraId="3828E538">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板链上件位置周边设置安全围栏，围栏使用铝型材拼接，中间连接透明亚克力板便于人员观察。围栏立柱与地面使用膨胀螺栓固定。在设置有围栏的区域，地坑可不设置盖板，围栏配备活动门及安全门锁，打开状态下线体停线。</w:t>
      </w:r>
    </w:p>
    <w:p w14:paraId="13AC3D4F">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ascii="宋体" w:hAnsi="宋体" w:eastAsia="宋体" w:cs="宋体"/>
          <w:sz w:val="24"/>
          <w:szCs w:val="24"/>
        </w:rPr>
        <w:drawing>
          <wp:inline distT="0" distB="0" distL="114300" distR="114300">
            <wp:extent cx="5908040" cy="2592705"/>
            <wp:effectExtent l="0" t="0" r="5080" b="13335"/>
            <wp:docPr id="72"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36"/>
                    <pic:cNvPicPr>
                      <a:picLocks noChangeAspect="1"/>
                    </pic:cNvPicPr>
                  </pic:nvPicPr>
                  <pic:blipFill>
                    <a:blip r:embed="rId52"/>
                    <a:stretch>
                      <a:fillRect/>
                    </a:stretch>
                  </pic:blipFill>
                  <pic:spPr>
                    <a:xfrm>
                      <a:off x="0" y="0"/>
                      <a:ext cx="5908040" cy="2592705"/>
                    </a:xfrm>
                    <a:prstGeom prst="rect">
                      <a:avLst/>
                    </a:prstGeom>
                    <a:noFill/>
                    <a:ln>
                      <a:noFill/>
                    </a:ln>
                  </pic:spPr>
                </pic:pic>
              </a:graphicData>
            </a:graphic>
          </wp:inline>
        </w:drawing>
      </w:r>
    </w:p>
    <w:p w14:paraId="49285A22">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地坑照明系统</w:t>
      </w:r>
    </w:p>
    <w:p w14:paraId="39AF0BAD">
      <w:pPr>
        <w:keepNext w:val="0"/>
        <w:keepLines w:val="0"/>
        <w:pageBreakBefore w:val="0"/>
        <w:widowControl w:val="0"/>
        <w:numPr>
          <w:ilvl w:val="0"/>
          <w:numId w:val="50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在头尾地坑位置安装防潮灯，为检修时的操作人员提供照明。</w:t>
      </w:r>
    </w:p>
    <w:p w14:paraId="014305B2">
      <w:pPr>
        <w:keepNext w:val="0"/>
        <w:keepLines w:val="0"/>
        <w:pageBreakBefore w:val="0"/>
        <w:widowControl w:val="0"/>
        <w:numPr>
          <w:ilvl w:val="0"/>
          <w:numId w:val="50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根据需要，可让地坑盖板与防潮灯形成</w:t>
      </w:r>
      <w:r>
        <w:rPr>
          <w:rFonts w:hint="eastAsia" w:ascii="Times New Roman" w:hAnsi="Times New Roman" w:eastAsia="宋体" w:cs="Times New Roman"/>
          <w:sz w:val="24"/>
          <w:lang w:eastAsia="zh-CN"/>
        </w:rPr>
        <w:t>联锁</w:t>
      </w:r>
      <w:r>
        <w:rPr>
          <w:rFonts w:ascii="Times New Roman" w:hAnsi="Times New Roman" w:eastAsia="宋体" w:cs="Times New Roman"/>
          <w:sz w:val="24"/>
        </w:rPr>
        <w:t>关系。</w:t>
      </w:r>
    </w:p>
    <w:p w14:paraId="4C784F06">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稀油润滑装置</w:t>
      </w:r>
    </w:p>
    <w:p w14:paraId="67627A33">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每套板链系统配置稀油润滑装置，自动为链条补油，以延长使用寿命，降低机械故障率，降低噪音。</w:t>
      </w:r>
    </w:p>
    <w:p w14:paraId="537C34D6">
      <w:pPr>
        <w:keepNext w:val="0"/>
        <w:keepLines w:val="0"/>
        <w:pageBreakBefore w:val="0"/>
        <w:widowControl w:val="0"/>
        <w:numPr>
          <w:ilvl w:val="0"/>
          <w:numId w:val="4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随行侧顶机</w:t>
      </w:r>
    </w:p>
    <w:p w14:paraId="63BAB461">
      <w:pPr>
        <w:keepNext w:val="0"/>
        <w:keepLines w:val="0"/>
        <w:pageBreakBefore w:val="0"/>
        <w:tabs>
          <w:tab w:val="left" w:pos="420"/>
        </w:tabs>
        <w:kinsoku/>
        <w:overflowPunct/>
        <w:topLinePunct w:val="0"/>
        <w:bidi w:val="0"/>
        <w:adjustRightInd w:val="0"/>
        <w:snapToGrid w:val="0"/>
        <w:spacing w:afterAutospacing="0" w:line="360" w:lineRule="auto"/>
        <w:ind w:firstLine="480" w:firstLineChars="200"/>
        <w:jc w:val="center"/>
        <w:rPr>
          <w:rFonts w:ascii="宋体" w:hAnsi="宋体" w:eastAsia="宋体" w:cs="宋体"/>
          <w:sz w:val="24"/>
          <w:szCs w:val="24"/>
        </w:rPr>
      </w:pPr>
      <w:r>
        <w:rPr>
          <w:rFonts w:ascii="宋体" w:hAnsi="宋体" w:eastAsia="宋体" w:cs="宋体"/>
          <w:sz w:val="24"/>
          <w:szCs w:val="24"/>
        </w:rPr>
        <w:drawing>
          <wp:inline distT="0" distB="0" distL="0" distR="0">
            <wp:extent cx="5262245" cy="1492250"/>
            <wp:effectExtent l="0" t="0" r="10795" b="127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a:xfrm>
                      <a:off x="0" y="0"/>
                      <a:ext cx="5262245" cy="1492250"/>
                    </a:xfrm>
                    <a:prstGeom prst="rect">
                      <a:avLst/>
                    </a:prstGeom>
                    <a:noFill/>
                    <a:ln>
                      <a:noFill/>
                    </a:ln>
                  </pic:spPr>
                </pic:pic>
              </a:graphicData>
            </a:graphic>
          </wp:inline>
        </w:drawing>
      </w:r>
    </w:p>
    <w:p w14:paraId="19DC622A">
      <w:pPr>
        <w:keepNext w:val="0"/>
        <w:keepLines w:val="0"/>
        <w:pageBreakBefore w:val="0"/>
        <w:widowControl w:val="0"/>
        <w:numPr>
          <w:ilvl w:val="0"/>
          <w:numId w:val="5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在板链上件过程中，设置有随行测顶机，上面有随行装置，顶升装置，伸缩支撑，等组成，工作时，升降机将工件放在测顶机上，测顶机跟随板链一起运动，到达位置后，同步下降，工件逐渐放置在板链上。</w:t>
      </w:r>
    </w:p>
    <w:p w14:paraId="3B426D3F">
      <w:pPr>
        <w:keepNext w:val="0"/>
        <w:keepLines w:val="0"/>
        <w:pageBreakBefore w:val="0"/>
        <w:widowControl w:val="0"/>
        <w:numPr>
          <w:ilvl w:val="0"/>
          <w:numId w:val="5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放置完成后，伸缩支撑收回，支撑上，返回交接点重新等待。</w:t>
      </w:r>
    </w:p>
    <w:p w14:paraId="5ED30FD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升降框架</w:t>
      </w:r>
      <w:r>
        <w:rPr>
          <w:rFonts w:hint="eastAsia" w:cs="Times New Roman"/>
          <w:sz w:val="24"/>
          <w:lang w:eastAsia="zh-CN"/>
        </w:rPr>
        <w:t>：</w:t>
      </w:r>
    </w:p>
    <w:p w14:paraId="4A8B4B0A">
      <w:pPr>
        <w:keepNext w:val="0"/>
        <w:keepLines w:val="0"/>
        <w:pageBreakBefore w:val="0"/>
        <w:widowControl w:val="0"/>
        <w:numPr>
          <w:ilvl w:val="0"/>
          <w:numId w:val="5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由升降框架，伸缩工件支撑组成。</w:t>
      </w:r>
    </w:p>
    <w:p w14:paraId="5E1C1279">
      <w:pPr>
        <w:keepNext w:val="0"/>
        <w:keepLines w:val="0"/>
        <w:pageBreakBefore w:val="0"/>
        <w:widowControl w:val="0"/>
        <w:numPr>
          <w:ilvl w:val="0"/>
          <w:numId w:val="5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伸缩支撑用于支撑工件。</w:t>
      </w:r>
    </w:p>
    <w:p w14:paraId="6749503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折叠工件支撑</w:t>
      </w:r>
      <w:r>
        <w:rPr>
          <w:rFonts w:hint="eastAsia" w:cs="Times New Roman"/>
          <w:sz w:val="24"/>
          <w:lang w:eastAsia="zh-CN"/>
        </w:rPr>
        <w:t>：</w:t>
      </w:r>
    </w:p>
    <w:p w14:paraId="3733B8A3">
      <w:pPr>
        <w:keepNext w:val="0"/>
        <w:keepLines w:val="0"/>
        <w:pageBreakBefore w:val="0"/>
        <w:widowControl w:val="0"/>
        <w:numPr>
          <w:ilvl w:val="0"/>
          <w:numId w:val="5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有气缸与打开杆组成</w:t>
      </w:r>
      <w:r>
        <w:rPr>
          <w:rFonts w:hint="eastAsia" w:ascii="Times New Roman" w:hAnsi="Times New Roman" w:eastAsia="宋体" w:cs="Times New Roman"/>
          <w:sz w:val="24"/>
          <w:lang w:eastAsia="zh-CN"/>
        </w:rPr>
        <w:t>。</w:t>
      </w:r>
    </w:p>
    <w:p w14:paraId="0E049DEC">
      <w:pPr>
        <w:keepNext w:val="0"/>
        <w:keepLines w:val="0"/>
        <w:pageBreakBefore w:val="0"/>
        <w:widowControl w:val="0"/>
        <w:numPr>
          <w:ilvl w:val="0"/>
          <w:numId w:val="5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通过气缸推动插打开杆，带动支撑打开。</w:t>
      </w:r>
    </w:p>
    <w:p w14:paraId="70386EF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val="en-US" w:eastAsia="zh-CN"/>
        </w:rPr>
      </w:pPr>
      <w:r>
        <w:rPr>
          <w:rFonts w:ascii="Times New Roman" w:hAnsi="Times New Roman" w:eastAsia="宋体" w:cs="Times New Roman"/>
          <w:sz w:val="24"/>
        </w:rPr>
        <w:t>驱动装置</w:t>
      </w:r>
      <w:r>
        <w:rPr>
          <w:rFonts w:hint="eastAsia" w:cs="Times New Roman"/>
          <w:sz w:val="24"/>
          <w:lang w:eastAsia="zh-CN"/>
        </w:rPr>
        <w:t>：</w:t>
      </w:r>
    </w:p>
    <w:p w14:paraId="7E2AED8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由电机及链条组成，电机旋转带动升降框架运动</w:t>
      </w:r>
      <w:r>
        <w:rPr>
          <w:rFonts w:hint="eastAsia" w:ascii="Times New Roman" w:hAnsi="Times New Roman" w:eastAsia="宋体" w:cs="Times New Roman"/>
          <w:sz w:val="24"/>
          <w:lang w:eastAsia="zh-CN"/>
        </w:rPr>
        <w:t>。</w:t>
      </w:r>
    </w:p>
    <w:p w14:paraId="26533A42">
      <w:pPr>
        <w:keepNext w:val="0"/>
        <w:keepLines w:val="0"/>
        <w:pageBreakBefore w:val="0"/>
        <w:widowControl w:val="0"/>
        <w:numPr>
          <w:ilvl w:val="0"/>
          <w:numId w:val="481"/>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电控技术要求</w:t>
      </w:r>
    </w:p>
    <w:p w14:paraId="2EB9EE67">
      <w:pPr>
        <w:keepNext w:val="0"/>
        <w:keepLines w:val="0"/>
        <w:pageBreakBefore w:val="0"/>
        <w:widowControl w:val="0"/>
        <w:numPr>
          <w:ilvl w:val="0"/>
          <w:numId w:val="50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主驱采用柜内变频器控制，开关定位，驱动电机配强冷及润滑装置</w:t>
      </w:r>
      <w:r>
        <w:rPr>
          <w:rFonts w:hint="eastAsia" w:ascii="Times New Roman" w:hAnsi="Times New Roman" w:eastAsia="宋体" w:cs="Times New Roman"/>
          <w:sz w:val="24"/>
          <w:lang w:eastAsia="zh-CN"/>
        </w:rPr>
        <w:t>。</w:t>
      </w:r>
    </w:p>
    <w:p w14:paraId="2DB464C0">
      <w:pPr>
        <w:keepNext w:val="0"/>
        <w:keepLines w:val="0"/>
        <w:pageBreakBefore w:val="0"/>
        <w:widowControl w:val="0"/>
        <w:numPr>
          <w:ilvl w:val="0"/>
          <w:numId w:val="50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工艺线安装线边按钮盒，每个工位设置双侧联动的急停控制（带复位功能），每个工位单侧设置安全确认按钮（作业完成后按下）并有提示灯。</w:t>
      </w:r>
    </w:p>
    <w:p w14:paraId="7395D42F">
      <w:pPr>
        <w:keepNext w:val="0"/>
        <w:keepLines w:val="0"/>
        <w:pageBreakBefore w:val="0"/>
        <w:widowControl w:val="0"/>
        <w:numPr>
          <w:ilvl w:val="0"/>
          <w:numId w:val="50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线体间联锁采用硬接线，如果是有车型交互需要上游设备提供耦合器</w:t>
      </w:r>
      <w:r>
        <w:rPr>
          <w:rFonts w:hint="eastAsia" w:ascii="Times New Roman" w:hAnsi="Times New Roman" w:eastAsia="宋体" w:cs="Times New Roman"/>
          <w:sz w:val="24"/>
          <w:lang w:eastAsia="zh-CN"/>
        </w:rPr>
        <w:t>，</w:t>
      </w:r>
      <w:r>
        <w:rPr>
          <w:rFonts w:ascii="Times New Roman" w:hAnsi="Times New Roman" w:eastAsia="宋体" w:cs="Times New Roman"/>
          <w:sz w:val="24"/>
        </w:rPr>
        <w:t>下游设备放网线及安装桥架</w:t>
      </w:r>
      <w:r>
        <w:rPr>
          <w:rFonts w:hint="eastAsia" w:ascii="Times New Roman" w:hAnsi="Times New Roman" w:eastAsia="宋体" w:cs="Times New Roman"/>
          <w:sz w:val="24"/>
          <w:lang w:eastAsia="zh-CN"/>
        </w:rPr>
        <w:t>。</w:t>
      </w:r>
    </w:p>
    <w:p w14:paraId="2B18F79D">
      <w:pPr>
        <w:keepNext w:val="0"/>
        <w:keepLines w:val="0"/>
        <w:pageBreakBefore w:val="0"/>
        <w:widowControl w:val="0"/>
        <w:numPr>
          <w:ilvl w:val="0"/>
          <w:numId w:val="50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线体采用间隙+连续运行方式，线体运行前有提示音；主控柜配置触摸屏尺寸不小于10英寸，PLC采用西门子1515及以上</w:t>
      </w:r>
      <w:r>
        <w:rPr>
          <w:rFonts w:hint="eastAsia" w:ascii="Times New Roman" w:hAnsi="Times New Roman" w:eastAsia="宋体" w:cs="Times New Roman"/>
          <w:sz w:val="24"/>
          <w:lang w:eastAsia="zh-CN"/>
        </w:rPr>
        <w:t>；</w:t>
      </w:r>
      <w:r>
        <w:rPr>
          <w:rFonts w:ascii="Times New Roman" w:hAnsi="Times New Roman" w:eastAsia="宋体" w:cs="Times New Roman"/>
          <w:color w:val="000000"/>
          <w:sz w:val="24"/>
        </w:rPr>
        <w:t xml:space="preserve">程序内存容量不少于 </w:t>
      </w:r>
      <w:r>
        <w:rPr>
          <w:rFonts w:ascii="Times New Roman" w:hAnsi="Times New Roman" w:eastAsia="宋体" w:cs="Times New Roman"/>
          <w:sz w:val="24"/>
        </w:rPr>
        <w:t>2M，数据内存容量不少于 8M，所有的控制程序在调试验证工作完成后，上述容量不少于30%的预留空间。</w:t>
      </w:r>
    </w:p>
    <w:p w14:paraId="3253FEE8">
      <w:pPr>
        <w:keepNext w:val="0"/>
        <w:keepLines w:val="0"/>
        <w:pageBreakBefore w:val="0"/>
        <w:widowControl w:val="0"/>
        <w:numPr>
          <w:ilvl w:val="0"/>
          <w:numId w:val="50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照明：设备基础地坑两边不留维修通道，中间段每边设置2个检修地坑，两端设有头轮地坑和张紧地坑。地坑设置36V照明、应急不间断照明及220V维修电源插座。</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1703"/>
        <w:gridCol w:w="7101"/>
      </w:tblGrid>
      <w:tr w14:paraId="1D91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vAlign w:val="center"/>
          </w:tcPr>
          <w:p w14:paraId="1A9D0EE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序号</w:t>
            </w:r>
          </w:p>
        </w:tc>
        <w:tc>
          <w:tcPr>
            <w:tcW w:w="882" w:type="pct"/>
            <w:vAlign w:val="center"/>
          </w:tcPr>
          <w:p w14:paraId="6B37E6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功能项</w:t>
            </w:r>
          </w:p>
        </w:tc>
        <w:tc>
          <w:tcPr>
            <w:tcW w:w="3678" w:type="pct"/>
            <w:vAlign w:val="center"/>
          </w:tcPr>
          <w:p w14:paraId="09163AD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 w:val="0"/>
                <w:bCs/>
                <w:color w:val="000000"/>
                <w:sz w:val="24"/>
                <w:szCs w:val="24"/>
              </w:rPr>
            </w:pPr>
            <w:r>
              <w:rPr>
                <w:rFonts w:hint="eastAsia" w:ascii="宋体" w:hAnsi="宋体" w:eastAsia="宋体" w:cs="Times New Roman"/>
                <w:b w:val="0"/>
                <w:bCs/>
                <w:color w:val="000000"/>
                <w:sz w:val="24"/>
                <w:szCs w:val="24"/>
              </w:rPr>
              <w:t>详细要求</w:t>
            </w:r>
          </w:p>
        </w:tc>
      </w:tr>
      <w:tr w14:paraId="1590D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tcBorders>
              <w:top w:val="single" w:color="auto" w:sz="4" w:space="0"/>
              <w:left w:val="single" w:color="auto" w:sz="4" w:space="0"/>
              <w:bottom w:val="single" w:color="auto" w:sz="4" w:space="0"/>
              <w:right w:val="single" w:color="auto" w:sz="4" w:space="0"/>
            </w:tcBorders>
            <w:vAlign w:val="center"/>
          </w:tcPr>
          <w:p w14:paraId="43EBBD8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ascii="宋体" w:hAnsi="宋体" w:eastAsia="宋体" w:cs="Times New Roman"/>
                <w:bCs/>
                <w:color w:val="000000"/>
                <w:sz w:val="24"/>
                <w:szCs w:val="24"/>
              </w:rPr>
              <w:t>1</w:t>
            </w:r>
          </w:p>
        </w:tc>
        <w:tc>
          <w:tcPr>
            <w:tcW w:w="882" w:type="pct"/>
            <w:tcBorders>
              <w:top w:val="single" w:color="auto" w:sz="4" w:space="0"/>
              <w:left w:val="single" w:color="auto" w:sz="4" w:space="0"/>
              <w:bottom w:val="single" w:color="auto" w:sz="4" w:space="0"/>
              <w:right w:val="single" w:color="auto" w:sz="4" w:space="0"/>
            </w:tcBorders>
            <w:vAlign w:val="center"/>
          </w:tcPr>
          <w:p w14:paraId="52BA70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ascii="宋体" w:hAnsi="宋体" w:eastAsia="宋体" w:cs="Times New Roman"/>
                <w:bCs/>
                <w:color w:val="000000"/>
                <w:sz w:val="24"/>
                <w:szCs w:val="24"/>
              </w:rPr>
              <w:t>PLC</w:t>
            </w:r>
            <w:r>
              <w:rPr>
                <w:rFonts w:hint="eastAsia" w:ascii="宋体" w:hAnsi="宋体" w:eastAsia="宋体" w:cs="Times New Roman"/>
                <w:bCs/>
                <w:color w:val="000000"/>
                <w:sz w:val="24"/>
                <w:szCs w:val="24"/>
              </w:rPr>
              <w:t>和总线</w:t>
            </w:r>
          </w:p>
        </w:tc>
        <w:tc>
          <w:tcPr>
            <w:tcW w:w="3678" w:type="pct"/>
            <w:tcBorders>
              <w:top w:val="single" w:color="auto" w:sz="4" w:space="0"/>
              <w:left w:val="single" w:color="auto" w:sz="4" w:space="0"/>
              <w:bottom w:val="single" w:color="auto" w:sz="4" w:space="0"/>
              <w:right w:val="single" w:color="auto" w:sz="4" w:space="0"/>
            </w:tcBorders>
            <w:vAlign w:val="center"/>
          </w:tcPr>
          <w:p w14:paraId="0BB33CD0">
            <w:pPr>
              <w:keepNext w:val="0"/>
              <w:keepLines w:val="0"/>
              <w:pageBreakBefore w:val="0"/>
              <w:numPr>
                <w:ilvl w:val="0"/>
                <w:numId w:val="0"/>
              </w:numPr>
              <w:kinsoku/>
              <w:overflowPunct/>
              <w:topLinePunct w:val="0"/>
              <w:bidi w:val="0"/>
              <w:adjustRightInd w:val="0"/>
              <w:snapToGrid w:val="0"/>
              <w:spacing w:afterAutospacing="0" w:line="240" w:lineRule="auto"/>
              <w:ind w:left="425" w:leftChars="0" w:hanging="425"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w:t>
            </w:r>
            <w:r>
              <w:rPr>
                <w:rFonts w:hint="eastAsia" w:ascii="宋体" w:hAnsi="宋体" w:eastAsia="宋体" w:cs="Times New Roman"/>
                <w:color w:val="000000"/>
                <w:sz w:val="24"/>
                <w:szCs w:val="24"/>
              </w:rPr>
              <w:t>系统采用</w:t>
            </w:r>
            <w:r>
              <w:rPr>
                <w:rFonts w:ascii="宋体" w:hAnsi="宋体" w:eastAsia="宋体" w:cs="Times New Roman"/>
                <w:color w:val="000000"/>
                <w:sz w:val="24"/>
                <w:szCs w:val="24"/>
              </w:rPr>
              <w:t>SIEMENS S7-1500F</w:t>
            </w:r>
            <w:r>
              <w:rPr>
                <w:rFonts w:hint="eastAsia" w:ascii="宋体" w:hAnsi="宋体" w:eastAsia="宋体" w:cs="Times New Roman"/>
                <w:color w:val="000000"/>
                <w:sz w:val="24"/>
                <w:szCs w:val="24"/>
              </w:rPr>
              <w:t>系列PLC及PROFI</w:t>
            </w:r>
            <w:r>
              <w:rPr>
                <w:rFonts w:ascii="宋体" w:hAnsi="宋体" w:eastAsia="宋体" w:cs="Times New Roman"/>
                <w:color w:val="000000"/>
                <w:sz w:val="24"/>
                <w:szCs w:val="24"/>
              </w:rPr>
              <w:t>NET</w:t>
            </w:r>
            <w:r>
              <w:rPr>
                <w:rFonts w:hint="eastAsia" w:ascii="宋体" w:hAnsi="宋体" w:eastAsia="宋体" w:cs="Times New Roman"/>
                <w:color w:val="000000"/>
                <w:sz w:val="24"/>
                <w:szCs w:val="24"/>
              </w:rPr>
              <w:t>总线进行控制和</w:t>
            </w:r>
            <w:r>
              <w:rPr>
                <w:rFonts w:ascii="宋体" w:hAnsi="宋体" w:eastAsia="宋体" w:cs="Times New Roman"/>
                <w:color w:val="000000"/>
                <w:sz w:val="24"/>
                <w:szCs w:val="24"/>
              </w:rPr>
              <w:t>通讯</w:t>
            </w:r>
            <w:r>
              <w:rPr>
                <w:rFonts w:hint="eastAsia" w:ascii="宋体" w:hAnsi="宋体" w:eastAsia="宋体" w:cs="Times New Roman"/>
                <w:color w:val="000000"/>
                <w:sz w:val="24"/>
                <w:szCs w:val="24"/>
              </w:rPr>
              <w:t>。</w:t>
            </w:r>
          </w:p>
          <w:p w14:paraId="3F10C67D">
            <w:pPr>
              <w:keepNext w:val="0"/>
              <w:keepLines w:val="0"/>
              <w:pageBreakBefore w:val="0"/>
              <w:numPr>
                <w:ilvl w:val="0"/>
                <w:numId w:val="0"/>
              </w:numPr>
              <w:kinsoku/>
              <w:overflowPunct/>
              <w:topLinePunct w:val="0"/>
              <w:bidi w:val="0"/>
              <w:adjustRightInd w:val="0"/>
              <w:snapToGrid w:val="0"/>
              <w:spacing w:afterAutospacing="0" w:line="240" w:lineRule="auto"/>
              <w:ind w:left="425" w:leftChars="0" w:hanging="425"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sz w:val="24"/>
                <w:szCs w:val="24"/>
              </w:rPr>
              <w:t>PLC配置</w:t>
            </w:r>
            <w:r>
              <w:rPr>
                <w:rFonts w:ascii="宋体" w:hAnsi="宋体" w:eastAsia="宋体" w:cs="Times New Roman"/>
                <w:color w:val="000000"/>
                <w:sz w:val="24"/>
                <w:szCs w:val="24"/>
              </w:rPr>
              <w:t>独立的以太网通讯模块</w:t>
            </w:r>
            <w:r>
              <w:rPr>
                <w:rFonts w:hint="eastAsia" w:ascii="宋体" w:hAnsi="宋体" w:eastAsia="宋体" w:cs="Times New Roman"/>
                <w:color w:val="000000"/>
                <w:sz w:val="24"/>
                <w:szCs w:val="24"/>
              </w:rPr>
              <w:t>CP1543-1</w:t>
            </w:r>
            <w:r>
              <w:rPr>
                <w:rFonts w:ascii="宋体" w:hAnsi="宋体" w:eastAsia="宋体" w:cs="Times New Roman"/>
                <w:color w:val="000000"/>
                <w:sz w:val="24"/>
                <w:szCs w:val="24"/>
              </w:rPr>
              <w:t>，用于与</w:t>
            </w:r>
            <w:r>
              <w:rPr>
                <w:rFonts w:hint="eastAsia" w:ascii="宋体" w:hAnsi="宋体" w:eastAsia="宋体" w:cs="Times New Roman"/>
                <w:color w:val="000000"/>
                <w:sz w:val="24"/>
                <w:szCs w:val="24"/>
              </w:rPr>
              <w:t>MES系统</w:t>
            </w:r>
            <w:r>
              <w:rPr>
                <w:rFonts w:ascii="宋体" w:hAnsi="宋体" w:eastAsia="宋体" w:cs="Times New Roman"/>
                <w:color w:val="000000"/>
                <w:sz w:val="24"/>
                <w:szCs w:val="24"/>
              </w:rPr>
              <w:t>联网使用。</w:t>
            </w:r>
          </w:p>
        </w:tc>
      </w:tr>
      <w:tr w14:paraId="1E468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tcBorders>
              <w:top w:val="single" w:color="auto" w:sz="4" w:space="0"/>
              <w:left w:val="single" w:color="auto" w:sz="4" w:space="0"/>
              <w:bottom w:val="single" w:color="auto" w:sz="4" w:space="0"/>
              <w:right w:val="single" w:color="auto" w:sz="4" w:space="0"/>
            </w:tcBorders>
            <w:vAlign w:val="center"/>
          </w:tcPr>
          <w:p w14:paraId="0D4276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2</w:t>
            </w:r>
          </w:p>
        </w:tc>
        <w:tc>
          <w:tcPr>
            <w:tcW w:w="882" w:type="pct"/>
            <w:tcBorders>
              <w:top w:val="single" w:color="auto" w:sz="4" w:space="0"/>
              <w:left w:val="single" w:color="auto" w:sz="4" w:space="0"/>
              <w:bottom w:val="single" w:color="auto" w:sz="4" w:space="0"/>
              <w:right w:val="single" w:color="auto" w:sz="4" w:space="0"/>
            </w:tcBorders>
            <w:vAlign w:val="center"/>
          </w:tcPr>
          <w:p w14:paraId="23D93AB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交换机</w:t>
            </w:r>
          </w:p>
        </w:tc>
        <w:tc>
          <w:tcPr>
            <w:tcW w:w="3678" w:type="pct"/>
            <w:tcBorders>
              <w:top w:val="single" w:color="auto" w:sz="4" w:space="0"/>
              <w:left w:val="single" w:color="auto" w:sz="4" w:space="0"/>
              <w:bottom w:val="single" w:color="auto" w:sz="4" w:space="0"/>
              <w:right w:val="single" w:color="auto" w:sz="4" w:space="0"/>
            </w:tcBorders>
            <w:vAlign w:val="center"/>
          </w:tcPr>
          <w:p w14:paraId="2384D19E">
            <w:pPr>
              <w:keepNext w:val="0"/>
              <w:keepLines w:val="0"/>
              <w:pageBreakBefore w:val="0"/>
              <w:kinsoku/>
              <w:overflowPunct/>
              <w:topLinePunct w:val="0"/>
              <w:bidi w:val="0"/>
              <w:adjustRightInd w:val="0"/>
              <w:snapToGrid w:val="0"/>
              <w:spacing w:afterAutospacing="0" w:line="24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系统</w:t>
            </w:r>
            <w:r>
              <w:rPr>
                <w:rFonts w:ascii="宋体" w:hAnsi="宋体" w:eastAsia="宋体" w:cs="Times New Roman"/>
                <w:color w:val="000000"/>
                <w:sz w:val="24"/>
                <w:szCs w:val="24"/>
              </w:rPr>
              <w:t>配置</w:t>
            </w:r>
            <w:r>
              <w:rPr>
                <w:rFonts w:hint="eastAsia" w:ascii="宋体" w:hAnsi="宋体" w:eastAsia="宋体" w:cs="Times New Roman"/>
                <w:color w:val="000000"/>
                <w:sz w:val="24"/>
                <w:szCs w:val="24"/>
              </w:rPr>
              <w:t>SIEMENS</w:t>
            </w:r>
            <w:r>
              <w:rPr>
                <w:rFonts w:ascii="宋体" w:hAnsi="宋体" w:eastAsia="宋体" w:cs="Times New Roman"/>
                <w:color w:val="000000"/>
                <w:sz w:val="24"/>
                <w:szCs w:val="24"/>
              </w:rPr>
              <w:t>以太网</w:t>
            </w:r>
            <w:r>
              <w:rPr>
                <w:rFonts w:hint="eastAsia" w:ascii="宋体" w:hAnsi="宋体" w:eastAsia="宋体" w:cs="Times New Roman"/>
                <w:color w:val="000000"/>
                <w:sz w:val="24"/>
                <w:szCs w:val="24"/>
              </w:rPr>
              <w:t>交换机</w:t>
            </w:r>
            <w:r>
              <w:rPr>
                <w:rFonts w:ascii="宋体" w:hAnsi="宋体" w:eastAsia="宋体" w:cs="Times New Roman"/>
                <w:color w:val="000000"/>
                <w:sz w:val="24"/>
                <w:szCs w:val="24"/>
              </w:rPr>
              <w:t>，</w:t>
            </w:r>
            <w:r>
              <w:rPr>
                <w:rFonts w:hint="eastAsia" w:ascii="宋体" w:hAnsi="宋体" w:eastAsia="宋体" w:cs="Times New Roman"/>
                <w:color w:val="000000"/>
                <w:sz w:val="24"/>
                <w:szCs w:val="24"/>
              </w:rPr>
              <w:t>交换机</w:t>
            </w:r>
            <w:r>
              <w:rPr>
                <w:rFonts w:ascii="宋体" w:hAnsi="宋体" w:eastAsia="宋体" w:cs="Times New Roman"/>
                <w:color w:val="000000"/>
                <w:sz w:val="24"/>
                <w:szCs w:val="24"/>
              </w:rPr>
              <w:t>之间进行环网</w:t>
            </w:r>
            <w:r>
              <w:rPr>
                <w:rFonts w:hint="eastAsia" w:ascii="宋体" w:hAnsi="宋体" w:eastAsia="宋体" w:cs="Times New Roman"/>
                <w:color w:val="000000"/>
                <w:sz w:val="24"/>
                <w:szCs w:val="24"/>
              </w:rPr>
              <w:t>连接</w:t>
            </w:r>
            <w:r>
              <w:rPr>
                <w:rFonts w:ascii="宋体" w:hAnsi="宋体" w:eastAsia="宋体" w:cs="Times New Roman"/>
                <w:color w:val="000000"/>
                <w:sz w:val="24"/>
                <w:szCs w:val="24"/>
              </w:rPr>
              <w:t>。</w:t>
            </w:r>
          </w:p>
        </w:tc>
      </w:tr>
      <w:tr w14:paraId="286E0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tcBorders>
              <w:top w:val="single" w:color="auto" w:sz="4" w:space="0"/>
              <w:left w:val="single" w:color="auto" w:sz="4" w:space="0"/>
              <w:bottom w:val="single" w:color="auto" w:sz="4" w:space="0"/>
              <w:right w:val="single" w:color="auto" w:sz="4" w:space="0"/>
            </w:tcBorders>
            <w:vAlign w:val="center"/>
          </w:tcPr>
          <w:p w14:paraId="1440837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ascii="宋体" w:hAnsi="宋体" w:eastAsia="宋体" w:cs="Times New Roman"/>
                <w:bCs/>
                <w:color w:val="000000"/>
                <w:sz w:val="24"/>
                <w:szCs w:val="24"/>
              </w:rPr>
              <w:t>3</w:t>
            </w:r>
          </w:p>
        </w:tc>
        <w:tc>
          <w:tcPr>
            <w:tcW w:w="882" w:type="pct"/>
            <w:tcBorders>
              <w:top w:val="single" w:color="auto" w:sz="4" w:space="0"/>
              <w:left w:val="single" w:color="auto" w:sz="4" w:space="0"/>
              <w:bottom w:val="single" w:color="auto" w:sz="4" w:space="0"/>
              <w:right w:val="single" w:color="auto" w:sz="4" w:space="0"/>
            </w:tcBorders>
            <w:vAlign w:val="center"/>
          </w:tcPr>
          <w:p w14:paraId="0CFC4C2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远程</w:t>
            </w:r>
            <w:r>
              <w:rPr>
                <w:rFonts w:ascii="宋体" w:hAnsi="宋体" w:eastAsia="宋体" w:cs="Times New Roman"/>
                <w:bCs/>
                <w:color w:val="000000"/>
                <w:sz w:val="24"/>
                <w:szCs w:val="24"/>
              </w:rPr>
              <w:t>IO</w:t>
            </w:r>
            <w:r>
              <w:rPr>
                <w:rFonts w:hint="eastAsia" w:ascii="宋体" w:hAnsi="宋体" w:eastAsia="宋体" w:cs="Times New Roman"/>
                <w:bCs/>
                <w:color w:val="000000"/>
                <w:sz w:val="24"/>
                <w:szCs w:val="24"/>
              </w:rPr>
              <w:t>模块</w:t>
            </w:r>
          </w:p>
        </w:tc>
        <w:tc>
          <w:tcPr>
            <w:tcW w:w="3678" w:type="pct"/>
            <w:tcBorders>
              <w:top w:val="single" w:color="auto" w:sz="4" w:space="0"/>
              <w:left w:val="single" w:color="auto" w:sz="4" w:space="0"/>
              <w:bottom w:val="single" w:color="auto" w:sz="4" w:space="0"/>
              <w:right w:val="single" w:color="auto" w:sz="4" w:space="0"/>
            </w:tcBorders>
            <w:vAlign w:val="center"/>
          </w:tcPr>
          <w:p w14:paraId="6AE8B98E">
            <w:pPr>
              <w:keepNext w:val="0"/>
              <w:keepLines w:val="0"/>
              <w:pageBreakBefore w:val="0"/>
              <w:kinsoku/>
              <w:overflowPunct/>
              <w:topLinePunct w:val="0"/>
              <w:bidi w:val="0"/>
              <w:adjustRightInd w:val="0"/>
              <w:snapToGrid w:val="0"/>
              <w:spacing w:afterAutospacing="0" w:line="24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选用</w:t>
            </w:r>
            <w:r>
              <w:rPr>
                <w:rFonts w:ascii="宋体" w:hAnsi="宋体" w:eastAsia="宋体" w:cs="Times New Roman"/>
                <w:color w:val="000000"/>
                <w:sz w:val="24"/>
                <w:szCs w:val="24"/>
              </w:rPr>
              <w:t>ET200Sp</w:t>
            </w:r>
            <w:r>
              <w:rPr>
                <w:rFonts w:hint="eastAsia" w:ascii="宋体" w:hAnsi="宋体" w:eastAsia="宋体" w:cs="Times New Roman"/>
                <w:color w:val="000000"/>
                <w:sz w:val="24"/>
                <w:szCs w:val="24"/>
              </w:rPr>
              <w:t>模块。</w:t>
            </w:r>
          </w:p>
        </w:tc>
      </w:tr>
      <w:tr w14:paraId="39EA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vAlign w:val="center"/>
          </w:tcPr>
          <w:p w14:paraId="0F649A5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4</w:t>
            </w:r>
          </w:p>
        </w:tc>
        <w:tc>
          <w:tcPr>
            <w:tcW w:w="882" w:type="pct"/>
            <w:vAlign w:val="center"/>
          </w:tcPr>
          <w:p w14:paraId="7431D70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HMI布置</w:t>
            </w:r>
          </w:p>
        </w:tc>
        <w:tc>
          <w:tcPr>
            <w:tcW w:w="3678" w:type="pct"/>
            <w:vAlign w:val="center"/>
          </w:tcPr>
          <w:p w14:paraId="31C6EE40">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rPr>
              <w:t>主控柜面板设置</w:t>
            </w:r>
            <w:r>
              <w:rPr>
                <w:rFonts w:ascii="宋体" w:hAnsi="宋体" w:eastAsia="宋体" w:cs="Times New Roman"/>
                <w:color w:val="000000"/>
                <w:sz w:val="24"/>
                <w:szCs w:val="24"/>
              </w:rPr>
              <w:t>TP1</w:t>
            </w:r>
            <w:r>
              <w:rPr>
                <w:rFonts w:hint="eastAsia" w:ascii="宋体" w:hAnsi="宋体" w:eastAsia="宋体" w:cs="Times New Roman"/>
                <w:color w:val="000000"/>
                <w:sz w:val="24"/>
                <w:szCs w:val="24"/>
              </w:rPr>
              <w:t>2</w:t>
            </w:r>
            <w:r>
              <w:rPr>
                <w:rFonts w:ascii="宋体" w:hAnsi="宋体" w:eastAsia="宋体" w:cs="Times New Roman"/>
                <w:color w:val="000000"/>
                <w:sz w:val="24"/>
                <w:szCs w:val="24"/>
              </w:rPr>
              <w:t>00</w:t>
            </w:r>
            <w:r>
              <w:rPr>
                <w:rFonts w:hint="eastAsia" w:ascii="宋体" w:hAnsi="宋体" w:eastAsia="宋体" w:cs="Times New Roman"/>
                <w:color w:val="000000"/>
                <w:sz w:val="24"/>
                <w:szCs w:val="24"/>
              </w:rPr>
              <w:t>触摸屏。</w:t>
            </w:r>
          </w:p>
          <w:p w14:paraId="6E5A9F79">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sz w:val="24"/>
                <w:szCs w:val="24"/>
              </w:rPr>
              <w:t>工艺段</w:t>
            </w:r>
            <w:r>
              <w:rPr>
                <w:rFonts w:ascii="宋体" w:hAnsi="宋体" w:eastAsia="宋体" w:cs="Times New Roman"/>
                <w:color w:val="000000"/>
                <w:sz w:val="24"/>
                <w:szCs w:val="24"/>
              </w:rPr>
              <w:t>入口升降机位置操作站分别设置</w:t>
            </w:r>
            <w:r>
              <w:rPr>
                <w:rFonts w:hint="eastAsia" w:ascii="宋体" w:hAnsi="宋体" w:eastAsia="宋体" w:cs="Times New Roman"/>
                <w:color w:val="000000"/>
                <w:sz w:val="24"/>
                <w:szCs w:val="24"/>
              </w:rPr>
              <w:t>TP1200触摸屏。</w:t>
            </w:r>
          </w:p>
          <w:p w14:paraId="0BA8689B">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sz w:val="24"/>
                <w:szCs w:val="24"/>
              </w:rPr>
              <w:t>其他位置</w:t>
            </w:r>
            <w:r>
              <w:rPr>
                <w:rFonts w:hint="eastAsia" w:ascii="宋体" w:hAnsi="宋体" w:eastAsia="宋体" w:cs="Times New Roman"/>
                <w:color w:val="000000"/>
                <w:sz w:val="24"/>
                <w:szCs w:val="24"/>
                <w:lang w:eastAsia="zh-CN"/>
              </w:rPr>
              <w:t>投标人</w:t>
            </w:r>
            <w:r>
              <w:rPr>
                <w:rFonts w:hint="eastAsia" w:ascii="宋体" w:hAnsi="宋体" w:eastAsia="宋体" w:cs="Times New Roman"/>
                <w:color w:val="000000"/>
                <w:sz w:val="24"/>
                <w:szCs w:val="24"/>
              </w:rPr>
              <w:t>根据</w:t>
            </w:r>
            <w:r>
              <w:rPr>
                <w:rFonts w:hint="eastAsia" w:ascii="宋体" w:hAnsi="宋体" w:eastAsia="宋体" w:cs="Times New Roman"/>
                <w:color w:val="000000"/>
                <w:sz w:val="24"/>
                <w:szCs w:val="24"/>
                <w:lang w:eastAsia="zh-CN"/>
              </w:rPr>
              <w:t>招标人</w:t>
            </w:r>
            <w:r>
              <w:rPr>
                <w:rFonts w:hint="eastAsia" w:ascii="宋体" w:hAnsi="宋体" w:eastAsia="宋体" w:cs="Times New Roman"/>
                <w:color w:val="000000"/>
                <w:sz w:val="24"/>
                <w:szCs w:val="24"/>
              </w:rPr>
              <w:t>提供的工艺图纸说明HMI位置及数量，投标时提供。</w:t>
            </w:r>
          </w:p>
        </w:tc>
      </w:tr>
      <w:tr w14:paraId="0B5B1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vAlign w:val="center"/>
          </w:tcPr>
          <w:p w14:paraId="5583DE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5</w:t>
            </w:r>
          </w:p>
        </w:tc>
        <w:tc>
          <w:tcPr>
            <w:tcW w:w="882" w:type="pct"/>
            <w:vAlign w:val="center"/>
          </w:tcPr>
          <w:p w14:paraId="25C0B5E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控制要求</w:t>
            </w:r>
          </w:p>
        </w:tc>
        <w:tc>
          <w:tcPr>
            <w:tcW w:w="3678" w:type="pct"/>
            <w:vAlign w:val="center"/>
          </w:tcPr>
          <w:p w14:paraId="01CD317D">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1）</w:t>
            </w:r>
            <w:r>
              <w:rPr>
                <w:rFonts w:hint="eastAsia" w:ascii="宋体" w:hAnsi="宋体" w:eastAsia="宋体" w:cs="Times New Roman"/>
                <w:color w:val="000000"/>
                <w:sz w:val="24"/>
                <w:szCs w:val="24"/>
              </w:rPr>
              <w:t>设备</w:t>
            </w:r>
            <w:r>
              <w:rPr>
                <w:rFonts w:ascii="宋体" w:hAnsi="宋体" w:eastAsia="宋体" w:cs="Times New Roman"/>
                <w:color w:val="000000"/>
                <w:sz w:val="24"/>
                <w:szCs w:val="24"/>
              </w:rPr>
              <w:t>采用自动、手动、维护操作模式。</w:t>
            </w:r>
          </w:p>
          <w:p w14:paraId="6210FB6C">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2）</w:t>
            </w:r>
            <w:r>
              <w:rPr>
                <w:rFonts w:hint="eastAsia" w:ascii="宋体" w:hAnsi="宋体" w:eastAsia="宋体" w:cs="Times New Roman"/>
                <w:color w:val="000000"/>
                <w:sz w:val="24"/>
                <w:szCs w:val="24"/>
              </w:rPr>
              <w:t>设备交接位置设置车身检测开关和交接完成检测开关，确保转接过程安全、平稳。</w:t>
            </w:r>
          </w:p>
          <w:p w14:paraId="65B7A998">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3）</w:t>
            </w:r>
            <w:r>
              <w:rPr>
                <w:rFonts w:hint="eastAsia" w:ascii="宋体" w:hAnsi="宋体" w:eastAsia="宋体" w:cs="Times New Roman"/>
                <w:color w:val="000000"/>
                <w:sz w:val="24"/>
                <w:szCs w:val="24"/>
              </w:rPr>
              <w:t>升降机入</w:t>
            </w:r>
            <w:r>
              <w:rPr>
                <w:rFonts w:ascii="宋体" w:hAnsi="宋体" w:eastAsia="宋体" w:cs="Times New Roman"/>
                <w:color w:val="000000"/>
                <w:sz w:val="24"/>
                <w:szCs w:val="24"/>
              </w:rPr>
              <w:t>口位置设置安全光栅，</w:t>
            </w:r>
            <w:r>
              <w:rPr>
                <w:rFonts w:hint="eastAsia" w:ascii="宋体" w:hAnsi="宋体" w:eastAsia="宋体" w:cs="Times New Roman"/>
                <w:color w:val="000000"/>
                <w:sz w:val="24"/>
                <w:szCs w:val="24"/>
              </w:rPr>
              <w:t>围栏</w:t>
            </w:r>
            <w:r>
              <w:rPr>
                <w:rFonts w:ascii="宋体" w:hAnsi="宋体" w:eastAsia="宋体" w:cs="Times New Roman"/>
                <w:color w:val="000000"/>
                <w:sz w:val="24"/>
                <w:szCs w:val="24"/>
              </w:rPr>
              <w:t>安全门设置安全门锁，与系统联锁。</w:t>
            </w:r>
          </w:p>
          <w:p w14:paraId="52193F44">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4）</w:t>
            </w:r>
            <w:r>
              <w:rPr>
                <w:rFonts w:hint="eastAsia" w:ascii="宋体" w:hAnsi="宋体" w:eastAsia="宋体" w:cs="Times New Roman"/>
                <w:color w:val="000000"/>
                <w:sz w:val="24"/>
                <w:szCs w:val="24"/>
              </w:rPr>
              <w:t>车身下线</w:t>
            </w:r>
            <w:r>
              <w:rPr>
                <w:rFonts w:ascii="宋体" w:hAnsi="宋体" w:eastAsia="宋体" w:cs="Times New Roman"/>
                <w:color w:val="000000"/>
                <w:sz w:val="24"/>
                <w:szCs w:val="24"/>
              </w:rPr>
              <w:t>转接升降机设置车身拖点检测开关。</w:t>
            </w:r>
          </w:p>
          <w:p w14:paraId="615CE087">
            <w:pPr>
              <w:keepNext w:val="0"/>
              <w:keepLines w:val="0"/>
              <w:pageBreakBefore w:val="0"/>
              <w:numPr>
                <w:ilvl w:val="0"/>
                <w:numId w:val="0"/>
              </w:numPr>
              <w:kinsoku/>
              <w:overflowPunct/>
              <w:topLinePunct w:val="0"/>
              <w:bidi w:val="0"/>
              <w:adjustRightInd w:val="0"/>
              <w:snapToGrid w:val="0"/>
              <w:spacing w:afterAutospacing="0" w:line="240" w:lineRule="auto"/>
              <w:ind w:left="360" w:leftChars="0" w:hanging="360" w:firstLineChars="0"/>
              <w:rPr>
                <w:rFonts w:ascii="宋体" w:hAnsi="宋体" w:eastAsia="宋体" w:cs="Times New Roman"/>
                <w:color w:val="000000"/>
                <w:sz w:val="24"/>
                <w:szCs w:val="24"/>
              </w:rPr>
            </w:pPr>
            <w:r>
              <w:rPr>
                <w:rFonts w:hint="default" w:ascii="宋体" w:hAnsi="宋体" w:eastAsia="宋体" w:cs="Times New Roman"/>
                <w:color w:val="000000"/>
                <w:kern w:val="2"/>
                <w:sz w:val="24"/>
                <w:szCs w:val="24"/>
                <w:lang w:val="en-US" w:eastAsia="zh-CN" w:bidi="ar-SA"/>
              </w:rPr>
              <w:t>5）</w:t>
            </w:r>
            <w:r>
              <w:rPr>
                <w:rFonts w:hint="eastAsia" w:ascii="宋体" w:hAnsi="宋体" w:eastAsia="宋体" w:cs="Times New Roman"/>
                <w:color w:val="000000"/>
                <w:sz w:val="24"/>
                <w:szCs w:val="24"/>
              </w:rPr>
              <w:t>充分考虑安全检测、安全开关的设置，确保系统安全等级要求。</w:t>
            </w:r>
          </w:p>
        </w:tc>
      </w:tr>
      <w:tr w14:paraId="54789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39" w:type="pct"/>
            <w:vAlign w:val="center"/>
          </w:tcPr>
          <w:p w14:paraId="21E56A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6</w:t>
            </w:r>
          </w:p>
        </w:tc>
        <w:tc>
          <w:tcPr>
            <w:tcW w:w="882" w:type="pct"/>
            <w:vAlign w:val="center"/>
          </w:tcPr>
          <w:p w14:paraId="02451A0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联锁</w:t>
            </w:r>
          </w:p>
        </w:tc>
        <w:tc>
          <w:tcPr>
            <w:tcW w:w="3678" w:type="pct"/>
            <w:vAlign w:val="center"/>
          </w:tcPr>
          <w:p w14:paraId="31EC7AD5">
            <w:pPr>
              <w:keepNext w:val="0"/>
              <w:keepLines w:val="0"/>
              <w:pageBreakBefore w:val="0"/>
              <w:numPr>
                <w:ilvl w:val="-1"/>
                <w:numId w:val="0"/>
              </w:numPr>
              <w:kinsoku/>
              <w:overflowPunct/>
              <w:topLinePunct w:val="0"/>
              <w:bidi w:val="0"/>
              <w:adjustRightInd w:val="0"/>
              <w:snapToGrid w:val="0"/>
              <w:spacing w:afterAutospacing="0" w:line="240" w:lineRule="auto"/>
              <w:ind w:left="0" w:firstLine="0"/>
              <w:jc w:val="both"/>
              <w:rPr>
                <w:rFonts w:ascii="宋体" w:hAnsi="宋体" w:eastAsia="宋体" w:cs="Times New Roman"/>
                <w:color w:val="000000"/>
                <w:sz w:val="24"/>
                <w:szCs w:val="24"/>
              </w:rPr>
            </w:pPr>
            <w:r>
              <w:rPr>
                <w:rFonts w:hint="eastAsia" w:ascii="宋体" w:hAnsi="宋体" w:eastAsia="宋体" w:cs="Times New Roman"/>
                <w:color w:val="000000"/>
                <w:sz w:val="24"/>
                <w:szCs w:val="24"/>
              </w:rPr>
              <w:t>与内饰线、底盘线采用PN</w:t>
            </w:r>
            <w:r>
              <w:rPr>
                <w:rFonts w:ascii="宋体" w:hAnsi="宋体" w:eastAsia="宋体" w:cs="Times New Roman"/>
                <w:color w:val="000000"/>
                <w:sz w:val="24"/>
                <w:szCs w:val="24"/>
              </w:rPr>
              <w:t>/</w:t>
            </w:r>
            <w:r>
              <w:rPr>
                <w:rFonts w:hint="eastAsia" w:ascii="宋体" w:hAnsi="宋体" w:eastAsia="宋体" w:cs="Times New Roman"/>
                <w:color w:val="000000"/>
                <w:sz w:val="24"/>
                <w:szCs w:val="24"/>
              </w:rPr>
              <w:t>PN耦合器和</w:t>
            </w:r>
            <w:r>
              <w:rPr>
                <w:rFonts w:ascii="宋体" w:hAnsi="宋体" w:eastAsia="宋体" w:cs="Times New Roman"/>
                <w:color w:val="000000"/>
                <w:sz w:val="24"/>
                <w:szCs w:val="24"/>
              </w:rPr>
              <w:t>无源干接点方式</w:t>
            </w:r>
            <w:r>
              <w:rPr>
                <w:rFonts w:hint="eastAsia" w:ascii="宋体" w:hAnsi="宋体" w:eastAsia="宋体" w:cs="Times New Roman"/>
                <w:color w:val="000000"/>
                <w:sz w:val="24"/>
                <w:szCs w:val="24"/>
              </w:rPr>
              <w:t>连锁</w:t>
            </w:r>
          </w:p>
        </w:tc>
      </w:tr>
    </w:tbl>
    <w:p w14:paraId="7DED52C5">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仪表分装线设备技术要求</w:t>
      </w:r>
    </w:p>
    <w:p w14:paraId="65DE1B14">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b/>
          <w:sz w:val="24"/>
        </w:rPr>
      </w:pPr>
      <w:r>
        <w:rPr>
          <w:rFonts w:ascii="Times New Roman" w:hAnsi="Times New Roman" w:eastAsia="宋体" w:cs="Times New Roman"/>
          <w:color w:val="000000"/>
          <w:sz w:val="24"/>
        </w:rPr>
        <w:t>工艺流程概述：</w:t>
      </w:r>
    </w:p>
    <w:p w14:paraId="258E8F79">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b/>
          <w:sz w:val="24"/>
        </w:rPr>
      </w:pPr>
      <w:r>
        <w:rPr>
          <w:rFonts w:ascii="Times New Roman" w:hAnsi="Times New Roman" w:eastAsia="宋体" w:cs="Times New Roman"/>
          <w:sz w:val="24"/>
        </w:rPr>
        <w:t>仪表分装线装配线由摩擦驱动组件及仪表分装台车组成，人工推着空的分装台车到达0工位，工艺装配，工艺装配完成后人工再推着分装台车到达装配线边，待工件取走后，人工再推着空的分装台车回到0工位，开始下一个循环。</w:t>
      </w:r>
    </w:p>
    <w:p w14:paraId="255FD91C">
      <w:pPr>
        <w:keepNext w:val="0"/>
        <w:keepLines w:val="0"/>
        <w:pageBreakBefore w:val="0"/>
        <w:widowControl w:val="0"/>
        <w:numPr>
          <w:ilvl w:val="0"/>
          <w:numId w:val="509"/>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主要设备及参数</w:t>
      </w:r>
    </w:p>
    <w:tbl>
      <w:tblPr>
        <w:tblStyle w:val="44"/>
        <w:tblW w:w="4999" w:type="pct"/>
        <w:jc w:val="center"/>
        <w:tblLayout w:type="autofit"/>
        <w:tblCellMar>
          <w:top w:w="0" w:type="dxa"/>
          <w:left w:w="108" w:type="dxa"/>
          <w:bottom w:w="0" w:type="dxa"/>
          <w:right w:w="108" w:type="dxa"/>
        </w:tblCellMar>
      </w:tblPr>
      <w:tblGrid>
        <w:gridCol w:w="1027"/>
        <w:gridCol w:w="3367"/>
        <w:gridCol w:w="902"/>
        <w:gridCol w:w="1306"/>
        <w:gridCol w:w="3050"/>
      </w:tblGrid>
      <w:tr w14:paraId="1D0C31CA">
        <w:tblPrEx>
          <w:tblCellMar>
            <w:top w:w="0" w:type="dxa"/>
            <w:left w:w="108" w:type="dxa"/>
            <w:bottom w:w="0" w:type="dxa"/>
            <w:right w:w="108" w:type="dxa"/>
          </w:tblCellMar>
        </w:tblPrEx>
        <w:trPr>
          <w:trHeight w:val="474" w:hRule="atLeast"/>
          <w:jc w:val="center"/>
        </w:trPr>
        <w:tc>
          <w:tcPr>
            <w:tcW w:w="53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A8E25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743" w:type="pct"/>
            <w:tcBorders>
              <w:top w:val="single" w:color="auto" w:sz="4" w:space="0"/>
              <w:left w:val="nil"/>
              <w:bottom w:val="single" w:color="auto" w:sz="4" w:space="0"/>
              <w:right w:val="single" w:color="auto" w:sz="4" w:space="0"/>
            </w:tcBorders>
            <w:shd w:val="clear" w:color="auto" w:fill="auto"/>
            <w:noWrap/>
            <w:vAlign w:val="center"/>
          </w:tcPr>
          <w:p w14:paraId="2A0940D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设备名称</w:t>
            </w:r>
          </w:p>
        </w:tc>
        <w:tc>
          <w:tcPr>
            <w:tcW w:w="467" w:type="pct"/>
            <w:tcBorders>
              <w:top w:val="single" w:color="auto" w:sz="4" w:space="0"/>
              <w:left w:val="nil"/>
              <w:bottom w:val="single" w:color="auto" w:sz="4" w:space="0"/>
              <w:right w:val="single" w:color="auto" w:sz="4" w:space="0"/>
            </w:tcBorders>
            <w:shd w:val="clear" w:color="auto" w:fill="auto"/>
            <w:noWrap/>
            <w:vAlign w:val="center"/>
          </w:tcPr>
          <w:p w14:paraId="540BE04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数量</w:t>
            </w:r>
          </w:p>
        </w:tc>
        <w:tc>
          <w:tcPr>
            <w:tcW w:w="676" w:type="pct"/>
            <w:tcBorders>
              <w:top w:val="single" w:color="auto" w:sz="4" w:space="0"/>
              <w:left w:val="nil"/>
              <w:bottom w:val="single" w:color="auto" w:sz="4" w:space="0"/>
              <w:right w:val="single" w:color="auto" w:sz="4" w:space="0"/>
            </w:tcBorders>
            <w:shd w:val="clear" w:color="auto" w:fill="auto"/>
            <w:noWrap/>
            <w:vAlign w:val="center"/>
          </w:tcPr>
          <w:p w14:paraId="1299408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单位</w:t>
            </w:r>
          </w:p>
        </w:tc>
        <w:tc>
          <w:tcPr>
            <w:tcW w:w="1579" w:type="pct"/>
            <w:tcBorders>
              <w:top w:val="single" w:color="auto" w:sz="4" w:space="0"/>
              <w:left w:val="nil"/>
              <w:bottom w:val="single" w:color="auto" w:sz="4" w:space="0"/>
              <w:right w:val="single" w:color="auto" w:sz="4" w:space="0"/>
            </w:tcBorders>
            <w:shd w:val="clear" w:color="auto" w:fill="auto"/>
            <w:noWrap/>
            <w:vAlign w:val="center"/>
          </w:tcPr>
          <w:p w14:paraId="0D56708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color w:val="000000"/>
                <w:sz w:val="24"/>
                <w:szCs w:val="24"/>
              </w:rPr>
            </w:pPr>
            <w:r>
              <w:rPr>
                <w:rFonts w:hint="eastAsia" w:ascii="宋体" w:hAnsi="宋体" w:eastAsia="宋体" w:cs="宋体"/>
                <w:bCs/>
                <w:color w:val="000000"/>
                <w:sz w:val="24"/>
                <w:szCs w:val="24"/>
              </w:rPr>
              <w:t>备注</w:t>
            </w:r>
          </w:p>
        </w:tc>
      </w:tr>
      <w:tr w14:paraId="7B50EBDF">
        <w:tblPrEx>
          <w:tblCellMar>
            <w:top w:w="0" w:type="dxa"/>
            <w:left w:w="108" w:type="dxa"/>
            <w:bottom w:w="0" w:type="dxa"/>
            <w:right w:w="108" w:type="dxa"/>
          </w:tblCellMar>
        </w:tblPrEx>
        <w:trPr>
          <w:trHeight w:val="498" w:hRule="atLeast"/>
          <w:jc w:val="center"/>
        </w:trPr>
        <w:tc>
          <w:tcPr>
            <w:tcW w:w="532" w:type="pct"/>
            <w:tcBorders>
              <w:top w:val="nil"/>
              <w:left w:val="single" w:color="auto" w:sz="4" w:space="0"/>
              <w:bottom w:val="single" w:color="auto" w:sz="4" w:space="0"/>
              <w:right w:val="single" w:color="auto" w:sz="4" w:space="0"/>
            </w:tcBorders>
            <w:shd w:val="clear" w:color="auto" w:fill="auto"/>
            <w:vAlign w:val="center"/>
          </w:tcPr>
          <w:p w14:paraId="04AFD4A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1</w:t>
            </w:r>
          </w:p>
        </w:tc>
        <w:tc>
          <w:tcPr>
            <w:tcW w:w="1743" w:type="pct"/>
            <w:tcBorders>
              <w:top w:val="nil"/>
              <w:left w:val="nil"/>
              <w:bottom w:val="single" w:color="auto" w:sz="4" w:space="0"/>
              <w:right w:val="single" w:color="auto" w:sz="4" w:space="0"/>
            </w:tcBorders>
            <w:shd w:val="clear" w:color="auto" w:fill="auto"/>
            <w:vAlign w:val="center"/>
          </w:tcPr>
          <w:p w14:paraId="5DBF29D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驱动装置</w:t>
            </w:r>
          </w:p>
        </w:tc>
        <w:tc>
          <w:tcPr>
            <w:tcW w:w="467" w:type="pct"/>
            <w:tcBorders>
              <w:top w:val="nil"/>
              <w:left w:val="nil"/>
              <w:bottom w:val="single" w:color="auto" w:sz="4" w:space="0"/>
              <w:right w:val="single" w:color="auto" w:sz="4" w:space="0"/>
            </w:tcBorders>
            <w:shd w:val="clear" w:color="auto" w:fill="auto"/>
            <w:vAlign w:val="center"/>
          </w:tcPr>
          <w:p w14:paraId="7E3A70F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676" w:type="pct"/>
            <w:tcBorders>
              <w:top w:val="nil"/>
              <w:left w:val="nil"/>
              <w:bottom w:val="single" w:color="auto" w:sz="4" w:space="0"/>
              <w:right w:val="single" w:color="auto" w:sz="4" w:space="0"/>
            </w:tcBorders>
            <w:shd w:val="clear" w:color="auto" w:fill="auto"/>
            <w:vAlign w:val="center"/>
          </w:tcPr>
          <w:p w14:paraId="34F0ABD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套</w:t>
            </w:r>
          </w:p>
        </w:tc>
        <w:tc>
          <w:tcPr>
            <w:tcW w:w="1579" w:type="pct"/>
            <w:tcBorders>
              <w:top w:val="nil"/>
              <w:left w:val="nil"/>
              <w:bottom w:val="single" w:color="auto" w:sz="4" w:space="0"/>
              <w:right w:val="single" w:color="auto" w:sz="4" w:space="0"/>
            </w:tcBorders>
            <w:shd w:val="clear" w:color="auto" w:fill="auto"/>
            <w:noWrap/>
            <w:vAlign w:val="center"/>
          </w:tcPr>
          <w:p w14:paraId="1576A00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变频</w:t>
            </w:r>
          </w:p>
        </w:tc>
      </w:tr>
      <w:tr w14:paraId="6CB310F2">
        <w:tblPrEx>
          <w:tblCellMar>
            <w:top w:w="0" w:type="dxa"/>
            <w:left w:w="108" w:type="dxa"/>
            <w:bottom w:w="0" w:type="dxa"/>
            <w:right w:w="108" w:type="dxa"/>
          </w:tblCellMar>
        </w:tblPrEx>
        <w:trPr>
          <w:trHeight w:val="498" w:hRule="atLeast"/>
          <w:jc w:val="center"/>
        </w:trPr>
        <w:tc>
          <w:tcPr>
            <w:tcW w:w="532" w:type="pct"/>
            <w:tcBorders>
              <w:top w:val="nil"/>
              <w:left w:val="single" w:color="auto" w:sz="4" w:space="0"/>
              <w:bottom w:val="single" w:color="auto" w:sz="4" w:space="0"/>
              <w:right w:val="single" w:color="auto" w:sz="4" w:space="0"/>
            </w:tcBorders>
            <w:shd w:val="clear" w:color="auto" w:fill="auto"/>
            <w:vAlign w:val="center"/>
          </w:tcPr>
          <w:p w14:paraId="6ECDCA6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2</w:t>
            </w:r>
          </w:p>
        </w:tc>
        <w:tc>
          <w:tcPr>
            <w:tcW w:w="1743" w:type="pct"/>
            <w:tcBorders>
              <w:top w:val="nil"/>
              <w:left w:val="nil"/>
              <w:bottom w:val="single" w:color="auto" w:sz="4" w:space="0"/>
              <w:right w:val="single" w:color="auto" w:sz="4" w:space="0"/>
            </w:tcBorders>
            <w:shd w:val="clear" w:color="auto" w:fill="auto"/>
            <w:vAlign w:val="center"/>
          </w:tcPr>
          <w:p w14:paraId="48AE98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仪表盘台车</w:t>
            </w:r>
          </w:p>
        </w:tc>
        <w:tc>
          <w:tcPr>
            <w:tcW w:w="467" w:type="pct"/>
            <w:tcBorders>
              <w:top w:val="nil"/>
              <w:left w:val="nil"/>
              <w:bottom w:val="single" w:color="auto" w:sz="4" w:space="0"/>
              <w:right w:val="single" w:color="auto" w:sz="4" w:space="0"/>
            </w:tcBorders>
            <w:shd w:val="clear" w:color="auto" w:fill="auto"/>
            <w:vAlign w:val="center"/>
          </w:tcPr>
          <w:p w14:paraId="71BFAEC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8</w:t>
            </w:r>
          </w:p>
        </w:tc>
        <w:tc>
          <w:tcPr>
            <w:tcW w:w="676" w:type="pct"/>
            <w:tcBorders>
              <w:top w:val="nil"/>
              <w:left w:val="nil"/>
              <w:bottom w:val="single" w:color="auto" w:sz="4" w:space="0"/>
              <w:right w:val="single" w:color="auto" w:sz="4" w:space="0"/>
            </w:tcBorders>
            <w:shd w:val="clear" w:color="auto" w:fill="auto"/>
            <w:vAlign w:val="center"/>
          </w:tcPr>
          <w:p w14:paraId="7422F31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套</w:t>
            </w:r>
          </w:p>
        </w:tc>
        <w:tc>
          <w:tcPr>
            <w:tcW w:w="1579" w:type="pct"/>
            <w:tcBorders>
              <w:top w:val="nil"/>
              <w:left w:val="nil"/>
              <w:bottom w:val="single" w:color="auto" w:sz="4" w:space="0"/>
              <w:right w:val="single" w:color="auto" w:sz="4" w:space="0"/>
            </w:tcBorders>
            <w:shd w:val="clear" w:color="auto" w:fill="auto"/>
            <w:noWrap/>
            <w:vAlign w:val="center"/>
          </w:tcPr>
          <w:p w14:paraId="66B40A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r>
      <w:tr w14:paraId="611BB493">
        <w:tblPrEx>
          <w:tblCellMar>
            <w:top w:w="0" w:type="dxa"/>
            <w:left w:w="108" w:type="dxa"/>
            <w:bottom w:w="0" w:type="dxa"/>
            <w:right w:w="108" w:type="dxa"/>
          </w:tblCellMar>
        </w:tblPrEx>
        <w:trPr>
          <w:trHeight w:val="498" w:hRule="atLeast"/>
          <w:jc w:val="center"/>
        </w:trPr>
        <w:tc>
          <w:tcPr>
            <w:tcW w:w="532" w:type="pct"/>
            <w:tcBorders>
              <w:top w:val="nil"/>
              <w:left w:val="single" w:color="auto" w:sz="4" w:space="0"/>
              <w:bottom w:val="single" w:color="auto" w:sz="4" w:space="0"/>
              <w:right w:val="single" w:color="auto" w:sz="4" w:space="0"/>
            </w:tcBorders>
            <w:shd w:val="clear" w:color="auto" w:fill="auto"/>
            <w:vAlign w:val="center"/>
          </w:tcPr>
          <w:p w14:paraId="2AD5CC7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3</w:t>
            </w:r>
          </w:p>
        </w:tc>
        <w:tc>
          <w:tcPr>
            <w:tcW w:w="1743" w:type="pct"/>
            <w:tcBorders>
              <w:top w:val="nil"/>
              <w:left w:val="nil"/>
              <w:bottom w:val="single" w:color="auto" w:sz="4" w:space="0"/>
              <w:right w:val="single" w:color="auto" w:sz="4" w:space="0"/>
            </w:tcBorders>
            <w:shd w:val="clear" w:color="auto" w:fill="auto"/>
            <w:vAlign w:val="center"/>
          </w:tcPr>
          <w:p w14:paraId="66AA816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轨道系统</w:t>
            </w:r>
          </w:p>
        </w:tc>
        <w:tc>
          <w:tcPr>
            <w:tcW w:w="467" w:type="pct"/>
            <w:tcBorders>
              <w:top w:val="nil"/>
              <w:left w:val="nil"/>
              <w:bottom w:val="single" w:color="auto" w:sz="4" w:space="0"/>
              <w:right w:val="single" w:color="auto" w:sz="4" w:space="0"/>
            </w:tcBorders>
            <w:shd w:val="clear" w:color="auto" w:fill="auto"/>
            <w:vAlign w:val="center"/>
          </w:tcPr>
          <w:p w14:paraId="39B5ED4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1</w:t>
            </w:r>
          </w:p>
        </w:tc>
        <w:tc>
          <w:tcPr>
            <w:tcW w:w="676" w:type="pct"/>
            <w:tcBorders>
              <w:top w:val="nil"/>
              <w:left w:val="nil"/>
              <w:bottom w:val="single" w:color="auto" w:sz="4" w:space="0"/>
              <w:right w:val="single" w:color="auto" w:sz="4" w:space="0"/>
            </w:tcBorders>
            <w:shd w:val="clear" w:color="auto" w:fill="auto"/>
            <w:vAlign w:val="center"/>
          </w:tcPr>
          <w:p w14:paraId="4BFB73A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套</w:t>
            </w:r>
          </w:p>
        </w:tc>
        <w:tc>
          <w:tcPr>
            <w:tcW w:w="1579" w:type="pct"/>
            <w:tcBorders>
              <w:top w:val="nil"/>
              <w:left w:val="nil"/>
              <w:bottom w:val="single" w:color="auto" w:sz="4" w:space="0"/>
              <w:right w:val="single" w:color="auto" w:sz="4" w:space="0"/>
            </w:tcBorders>
            <w:shd w:val="clear" w:color="auto" w:fill="auto"/>
            <w:noWrap/>
            <w:vAlign w:val="center"/>
          </w:tcPr>
          <w:p w14:paraId="681380F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r>
      <w:tr w14:paraId="1BC0B062">
        <w:tblPrEx>
          <w:tblCellMar>
            <w:top w:w="0" w:type="dxa"/>
            <w:left w:w="108" w:type="dxa"/>
            <w:bottom w:w="0" w:type="dxa"/>
            <w:right w:w="108" w:type="dxa"/>
          </w:tblCellMar>
        </w:tblPrEx>
        <w:trPr>
          <w:trHeight w:val="498" w:hRule="atLeast"/>
          <w:jc w:val="center"/>
        </w:trPr>
        <w:tc>
          <w:tcPr>
            <w:tcW w:w="532" w:type="pct"/>
            <w:tcBorders>
              <w:top w:val="nil"/>
              <w:left w:val="single" w:color="auto" w:sz="4" w:space="0"/>
              <w:bottom w:val="single" w:color="auto" w:sz="4" w:space="0"/>
              <w:right w:val="single" w:color="auto" w:sz="4" w:space="0"/>
            </w:tcBorders>
            <w:shd w:val="clear" w:color="auto" w:fill="auto"/>
            <w:vAlign w:val="center"/>
          </w:tcPr>
          <w:p w14:paraId="40A6D3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4</w:t>
            </w:r>
          </w:p>
        </w:tc>
        <w:tc>
          <w:tcPr>
            <w:tcW w:w="1743" w:type="pct"/>
            <w:tcBorders>
              <w:top w:val="nil"/>
              <w:left w:val="nil"/>
              <w:bottom w:val="single" w:color="auto" w:sz="4" w:space="0"/>
              <w:right w:val="single" w:color="auto" w:sz="4" w:space="0"/>
            </w:tcBorders>
            <w:shd w:val="clear" w:color="auto" w:fill="auto"/>
            <w:vAlign w:val="center"/>
          </w:tcPr>
          <w:p w14:paraId="15D70BA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导向装置</w:t>
            </w:r>
          </w:p>
        </w:tc>
        <w:tc>
          <w:tcPr>
            <w:tcW w:w="467" w:type="pct"/>
            <w:tcBorders>
              <w:top w:val="nil"/>
              <w:left w:val="nil"/>
              <w:bottom w:val="single" w:color="auto" w:sz="4" w:space="0"/>
              <w:right w:val="single" w:color="auto" w:sz="4" w:space="0"/>
            </w:tcBorders>
            <w:shd w:val="clear" w:color="auto" w:fill="auto"/>
            <w:vAlign w:val="center"/>
          </w:tcPr>
          <w:p w14:paraId="02F2DC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ascii="宋体" w:hAnsi="宋体" w:eastAsia="宋体" w:cs="宋体"/>
                <w:color w:val="000000"/>
                <w:sz w:val="24"/>
                <w:szCs w:val="24"/>
              </w:rPr>
              <w:t>1</w:t>
            </w:r>
          </w:p>
        </w:tc>
        <w:tc>
          <w:tcPr>
            <w:tcW w:w="676" w:type="pct"/>
            <w:tcBorders>
              <w:top w:val="nil"/>
              <w:left w:val="nil"/>
              <w:bottom w:val="single" w:color="auto" w:sz="4" w:space="0"/>
              <w:right w:val="single" w:color="auto" w:sz="4" w:space="0"/>
            </w:tcBorders>
            <w:shd w:val="clear" w:color="auto" w:fill="auto"/>
            <w:vAlign w:val="center"/>
          </w:tcPr>
          <w:p w14:paraId="51553CF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套</w:t>
            </w:r>
          </w:p>
        </w:tc>
        <w:tc>
          <w:tcPr>
            <w:tcW w:w="1579" w:type="pct"/>
            <w:tcBorders>
              <w:top w:val="nil"/>
              <w:left w:val="nil"/>
              <w:bottom w:val="single" w:color="auto" w:sz="4" w:space="0"/>
              <w:right w:val="single" w:color="auto" w:sz="4" w:space="0"/>
            </w:tcBorders>
            <w:shd w:val="clear" w:color="auto" w:fill="auto"/>
            <w:noWrap/>
            <w:vAlign w:val="center"/>
          </w:tcPr>
          <w:p w14:paraId="4C292FF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r>
    </w:tbl>
    <w:p w14:paraId="6AD01FB8">
      <w:pPr>
        <w:keepNext w:val="0"/>
        <w:keepLines w:val="0"/>
        <w:pageBreakBefore w:val="0"/>
        <w:widowControl w:val="0"/>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color w:val="000000"/>
          <w:sz w:val="24"/>
        </w:rPr>
      </w:pPr>
      <w:r>
        <w:rPr>
          <w:rFonts w:ascii="Times New Roman" w:hAnsi="Times New Roman" w:eastAsia="宋体" w:cs="Times New Roman"/>
          <w:color w:val="000000"/>
          <w:sz w:val="24"/>
        </w:rPr>
        <w:t>主要技术参数</w:t>
      </w:r>
    </w:p>
    <w:tbl>
      <w:tblPr>
        <w:tblStyle w:val="4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37"/>
        <w:gridCol w:w="2815"/>
        <w:gridCol w:w="1164"/>
        <w:gridCol w:w="4834"/>
      </w:tblGrid>
      <w:tr w14:paraId="6BA43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261EE95C">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序号</w:t>
            </w:r>
          </w:p>
        </w:tc>
        <w:tc>
          <w:tcPr>
            <w:tcW w:w="1458" w:type="pct"/>
            <w:tcBorders>
              <w:top w:val="single" w:color="auto" w:sz="4" w:space="0"/>
              <w:left w:val="single" w:color="auto" w:sz="4" w:space="0"/>
              <w:bottom w:val="single" w:color="auto" w:sz="4" w:space="0"/>
              <w:right w:val="single" w:color="auto" w:sz="4" w:space="0"/>
            </w:tcBorders>
            <w:vAlign w:val="center"/>
          </w:tcPr>
          <w:p w14:paraId="4A3C771B">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项目</w:t>
            </w:r>
          </w:p>
        </w:tc>
        <w:tc>
          <w:tcPr>
            <w:tcW w:w="603" w:type="pct"/>
            <w:tcBorders>
              <w:top w:val="single" w:color="auto" w:sz="4" w:space="0"/>
              <w:left w:val="single" w:color="auto" w:sz="4" w:space="0"/>
              <w:bottom w:val="single" w:color="auto" w:sz="4" w:space="0"/>
              <w:right w:val="single" w:color="auto" w:sz="4" w:space="0"/>
            </w:tcBorders>
            <w:vAlign w:val="center"/>
          </w:tcPr>
          <w:p w14:paraId="2195D168">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单位</w:t>
            </w:r>
          </w:p>
        </w:tc>
        <w:tc>
          <w:tcPr>
            <w:tcW w:w="2504" w:type="pct"/>
            <w:tcBorders>
              <w:top w:val="single" w:color="auto" w:sz="4" w:space="0"/>
              <w:left w:val="single" w:color="auto" w:sz="4" w:space="0"/>
              <w:bottom w:val="single" w:color="auto" w:sz="4" w:space="0"/>
              <w:right w:val="single" w:color="auto" w:sz="4" w:space="0"/>
            </w:tcBorders>
            <w:vAlign w:val="center"/>
          </w:tcPr>
          <w:p w14:paraId="304D1DCA">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参数</w:t>
            </w:r>
          </w:p>
        </w:tc>
      </w:tr>
      <w:tr w14:paraId="1E3426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56283CBA">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1</w:t>
            </w:r>
          </w:p>
        </w:tc>
        <w:tc>
          <w:tcPr>
            <w:tcW w:w="1458" w:type="pct"/>
            <w:tcBorders>
              <w:top w:val="single" w:color="auto" w:sz="4" w:space="0"/>
              <w:left w:val="single" w:color="auto" w:sz="4" w:space="0"/>
              <w:bottom w:val="single" w:color="auto" w:sz="4" w:space="0"/>
              <w:right w:val="single" w:color="auto" w:sz="4" w:space="0"/>
            </w:tcBorders>
            <w:vAlign w:val="center"/>
          </w:tcPr>
          <w:p w14:paraId="10CABD6F">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用途</w:t>
            </w:r>
          </w:p>
        </w:tc>
        <w:tc>
          <w:tcPr>
            <w:tcW w:w="603" w:type="pct"/>
            <w:tcBorders>
              <w:top w:val="single" w:color="auto" w:sz="4" w:space="0"/>
              <w:left w:val="single" w:color="auto" w:sz="4" w:space="0"/>
              <w:bottom w:val="single" w:color="auto" w:sz="4" w:space="0"/>
              <w:right w:val="single" w:color="auto" w:sz="4" w:space="0"/>
            </w:tcBorders>
            <w:vAlign w:val="center"/>
          </w:tcPr>
          <w:p w14:paraId="0139415A">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p>
        </w:tc>
        <w:tc>
          <w:tcPr>
            <w:tcW w:w="2504" w:type="pct"/>
            <w:tcBorders>
              <w:top w:val="single" w:color="auto" w:sz="4" w:space="0"/>
              <w:left w:val="single" w:color="auto" w:sz="4" w:space="0"/>
              <w:bottom w:val="single" w:color="auto" w:sz="4" w:space="0"/>
              <w:right w:val="single" w:color="auto" w:sz="4" w:space="0"/>
            </w:tcBorders>
            <w:vAlign w:val="center"/>
          </w:tcPr>
          <w:p w14:paraId="137E631E">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用于仪表的装配与输送</w:t>
            </w:r>
          </w:p>
        </w:tc>
      </w:tr>
      <w:tr w14:paraId="7248A6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right w:val="single" w:color="auto" w:sz="4" w:space="0"/>
            </w:tcBorders>
            <w:vAlign w:val="center"/>
          </w:tcPr>
          <w:p w14:paraId="03D2EA24">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2</w:t>
            </w:r>
          </w:p>
        </w:tc>
        <w:tc>
          <w:tcPr>
            <w:tcW w:w="1458" w:type="pct"/>
            <w:tcBorders>
              <w:top w:val="single" w:color="auto" w:sz="4" w:space="0"/>
              <w:left w:val="single" w:color="auto" w:sz="4" w:space="0"/>
              <w:right w:val="single" w:color="auto" w:sz="4" w:space="0"/>
            </w:tcBorders>
            <w:vAlign w:val="center"/>
          </w:tcPr>
          <w:p w14:paraId="6E48D7AA">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输送形式</w:t>
            </w:r>
          </w:p>
        </w:tc>
        <w:tc>
          <w:tcPr>
            <w:tcW w:w="603" w:type="pct"/>
            <w:tcBorders>
              <w:top w:val="single" w:color="auto" w:sz="4" w:space="0"/>
              <w:left w:val="single" w:color="auto" w:sz="4" w:space="0"/>
              <w:right w:val="single" w:color="auto" w:sz="4" w:space="0"/>
            </w:tcBorders>
            <w:vAlign w:val="center"/>
          </w:tcPr>
          <w:p w14:paraId="330CE486">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p>
        </w:tc>
        <w:tc>
          <w:tcPr>
            <w:tcW w:w="2504" w:type="pct"/>
            <w:tcBorders>
              <w:top w:val="single" w:color="auto" w:sz="4" w:space="0"/>
              <w:left w:val="single" w:color="auto" w:sz="4" w:space="0"/>
              <w:bottom w:val="single" w:color="auto" w:sz="4" w:space="0"/>
              <w:right w:val="single" w:color="auto" w:sz="4" w:space="0"/>
            </w:tcBorders>
            <w:vAlign w:val="center"/>
          </w:tcPr>
          <w:p w14:paraId="07E3D453">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地面摩擦线</w:t>
            </w:r>
          </w:p>
        </w:tc>
      </w:tr>
      <w:tr w14:paraId="20051A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right w:val="single" w:color="auto" w:sz="4" w:space="0"/>
            </w:tcBorders>
            <w:vAlign w:val="center"/>
          </w:tcPr>
          <w:p w14:paraId="5114336B">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3</w:t>
            </w:r>
          </w:p>
        </w:tc>
        <w:tc>
          <w:tcPr>
            <w:tcW w:w="1458" w:type="pct"/>
            <w:tcBorders>
              <w:top w:val="single" w:color="auto" w:sz="4" w:space="0"/>
              <w:left w:val="single" w:color="auto" w:sz="4" w:space="0"/>
              <w:right w:val="single" w:color="auto" w:sz="4" w:space="0"/>
            </w:tcBorders>
            <w:vAlign w:val="center"/>
          </w:tcPr>
          <w:p w14:paraId="3AFB993E">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有效工位数量</w:t>
            </w:r>
          </w:p>
        </w:tc>
        <w:tc>
          <w:tcPr>
            <w:tcW w:w="603" w:type="pct"/>
            <w:tcBorders>
              <w:top w:val="single" w:color="auto" w:sz="4" w:space="0"/>
              <w:left w:val="single" w:color="auto" w:sz="4" w:space="0"/>
              <w:right w:val="single" w:color="auto" w:sz="4" w:space="0"/>
            </w:tcBorders>
            <w:vAlign w:val="center"/>
          </w:tcPr>
          <w:p w14:paraId="25083A88">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个</w:t>
            </w:r>
          </w:p>
        </w:tc>
        <w:tc>
          <w:tcPr>
            <w:tcW w:w="2504" w:type="pct"/>
            <w:tcBorders>
              <w:top w:val="single" w:color="auto" w:sz="4" w:space="0"/>
              <w:left w:val="single" w:color="auto" w:sz="4" w:space="0"/>
              <w:bottom w:val="single" w:color="auto" w:sz="4" w:space="0"/>
              <w:right w:val="single" w:color="auto" w:sz="4" w:space="0"/>
            </w:tcBorders>
            <w:vAlign w:val="center"/>
          </w:tcPr>
          <w:p w14:paraId="2CF34B06">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5</w:t>
            </w:r>
          </w:p>
        </w:tc>
      </w:tr>
      <w:tr w14:paraId="17CC4B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right w:val="single" w:color="auto" w:sz="4" w:space="0"/>
            </w:tcBorders>
            <w:vAlign w:val="center"/>
          </w:tcPr>
          <w:p w14:paraId="38D864B3">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4</w:t>
            </w:r>
          </w:p>
        </w:tc>
        <w:tc>
          <w:tcPr>
            <w:tcW w:w="1458" w:type="pct"/>
            <w:tcBorders>
              <w:top w:val="single" w:color="auto" w:sz="4" w:space="0"/>
              <w:left w:val="single" w:color="auto" w:sz="4" w:space="0"/>
              <w:right w:val="single" w:color="auto" w:sz="4" w:space="0"/>
            </w:tcBorders>
            <w:vAlign w:val="center"/>
          </w:tcPr>
          <w:p w14:paraId="69EE2829">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台车数量</w:t>
            </w:r>
          </w:p>
        </w:tc>
        <w:tc>
          <w:tcPr>
            <w:tcW w:w="603" w:type="pct"/>
            <w:tcBorders>
              <w:top w:val="single" w:color="auto" w:sz="4" w:space="0"/>
              <w:left w:val="single" w:color="auto" w:sz="4" w:space="0"/>
              <w:right w:val="single" w:color="auto" w:sz="4" w:space="0"/>
            </w:tcBorders>
            <w:vAlign w:val="center"/>
          </w:tcPr>
          <w:p w14:paraId="01C2E9EF">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套</w:t>
            </w:r>
          </w:p>
        </w:tc>
        <w:tc>
          <w:tcPr>
            <w:tcW w:w="2504" w:type="pct"/>
            <w:tcBorders>
              <w:top w:val="single" w:color="auto" w:sz="4" w:space="0"/>
              <w:left w:val="single" w:color="auto" w:sz="4" w:space="0"/>
              <w:bottom w:val="single" w:color="auto" w:sz="4" w:space="0"/>
              <w:right w:val="single" w:color="auto" w:sz="4" w:space="0"/>
            </w:tcBorders>
            <w:vAlign w:val="center"/>
          </w:tcPr>
          <w:p w14:paraId="4DD3EB6B">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8</w:t>
            </w:r>
          </w:p>
        </w:tc>
      </w:tr>
      <w:tr w14:paraId="351D6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bottom w:val="single" w:color="auto" w:sz="4" w:space="0"/>
              <w:right w:val="single" w:color="auto" w:sz="4" w:space="0"/>
            </w:tcBorders>
            <w:vAlign w:val="center"/>
          </w:tcPr>
          <w:p w14:paraId="4496CAED">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5</w:t>
            </w:r>
          </w:p>
        </w:tc>
        <w:tc>
          <w:tcPr>
            <w:tcW w:w="1458" w:type="pct"/>
            <w:tcBorders>
              <w:top w:val="single" w:color="auto" w:sz="4" w:space="0"/>
              <w:left w:val="single" w:color="auto" w:sz="4" w:space="0"/>
              <w:bottom w:val="single" w:color="auto" w:sz="4" w:space="0"/>
              <w:right w:val="single" w:color="auto" w:sz="4" w:space="0"/>
            </w:tcBorders>
            <w:vAlign w:val="center"/>
          </w:tcPr>
          <w:p w14:paraId="6ABF134F">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工位间距</w:t>
            </w:r>
          </w:p>
        </w:tc>
        <w:tc>
          <w:tcPr>
            <w:tcW w:w="603" w:type="pct"/>
            <w:tcBorders>
              <w:top w:val="single" w:color="auto" w:sz="4" w:space="0"/>
              <w:left w:val="single" w:color="auto" w:sz="4" w:space="0"/>
              <w:bottom w:val="single" w:color="auto" w:sz="4" w:space="0"/>
              <w:right w:val="single" w:color="auto" w:sz="4" w:space="0"/>
            </w:tcBorders>
            <w:vAlign w:val="center"/>
          </w:tcPr>
          <w:p w14:paraId="3CA11EE8">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mm</w:t>
            </w:r>
          </w:p>
        </w:tc>
        <w:tc>
          <w:tcPr>
            <w:tcW w:w="2504" w:type="pct"/>
            <w:tcBorders>
              <w:top w:val="single" w:color="auto" w:sz="4" w:space="0"/>
              <w:left w:val="single" w:color="auto" w:sz="4" w:space="0"/>
              <w:bottom w:val="single" w:color="auto" w:sz="4" w:space="0"/>
              <w:right w:val="single" w:color="auto" w:sz="4" w:space="0"/>
            </w:tcBorders>
            <w:vAlign w:val="center"/>
          </w:tcPr>
          <w:p w14:paraId="41D69A48">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3000</w:t>
            </w:r>
          </w:p>
        </w:tc>
      </w:tr>
      <w:tr w14:paraId="5D71E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right w:val="single" w:color="auto" w:sz="4" w:space="0"/>
            </w:tcBorders>
            <w:vAlign w:val="center"/>
          </w:tcPr>
          <w:p w14:paraId="2BA55A5B">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6</w:t>
            </w:r>
          </w:p>
        </w:tc>
        <w:tc>
          <w:tcPr>
            <w:tcW w:w="1458" w:type="pct"/>
            <w:tcBorders>
              <w:top w:val="single" w:color="auto" w:sz="4" w:space="0"/>
              <w:left w:val="single" w:color="auto" w:sz="4" w:space="0"/>
              <w:right w:val="single" w:color="auto" w:sz="4" w:space="0"/>
            </w:tcBorders>
            <w:vAlign w:val="center"/>
          </w:tcPr>
          <w:p w14:paraId="583BD037">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工艺操作高度</w:t>
            </w:r>
          </w:p>
        </w:tc>
        <w:tc>
          <w:tcPr>
            <w:tcW w:w="603" w:type="pct"/>
            <w:tcBorders>
              <w:top w:val="single" w:color="auto" w:sz="4" w:space="0"/>
              <w:left w:val="single" w:color="auto" w:sz="4" w:space="0"/>
              <w:right w:val="single" w:color="auto" w:sz="4" w:space="0"/>
            </w:tcBorders>
            <w:vAlign w:val="center"/>
          </w:tcPr>
          <w:p w14:paraId="26538C29">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mm</w:t>
            </w:r>
          </w:p>
        </w:tc>
        <w:tc>
          <w:tcPr>
            <w:tcW w:w="2504" w:type="pct"/>
            <w:tcBorders>
              <w:top w:val="single" w:color="auto" w:sz="4" w:space="0"/>
              <w:left w:val="single" w:color="auto" w:sz="4" w:space="0"/>
              <w:bottom w:val="single" w:color="auto" w:sz="4" w:space="0"/>
              <w:right w:val="single" w:color="auto" w:sz="4" w:space="0"/>
            </w:tcBorders>
            <w:vAlign w:val="center"/>
          </w:tcPr>
          <w:p w14:paraId="5AB219D2">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约</w:t>
            </w:r>
            <w:r>
              <w:rPr>
                <w:rFonts w:ascii="宋体" w:hAnsi="宋体" w:eastAsia="宋体" w:cs="Times New Roman"/>
                <w:sz w:val="24"/>
                <w:szCs w:val="20"/>
              </w:rPr>
              <w:t>1050</w:t>
            </w:r>
            <w:r>
              <w:rPr>
                <w:rFonts w:hint="eastAsia" w:ascii="宋体" w:hAnsi="宋体" w:eastAsia="宋体" w:cs="Times New Roman"/>
                <w:sz w:val="24"/>
                <w:szCs w:val="20"/>
              </w:rPr>
              <w:t>（管梁中心距地）</w:t>
            </w:r>
          </w:p>
        </w:tc>
      </w:tr>
      <w:tr w14:paraId="18268D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34" w:type="pct"/>
            <w:tcBorders>
              <w:top w:val="single" w:color="auto" w:sz="4" w:space="0"/>
              <w:left w:val="single" w:color="auto" w:sz="4" w:space="0"/>
              <w:right w:val="single" w:color="auto" w:sz="4" w:space="0"/>
            </w:tcBorders>
            <w:vAlign w:val="center"/>
          </w:tcPr>
          <w:p w14:paraId="6D4DFF2B">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7</w:t>
            </w:r>
          </w:p>
        </w:tc>
        <w:tc>
          <w:tcPr>
            <w:tcW w:w="1458" w:type="pct"/>
            <w:tcBorders>
              <w:top w:val="single" w:color="auto" w:sz="4" w:space="0"/>
              <w:left w:val="single" w:color="auto" w:sz="4" w:space="0"/>
              <w:right w:val="single" w:color="auto" w:sz="4" w:space="0"/>
            </w:tcBorders>
            <w:vAlign w:val="center"/>
          </w:tcPr>
          <w:p w14:paraId="3C469236">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工艺速度</w:t>
            </w:r>
          </w:p>
        </w:tc>
        <w:tc>
          <w:tcPr>
            <w:tcW w:w="603" w:type="pct"/>
            <w:tcBorders>
              <w:top w:val="single" w:color="auto" w:sz="4" w:space="0"/>
              <w:left w:val="single" w:color="auto" w:sz="4" w:space="0"/>
              <w:right w:val="single" w:color="auto" w:sz="4" w:space="0"/>
            </w:tcBorders>
            <w:vAlign w:val="center"/>
          </w:tcPr>
          <w:p w14:paraId="110B23C4">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hint="eastAsia" w:ascii="宋体" w:hAnsi="宋体" w:eastAsia="宋体" w:cs="Times New Roman"/>
                <w:sz w:val="24"/>
                <w:szCs w:val="20"/>
              </w:rPr>
              <w:t>m/min</w:t>
            </w:r>
          </w:p>
        </w:tc>
        <w:tc>
          <w:tcPr>
            <w:tcW w:w="2504" w:type="pct"/>
            <w:tcBorders>
              <w:top w:val="single" w:color="auto" w:sz="4" w:space="0"/>
              <w:left w:val="single" w:color="auto" w:sz="4" w:space="0"/>
              <w:bottom w:val="single" w:color="auto" w:sz="4" w:space="0"/>
              <w:right w:val="single" w:color="auto" w:sz="4" w:space="0"/>
            </w:tcBorders>
            <w:vAlign w:val="center"/>
          </w:tcPr>
          <w:p w14:paraId="6873B431">
            <w:pPr>
              <w:keepNext w:val="0"/>
              <w:keepLines w:val="0"/>
              <w:pageBreakBefore w:val="0"/>
              <w:tabs>
                <w:tab w:val="left" w:pos="1800"/>
              </w:tabs>
              <w:kinsoku/>
              <w:overflowPunct/>
              <w:topLinePunct w:val="0"/>
              <w:bidi w:val="0"/>
              <w:adjustRightInd w:val="0"/>
              <w:snapToGrid w:val="0"/>
              <w:spacing w:afterAutospacing="0" w:line="240" w:lineRule="auto"/>
              <w:jc w:val="center"/>
              <w:rPr>
                <w:rFonts w:ascii="宋体" w:hAnsi="宋体" w:eastAsia="宋体" w:cs="Times New Roman"/>
                <w:sz w:val="24"/>
                <w:szCs w:val="20"/>
              </w:rPr>
            </w:pPr>
            <w:r>
              <w:rPr>
                <w:rFonts w:ascii="宋体" w:hAnsi="宋体" w:eastAsia="宋体" w:cs="Times New Roman"/>
                <w:sz w:val="24"/>
                <w:szCs w:val="20"/>
              </w:rPr>
              <w:t>0.</w:t>
            </w:r>
            <w:r>
              <w:rPr>
                <w:rFonts w:hint="eastAsia" w:ascii="宋体" w:hAnsi="宋体" w:eastAsia="宋体" w:cs="Times New Roman"/>
                <w:sz w:val="24"/>
                <w:szCs w:val="20"/>
              </w:rPr>
              <w:t>96-</w:t>
            </w:r>
            <w:r>
              <w:rPr>
                <w:rFonts w:ascii="宋体" w:hAnsi="宋体" w:eastAsia="宋体" w:cs="Times New Roman"/>
                <w:sz w:val="24"/>
                <w:szCs w:val="20"/>
              </w:rPr>
              <w:t>1.</w:t>
            </w:r>
            <w:r>
              <w:rPr>
                <w:rFonts w:hint="eastAsia" w:ascii="宋体" w:hAnsi="宋体" w:eastAsia="宋体" w:cs="Times New Roman"/>
                <w:sz w:val="24"/>
                <w:szCs w:val="20"/>
              </w:rPr>
              <w:t>8</w:t>
            </w:r>
          </w:p>
        </w:tc>
      </w:tr>
    </w:tbl>
    <w:p w14:paraId="1E5AE5AA">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b/>
          <w:sz w:val="24"/>
        </w:rPr>
      </w:pPr>
      <w:r>
        <w:rPr>
          <w:rFonts w:ascii="Times New Roman" w:hAnsi="Times New Roman" w:eastAsia="宋体" w:cs="Times New Roman"/>
          <w:sz w:val="24"/>
        </w:rPr>
        <w:t>注：以上仅作参考，具体以设计会签为准。</w:t>
      </w:r>
    </w:p>
    <w:p w14:paraId="595D8C9A">
      <w:pPr>
        <w:keepNext w:val="0"/>
        <w:keepLines w:val="0"/>
        <w:pageBreakBefore w:val="0"/>
        <w:widowControl w:val="0"/>
        <w:numPr>
          <w:ilvl w:val="0"/>
          <w:numId w:val="509"/>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 xml:space="preserve">设备详细技术说明 </w:t>
      </w:r>
    </w:p>
    <w:p w14:paraId="6634DB00">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color w:val="000000"/>
          <w:sz w:val="24"/>
          <w:szCs w:val="24"/>
        </w:rPr>
      </w:pPr>
      <w:r>
        <w:rPr>
          <w:rFonts w:ascii="宋体" w:hAnsi="宋体" w:eastAsia="宋体" w:cs="宋体"/>
          <w:sz w:val="24"/>
          <w:szCs w:val="24"/>
        </w:rPr>
        <w:drawing>
          <wp:inline distT="0" distB="0" distL="0" distR="0">
            <wp:extent cx="5280025" cy="2341245"/>
            <wp:effectExtent l="0" t="0" r="8255" b="5715"/>
            <wp:docPr id="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a:xfrm>
                      <a:off x="0" y="0"/>
                      <a:ext cx="5280025" cy="2341245"/>
                    </a:xfrm>
                    <a:prstGeom prst="rect">
                      <a:avLst/>
                    </a:prstGeom>
                    <a:noFill/>
                    <a:ln w="9525">
                      <a:noFill/>
                      <a:miter lim="800000"/>
                      <a:headEnd/>
                      <a:tailEnd/>
                    </a:ln>
                  </pic:spPr>
                </pic:pic>
              </a:graphicData>
            </a:graphic>
          </wp:inline>
        </w:drawing>
      </w:r>
    </w:p>
    <w:p w14:paraId="7F843274">
      <w:pPr>
        <w:keepNext w:val="0"/>
        <w:keepLines w:val="0"/>
        <w:pageBreakBefore w:val="0"/>
        <w:widowControl w:val="0"/>
        <w:numPr>
          <w:ilvl w:val="0"/>
          <w:numId w:val="51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仪表盘台车</w:t>
      </w:r>
    </w:p>
    <w:p w14:paraId="1484CB92">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仪表盘台车主要由车架、脚轮、导向架、回转台和定位柱组成。</w:t>
      </w:r>
    </w:p>
    <w:p w14:paraId="15034DC1">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架作为主要承载部分，底部配置有2个万向脚轮2个定向脚轮；车架上部的左右两边布置有立柱，立柱上端放置回转台和定位柱，在仪表板放置于台车上夹紧后，可以通过回转台进行所需角度的调节和装配，台车支撑满足设计车型的仪表板及仪表横梁的定位、夹紧要求。</w:t>
      </w:r>
    </w:p>
    <w:p w14:paraId="700079CB">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仪表横梁及仪表板的预装。</w:t>
      </w:r>
    </w:p>
    <w:p w14:paraId="3DFF9180">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仪表板可翻转，翻转角度0～360°并满足工艺及生产要求。</w:t>
      </w:r>
    </w:p>
    <w:p w14:paraId="0CE51118">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台车焊接表面不允许有飞边、毛刺、焊渣和裂纹。</w:t>
      </w:r>
    </w:p>
    <w:p w14:paraId="302A62C6">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台车刚度好，且结构简单，便于员工操作。</w:t>
      </w:r>
    </w:p>
    <w:p w14:paraId="484FB9C7">
      <w:pPr>
        <w:keepNext w:val="0"/>
        <w:keepLines w:val="0"/>
        <w:pageBreakBefore w:val="0"/>
        <w:widowControl w:val="0"/>
        <w:numPr>
          <w:ilvl w:val="0"/>
          <w:numId w:val="51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台车设计方案确认后，优先加工一套台车样件，现场评审测试与仪表板配合情况，对存在的问题和不足</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进行优化设计后，双方确认最终设计方案后批量加工。</w:t>
      </w:r>
      <w:bookmarkStart w:id="319" w:name="_Toc13681281"/>
    </w:p>
    <w:p w14:paraId="26FEC7DA">
      <w:pPr>
        <w:keepNext w:val="0"/>
        <w:keepLines w:val="0"/>
        <w:pageBreakBefore w:val="0"/>
        <w:widowControl w:val="0"/>
        <w:numPr>
          <w:ilvl w:val="255"/>
          <w:numId w:val="0"/>
        </w:numPr>
        <w:tabs>
          <w:tab w:val="left" w:pos="420"/>
        </w:tabs>
        <w:kinsoku/>
        <w:overflowPunct/>
        <w:topLinePunct w:val="0"/>
        <w:bidi w:val="0"/>
        <w:adjustRightInd w:val="0"/>
        <w:snapToGrid w:val="0"/>
        <w:spacing w:afterAutospacing="0" w:line="360" w:lineRule="auto"/>
        <w:ind w:firstLine="480" w:firstLineChars="200"/>
        <w:jc w:val="center"/>
        <w:rPr>
          <w:rFonts w:ascii="宋体" w:hAnsi="宋体" w:eastAsia="宋体" w:cs="Arial"/>
          <w:kern w:val="2"/>
          <w:sz w:val="24"/>
          <w:lang w:val="en-US" w:eastAsia="zh-CN" w:bidi="ar-SA"/>
        </w:rPr>
      </w:pPr>
      <w:r>
        <w:rPr>
          <w:rFonts w:hint="eastAsia" w:ascii="宋体" w:hAnsi="宋体" w:eastAsia="宋体" w:cs="宋体"/>
          <w:kern w:val="2"/>
          <w:sz w:val="24"/>
          <w:szCs w:val="24"/>
          <w:lang w:val="en-US" w:eastAsia="zh-CN" w:bidi="ar-SA"/>
        </w:rPr>
        <w:drawing>
          <wp:inline distT="0" distB="0" distL="114300" distR="114300">
            <wp:extent cx="5182870" cy="2662555"/>
            <wp:effectExtent l="0" t="0" r="13970" b="4445"/>
            <wp:docPr id="19" name="图片 19" descr="QQ截图2019111516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QQ截图20191115161349"/>
                    <pic:cNvPicPr>
                      <a:picLocks noChangeAspect="1"/>
                    </pic:cNvPicPr>
                  </pic:nvPicPr>
                  <pic:blipFill>
                    <a:blip r:embed="rId55"/>
                    <a:stretch>
                      <a:fillRect/>
                    </a:stretch>
                  </pic:blipFill>
                  <pic:spPr>
                    <a:xfrm>
                      <a:off x="0" y="0"/>
                      <a:ext cx="5182870" cy="2662555"/>
                    </a:xfrm>
                    <a:prstGeom prst="rect">
                      <a:avLst/>
                    </a:prstGeom>
                  </pic:spPr>
                </pic:pic>
              </a:graphicData>
            </a:graphic>
          </wp:inline>
        </w:drawing>
      </w:r>
    </w:p>
    <w:p w14:paraId="0C965103">
      <w:pPr>
        <w:keepNext w:val="0"/>
        <w:keepLines w:val="0"/>
        <w:pageBreakBefore w:val="0"/>
        <w:widowControl w:val="0"/>
        <w:numPr>
          <w:ilvl w:val="0"/>
          <w:numId w:val="51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地面轨道及驱动</w:t>
      </w:r>
      <w:bookmarkEnd w:id="319"/>
    </w:p>
    <w:p w14:paraId="3E2B9801">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强度、刚度好，耐磨性好，外观美观。</w:t>
      </w:r>
    </w:p>
    <w:p w14:paraId="1AC9D92F">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直轨道须考虑伸缩量，保证表面平整，无扭曲变形。</w:t>
      </w:r>
    </w:p>
    <w:p w14:paraId="3864152A">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轨道要求安装平、直，确保线体运行阻力小。</w:t>
      </w:r>
    </w:p>
    <w:p w14:paraId="02FBEF51">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轨道接口要光滑平整，保证台车平稳运行。</w:t>
      </w:r>
    </w:p>
    <w:p w14:paraId="379DF10E">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轨道表面不允许有飞边、毛刺、焊渣和裂纹。</w:t>
      </w:r>
    </w:p>
    <w:p w14:paraId="70BAD76B">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轨道与车组各走轮、导轮之间不允许存在点接触现象。</w:t>
      </w:r>
    </w:p>
    <w:p w14:paraId="596D7773">
      <w:pPr>
        <w:keepNext w:val="0"/>
        <w:keepLines w:val="0"/>
        <w:pageBreakBefore w:val="0"/>
        <w:widowControl w:val="0"/>
        <w:numPr>
          <w:ilvl w:val="0"/>
          <w:numId w:val="5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驱动装置采用阻尼电机，电机驱动轮采用包胶形式，安全可靠。</w:t>
      </w:r>
    </w:p>
    <w:p w14:paraId="2F40BB58">
      <w:pPr>
        <w:keepNext w:val="0"/>
        <w:keepLines w:val="0"/>
        <w:pageBreakBefore w:val="0"/>
        <w:widowControl w:val="0"/>
        <w:numPr>
          <w:ilvl w:val="0"/>
          <w:numId w:val="51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电控技术要求</w:t>
      </w:r>
    </w:p>
    <w:p w14:paraId="09880426">
      <w:pPr>
        <w:keepNext w:val="0"/>
        <w:keepLines w:val="0"/>
        <w:pageBreakBefore w:val="0"/>
        <w:widowControl w:val="0"/>
        <w:numPr>
          <w:ilvl w:val="0"/>
          <w:numId w:val="5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主驱采用</w:t>
      </w:r>
      <w:r>
        <w:rPr>
          <w:rFonts w:hint="eastAsia" w:ascii="Times New Roman" w:hAnsi="Times New Roman" w:eastAsia="宋体" w:cs="Times New Roman"/>
          <w:strike w:val="0"/>
          <w:sz w:val="24"/>
          <w:lang w:eastAsia="zh-CN"/>
        </w:rPr>
        <w:t>知名品牌</w:t>
      </w:r>
      <w:r>
        <w:rPr>
          <w:rFonts w:ascii="Times New Roman" w:hAnsi="Times New Roman" w:eastAsia="宋体" w:cs="Times New Roman"/>
          <w:sz w:val="24"/>
        </w:rPr>
        <w:t>柜内变频器控制，开关定位，驱动电机配强冷及润滑装置；</w:t>
      </w:r>
    </w:p>
    <w:p w14:paraId="77D946D5">
      <w:pPr>
        <w:keepNext w:val="0"/>
        <w:keepLines w:val="0"/>
        <w:pageBreakBefore w:val="0"/>
        <w:widowControl w:val="0"/>
        <w:numPr>
          <w:ilvl w:val="0"/>
          <w:numId w:val="5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工艺线安装线边按钮盒，包含急停，暂停，求援，复位</w:t>
      </w:r>
      <w:r>
        <w:rPr>
          <w:rFonts w:hint="eastAsia" w:ascii="Times New Roman" w:hAnsi="Times New Roman" w:eastAsia="宋体" w:cs="Times New Roman"/>
          <w:sz w:val="24"/>
          <w:lang w:eastAsia="zh-CN"/>
        </w:rPr>
        <w:t>（</w:t>
      </w:r>
      <w:r>
        <w:rPr>
          <w:rFonts w:ascii="Times New Roman" w:hAnsi="Times New Roman" w:eastAsia="宋体" w:cs="Times New Roman"/>
          <w:sz w:val="24"/>
        </w:rPr>
        <w:t>每个工位一个，左右交叉布置</w:t>
      </w:r>
      <w:r>
        <w:rPr>
          <w:rFonts w:hint="eastAsia" w:ascii="Times New Roman" w:hAnsi="Times New Roman" w:eastAsia="宋体" w:cs="Times New Roman"/>
          <w:sz w:val="24"/>
          <w:lang w:eastAsia="zh-CN"/>
        </w:rPr>
        <w:t>）</w:t>
      </w:r>
      <w:r>
        <w:rPr>
          <w:rFonts w:ascii="Times New Roman" w:hAnsi="Times New Roman" w:eastAsia="宋体" w:cs="Times New Roman"/>
          <w:sz w:val="24"/>
        </w:rPr>
        <w:t>；</w:t>
      </w:r>
    </w:p>
    <w:p w14:paraId="7A7D3AF7">
      <w:pPr>
        <w:keepNext w:val="0"/>
        <w:keepLines w:val="0"/>
        <w:pageBreakBefore w:val="0"/>
        <w:widowControl w:val="0"/>
        <w:numPr>
          <w:ilvl w:val="0"/>
          <w:numId w:val="5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线体间联锁采用硬接线，谁需要谁放线，如果是有车型交互需要上游设备提供PNPN-COUPLER</w:t>
      </w:r>
      <w:r>
        <w:rPr>
          <w:rFonts w:hint="eastAsia" w:ascii="Times New Roman" w:hAnsi="Times New Roman" w:eastAsia="宋体" w:cs="Times New Roman"/>
          <w:sz w:val="24"/>
          <w:lang w:eastAsia="zh-CN"/>
        </w:rPr>
        <w:t>，</w:t>
      </w:r>
      <w:r>
        <w:rPr>
          <w:rFonts w:ascii="Times New Roman" w:hAnsi="Times New Roman" w:eastAsia="宋体" w:cs="Times New Roman"/>
          <w:sz w:val="24"/>
        </w:rPr>
        <w:t>下游设备放网线及安装桥架。</w:t>
      </w:r>
    </w:p>
    <w:p w14:paraId="0BB7675B">
      <w:pPr>
        <w:keepNext w:val="0"/>
        <w:keepLines w:val="0"/>
        <w:pageBreakBefore w:val="0"/>
        <w:widowControl w:val="0"/>
        <w:numPr>
          <w:ilvl w:val="0"/>
          <w:numId w:val="5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线体采用间隙+连续运行方式，线体运行前有蜂鸣器提示。</w:t>
      </w:r>
    </w:p>
    <w:p w14:paraId="0DE4A3F3">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检测线设备技术要求</w:t>
      </w:r>
    </w:p>
    <w:p w14:paraId="245CB154">
      <w:pPr>
        <w:keepNext w:val="0"/>
        <w:keepLines w:val="0"/>
        <w:pageBreakBefore w:val="0"/>
        <w:widowControl w:val="0"/>
        <w:numPr>
          <w:ilvl w:val="0"/>
          <w:numId w:val="51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供货清单</w:t>
      </w:r>
    </w:p>
    <w:tbl>
      <w:tblPr>
        <w:tblStyle w:val="44"/>
        <w:tblW w:w="4998" w:type="pct"/>
        <w:jc w:val="center"/>
        <w:tblLayout w:type="autofit"/>
        <w:tblCellMar>
          <w:top w:w="0" w:type="dxa"/>
          <w:left w:w="108" w:type="dxa"/>
          <w:bottom w:w="0" w:type="dxa"/>
          <w:right w:w="108" w:type="dxa"/>
        </w:tblCellMar>
      </w:tblPr>
      <w:tblGrid>
        <w:gridCol w:w="1069"/>
        <w:gridCol w:w="2455"/>
        <w:gridCol w:w="1687"/>
        <w:gridCol w:w="4439"/>
      </w:tblGrid>
      <w:tr w14:paraId="17F74F48">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5C6277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序号</w:t>
            </w:r>
          </w:p>
        </w:tc>
        <w:tc>
          <w:tcPr>
            <w:tcW w:w="1272" w:type="pct"/>
            <w:tcBorders>
              <w:top w:val="single" w:color="auto" w:sz="4" w:space="0"/>
              <w:left w:val="single" w:color="auto" w:sz="4" w:space="0"/>
              <w:bottom w:val="single" w:color="auto" w:sz="4" w:space="0"/>
              <w:right w:val="single" w:color="auto" w:sz="4" w:space="0"/>
            </w:tcBorders>
            <w:vAlign w:val="center"/>
          </w:tcPr>
          <w:p w14:paraId="349EBBE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设备名称</w:t>
            </w:r>
          </w:p>
        </w:tc>
        <w:tc>
          <w:tcPr>
            <w:tcW w:w="874" w:type="pct"/>
            <w:tcBorders>
              <w:top w:val="single" w:color="auto" w:sz="4" w:space="0"/>
              <w:left w:val="nil"/>
              <w:bottom w:val="single" w:color="auto" w:sz="4" w:space="0"/>
              <w:right w:val="single" w:color="auto" w:sz="4" w:space="0"/>
            </w:tcBorders>
            <w:noWrap/>
            <w:vAlign w:val="center"/>
          </w:tcPr>
          <w:p w14:paraId="55365FE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数量</w:t>
            </w:r>
          </w:p>
        </w:tc>
        <w:tc>
          <w:tcPr>
            <w:tcW w:w="2299" w:type="pct"/>
            <w:tcBorders>
              <w:top w:val="single" w:color="auto" w:sz="4" w:space="0"/>
              <w:left w:val="nil"/>
              <w:bottom w:val="single" w:color="auto" w:sz="4" w:space="0"/>
              <w:right w:val="single" w:color="auto" w:sz="4" w:space="0"/>
            </w:tcBorders>
            <w:noWrap/>
            <w:vAlign w:val="center"/>
          </w:tcPr>
          <w:p w14:paraId="4F1F3C7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备注</w:t>
            </w:r>
          </w:p>
        </w:tc>
      </w:tr>
      <w:tr w14:paraId="491BB518">
        <w:tblPrEx>
          <w:tblCellMar>
            <w:top w:w="0" w:type="dxa"/>
            <w:left w:w="108" w:type="dxa"/>
            <w:bottom w:w="0" w:type="dxa"/>
            <w:right w:w="108" w:type="dxa"/>
          </w:tblCellMar>
        </w:tblPrEx>
        <w:trPr>
          <w:trHeight w:val="567" w:hRule="atLeast"/>
          <w:jc w:val="center"/>
        </w:trPr>
        <w:tc>
          <w:tcPr>
            <w:tcW w:w="554" w:type="pct"/>
            <w:tcBorders>
              <w:top w:val="nil"/>
              <w:left w:val="single" w:color="auto" w:sz="4" w:space="0"/>
              <w:bottom w:val="single" w:color="auto" w:sz="4" w:space="0"/>
              <w:right w:val="single" w:color="auto" w:sz="4" w:space="0"/>
            </w:tcBorders>
            <w:vAlign w:val="center"/>
          </w:tcPr>
          <w:p w14:paraId="78AE074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w:t>
            </w:r>
          </w:p>
        </w:tc>
        <w:tc>
          <w:tcPr>
            <w:tcW w:w="1272" w:type="pct"/>
            <w:tcBorders>
              <w:top w:val="nil"/>
              <w:left w:val="single" w:color="auto" w:sz="4" w:space="0"/>
              <w:bottom w:val="single" w:color="auto" w:sz="4" w:space="0"/>
              <w:right w:val="single" w:color="auto" w:sz="4" w:space="0"/>
            </w:tcBorders>
            <w:vAlign w:val="center"/>
          </w:tcPr>
          <w:p w14:paraId="46ECA4B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非接触式四轮定位</w:t>
            </w:r>
          </w:p>
        </w:tc>
        <w:tc>
          <w:tcPr>
            <w:tcW w:w="874" w:type="pct"/>
            <w:tcBorders>
              <w:top w:val="nil"/>
              <w:left w:val="nil"/>
              <w:bottom w:val="single" w:color="auto" w:sz="4" w:space="0"/>
              <w:right w:val="single" w:color="auto" w:sz="4" w:space="0"/>
            </w:tcBorders>
            <w:noWrap/>
            <w:vAlign w:val="center"/>
          </w:tcPr>
          <w:p w14:paraId="5EAC61C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2299" w:type="pct"/>
            <w:tcBorders>
              <w:top w:val="nil"/>
              <w:left w:val="nil"/>
              <w:bottom w:val="single" w:color="auto" w:sz="4" w:space="0"/>
              <w:right w:val="single" w:color="auto" w:sz="4" w:space="0"/>
            </w:tcBorders>
            <w:noWrap/>
            <w:vAlign w:val="center"/>
          </w:tcPr>
          <w:p w14:paraId="23DA6BB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p>
        </w:tc>
      </w:tr>
      <w:tr w14:paraId="0E988EE5">
        <w:tblPrEx>
          <w:tblCellMar>
            <w:top w:w="0" w:type="dxa"/>
            <w:left w:w="108" w:type="dxa"/>
            <w:bottom w:w="0" w:type="dxa"/>
            <w:right w:w="108" w:type="dxa"/>
          </w:tblCellMar>
        </w:tblPrEx>
        <w:trPr>
          <w:trHeight w:val="567" w:hRule="atLeast"/>
          <w:jc w:val="center"/>
        </w:trPr>
        <w:tc>
          <w:tcPr>
            <w:tcW w:w="554" w:type="pct"/>
            <w:tcBorders>
              <w:top w:val="nil"/>
              <w:left w:val="single" w:color="auto" w:sz="4" w:space="0"/>
              <w:bottom w:val="single" w:color="auto" w:sz="4" w:space="0"/>
              <w:right w:val="single" w:color="auto" w:sz="4" w:space="0"/>
            </w:tcBorders>
            <w:vAlign w:val="center"/>
          </w:tcPr>
          <w:p w14:paraId="60AE8F0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2</w:t>
            </w:r>
          </w:p>
        </w:tc>
        <w:tc>
          <w:tcPr>
            <w:tcW w:w="1272" w:type="pct"/>
            <w:tcBorders>
              <w:top w:val="nil"/>
              <w:left w:val="single" w:color="auto" w:sz="4" w:space="0"/>
              <w:bottom w:val="single" w:color="auto" w:sz="4" w:space="0"/>
              <w:right w:val="single" w:color="auto" w:sz="4" w:space="0"/>
            </w:tcBorders>
            <w:vAlign w:val="center"/>
          </w:tcPr>
          <w:p w14:paraId="13452D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大灯检测</w:t>
            </w:r>
          </w:p>
        </w:tc>
        <w:tc>
          <w:tcPr>
            <w:tcW w:w="874" w:type="pct"/>
            <w:tcBorders>
              <w:top w:val="nil"/>
              <w:left w:val="nil"/>
              <w:bottom w:val="single" w:color="auto" w:sz="4" w:space="0"/>
              <w:right w:val="single" w:color="auto" w:sz="4" w:space="0"/>
            </w:tcBorders>
            <w:noWrap/>
            <w:vAlign w:val="center"/>
          </w:tcPr>
          <w:p w14:paraId="7529697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2299" w:type="pct"/>
            <w:tcBorders>
              <w:top w:val="nil"/>
              <w:left w:val="nil"/>
              <w:bottom w:val="single" w:color="auto" w:sz="4" w:space="0"/>
              <w:right w:val="single" w:color="auto" w:sz="4" w:space="0"/>
            </w:tcBorders>
            <w:noWrap/>
            <w:vAlign w:val="center"/>
          </w:tcPr>
          <w:p w14:paraId="763CA4C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p>
        </w:tc>
      </w:tr>
      <w:tr w14:paraId="35E8B4E6">
        <w:tblPrEx>
          <w:tblCellMar>
            <w:top w:w="0" w:type="dxa"/>
            <w:left w:w="108" w:type="dxa"/>
            <w:bottom w:w="0" w:type="dxa"/>
            <w:right w:w="108" w:type="dxa"/>
          </w:tblCellMar>
        </w:tblPrEx>
        <w:trPr>
          <w:trHeight w:val="567" w:hRule="atLeast"/>
          <w:jc w:val="center"/>
        </w:trPr>
        <w:tc>
          <w:tcPr>
            <w:tcW w:w="554" w:type="pct"/>
            <w:tcBorders>
              <w:top w:val="nil"/>
              <w:left w:val="single" w:color="auto" w:sz="4" w:space="0"/>
              <w:bottom w:val="single" w:color="auto" w:sz="4" w:space="0"/>
              <w:right w:val="single" w:color="auto" w:sz="4" w:space="0"/>
            </w:tcBorders>
            <w:vAlign w:val="center"/>
          </w:tcPr>
          <w:p w14:paraId="6B729BB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3</w:t>
            </w:r>
          </w:p>
        </w:tc>
        <w:tc>
          <w:tcPr>
            <w:tcW w:w="1272" w:type="pct"/>
            <w:tcBorders>
              <w:top w:val="nil"/>
              <w:left w:val="single" w:color="auto" w:sz="4" w:space="0"/>
              <w:bottom w:val="single" w:color="auto" w:sz="4" w:space="0"/>
              <w:right w:val="single" w:color="auto" w:sz="4" w:space="0"/>
            </w:tcBorders>
            <w:vAlign w:val="center"/>
          </w:tcPr>
          <w:p w14:paraId="6CCC49B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侧滑试验台</w:t>
            </w:r>
          </w:p>
        </w:tc>
        <w:tc>
          <w:tcPr>
            <w:tcW w:w="874" w:type="pct"/>
            <w:tcBorders>
              <w:top w:val="nil"/>
              <w:left w:val="nil"/>
              <w:bottom w:val="single" w:color="auto" w:sz="4" w:space="0"/>
              <w:right w:val="single" w:color="auto" w:sz="4" w:space="0"/>
            </w:tcBorders>
            <w:noWrap/>
            <w:vAlign w:val="center"/>
          </w:tcPr>
          <w:p w14:paraId="3412EEE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2299" w:type="pct"/>
            <w:tcBorders>
              <w:top w:val="nil"/>
              <w:left w:val="nil"/>
              <w:bottom w:val="single" w:color="auto" w:sz="4" w:space="0"/>
              <w:right w:val="single" w:color="auto" w:sz="4" w:space="0"/>
            </w:tcBorders>
            <w:noWrap/>
            <w:vAlign w:val="center"/>
          </w:tcPr>
          <w:p w14:paraId="266A13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p>
        </w:tc>
      </w:tr>
      <w:tr w14:paraId="721F27D7">
        <w:tblPrEx>
          <w:tblCellMar>
            <w:top w:w="0" w:type="dxa"/>
            <w:left w:w="108" w:type="dxa"/>
            <w:bottom w:w="0" w:type="dxa"/>
            <w:right w:w="108" w:type="dxa"/>
          </w:tblCellMar>
        </w:tblPrEx>
        <w:trPr>
          <w:trHeight w:val="567" w:hRule="atLeast"/>
          <w:jc w:val="center"/>
        </w:trPr>
        <w:tc>
          <w:tcPr>
            <w:tcW w:w="554" w:type="pct"/>
            <w:tcBorders>
              <w:top w:val="nil"/>
              <w:left w:val="single" w:color="auto" w:sz="4" w:space="0"/>
              <w:bottom w:val="single" w:color="auto" w:sz="4" w:space="0"/>
              <w:right w:val="single" w:color="auto" w:sz="4" w:space="0"/>
            </w:tcBorders>
            <w:vAlign w:val="center"/>
          </w:tcPr>
          <w:p w14:paraId="1535FBC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4</w:t>
            </w:r>
          </w:p>
        </w:tc>
        <w:tc>
          <w:tcPr>
            <w:tcW w:w="1272" w:type="pct"/>
            <w:tcBorders>
              <w:top w:val="nil"/>
              <w:left w:val="single" w:color="auto" w:sz="4" w:space="0"/>
              <w:bottom w:val="single" w:color="auto" w:sz="4" w:space="0"/>
              <w:right w:val="single" w:color="auto" w:sz="4" w:space="0"/>
            </w:tcBorders>
            <w:vAlign w:val="center"/>
          </w:tcPr>
          <w:p w14:paraId="1BBA07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综合转毂试验台</w:t>
            </w:r>
          </w:p>
        </w:tc>
        <w:tc>
          <w:tcPr>
            <w:tcW w:w="874" w:type="pct"/>
            <w:tcBorders>
              <w:top w:val="nil"/>
              <w:left w:val="nil"/>
              <w:bottom w:val="single" w:color="auto" w:sz="4" w:space="0"/>
              <w:right w:val="single" w:color="auto" w:sz="4" w:space="0"/>
            </w:tcBorders>
            <w:noWrap/>
            <w:vAlign w:val="center"/>
          </w:tcPr>
          <w:p w14:paraId="5489563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2299" w:type="pct"/>
            <w:tcBorders>
              <w:top w:val="nil"/>
              <w:left w:val="nil"/>
              <w:bottom w:val="single" w:color="auto" w:sz="4" w:space="0"/>
              <w:right w:val="single" w:color="auto" w:sz="4" w:space="0"/>
            </w:tcBorders>
            <w:noWrap/>
            <w:vAlign w:val="center"/>
          </w:tcPr>
          <w:p w14:paraId="0C71463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p>
        </w:tc>
      </w:tr>
      <w:tr w14:paraId="08D1E95E">
        <w:tblPrEx>
          <w:tblCellMar>
            <w:top w:w="0" w:type="dxa"/>
            <w:left w:w="108" w:type="dxa"/>
            <w:bottom w:w="0" w:type="dxa"/>
            <w:right w:w="108" w:type="dxa"/>
          </w:tblCellMar>
        </w:tblPrEx>
        <w:trPr>
          <w:trHeight w:val="567" w:hRule="atLeast"/>
          <w:jc w:val="center"/>
        </w:trPr>
        <w:tc>
          <w:tcPr>
            <w:tcW w:w="554" w:type="pct"/>
            <w:tcBorders>
              <w:top w:val="nil"/>
              <w:left w:val="single" w:color="auto" w:sz="4" w:space="0"/>
              <w:bottom w:val="single" w:color="auto" w:sz="4" w:space="0"/>
              <w:right w:val="single" w:color="auto" w:sz="4" w:space="0"/>
            </w:tcBorders>
            <w:vAlign w:val="center"/>
          </w:tcPr>
          <w:p w14:paraId="5A238D2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5</w:t>
            </w:r>
          </w:p>
        </w:tc>
        <w:tc>
          <w:tcPr>
            <w:tcW w:w="1272" w:type="pct"/>
            <w:tcBorders>
              <w:top w:val="nil"/>
              <w:left w:val="single" w:color="auto" w:sz="4" w:space="0"/>
              <w:bottom w:val="single" w:color="auto" w:sz="4" w:space="0"/>
              <w:right w:val="single" w:color="auto" w:sz="4" w:space="0"/>
            </w:tcBorders>
            <w:vAlign w:val="center"/>
          </w:tcPr>
          <w:p w14:paraId="2C73CAA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声级计</w:t>
            </w:r>
          </w:p>
        </w:tc>
        <w:tc>
          <w:tcPr>
            <w:tcW w:w="874" w:type="pct"/>
            <w:tcBorders>
              <w:top w:val="nil"/>
              <w:left w:val="nil"/>
              <w:bottom w:val="single" w:color="auto" w:sz="4" w:space="0"/>
              <w:right w:val="single" w:color="auto" w:sz="4" w:space="0"/>
            </w:tcBorders>
            <w:noWrap/>
            <w:vAlign w:val="center"/>
          </w:tcPr>
          <w:p w14:paraId="0386B4E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2299" w:type="pct"/>
            <w:tcBorders>
              <w:top w:val="nil"/>
              <w:left w:val="nil"/>
              <w:bottom w:val="single" w:color="auto" w:sz="4" w:space="0"/>
              <w:right w:val="single" w:color="auto" w:sz="4" w:space="0"/>
            </w:tcBorders>
            <w:noWrap/>
            <w:vAlign w:val="center"/>
          </w:tcPr>
          <w:p w14:paraId="5FDB28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0"/>
              </w:rPr>
            </w:pPr>
          </w:p>
        </w:tc>
      </w:tr>
    </w:tbl>
    <w:p w14:paraId="39D0FC47">
      <w:pPr>
        <w:keepNext w:val="0"/>
        <w:keepLines w:val="0"/>
        <w:pageBreakBefore w:val="0"/>
        <w:widowControl w:val="0"/>
        <w:numPr>
          <w:ilvl w:val="-1"/>
          <w:numId w:val="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hint="eastAsia" w:ascii="宋体" w:hAnsi="宋体" w:eastAsia="宋体" w:cs="Times New Roman"/>
          <w:b/>
          <w:sz w:val="24"/>
          <w:szCs w:val="24"/>
        </w:rPr>
        <w:t>元器件选型清单</w:t>
      </w:r>
    </w:p>
    <w:tbl>
      <w:tblPr>
        <w:tblStyle w:val="44"/>
        <w:tblW w:w="5000" w:type="pct"/>
        <w:tblInd w:w="0" w:type="dxa"/>
        <w:tblLayout w:type="fixed"/>
        <w:tblCellMar>
          <w:top w:w="0" w:type="dxa"/>
          <w:left w:w="108" w:type="dxa"/>
          <w:bottom w:w="0" w:type="dxa"/>
          <w:right w:w="108" w:type="dxa"/>
        </w:tblCellMar>
      </w:tblPr>
      <w:tblGrid>
        <w:gridCol w:w="801"/>
        <w:gridCol w:w="1887"/>
        <w:gridCol w:w="2202"/>
        <w:gridCol w:w="2202"/>
        <w:gridCol w:w="2563"/>
      </w:tblGrid>
      <w:tr w14:paraId="4E48B417">
        <w:tblPrEx>
          <w:tblCellMar>
            <w:top w:w="0" w:type="dxa"/>
            <w:left w:w="108" w:type="dxa"/>
            <w:bottom w:w="0" w:type="dxa"/>
            <w:right w:w="108" w:type="dxa"/>
          </w:tblCellMar>
        </w:tblPrEx>
        <w:trPr>
          <w:trHeight w:val="330" w:hRule="atLeast"/>
        </w:trPr>
        <w:tc>
          <w:tcPr>
            <w:tcW w:w="41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66DE8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序号</w:t>
            </w:r>
          </w:p>
        </w:tc>
        <w:tc>
          <w:tcPr>
            <w:tcW w:w="977" w:type="pct"/>
            <w:tcBorders>
              <w:top w:val="single" w:color="auto" w:sz="4" w:space="0"/>
              <w:left w:val="nil"/>
              <w:bottom w:val="single" w:color="auto" w:sz="4" w:space="0"/>
              <w:right w:val="single" w:color="auto" w:sz="4" w:space="0"/>
            </w:tcBorders>
            <w:shd w:val="clear" w:color="auto" w:fill="auto"/>
            <w:noWrap/>
            <w:vAlign w:val="center"/>
          </w:tcPr>
          <w:p w14:paraId="0709158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主要部件</w:t>
            </w:r>
          </w:p>
        </w:tc>
        <w:tc>
          <w:tcPr>
            <w:tcW w:w="3606" w:type="pct"/>
            <w:gridSpan w:val="3"/>
            <w:tcBorders>
              <w:top w:val="single" w:color="auto" w:sz="4" w:space="0"/>
              <w:left w:val="nil"/>
              <w:bottom w:val="single" w:color="auto" w:sz="4" w:space="0"/>
              <w:right w:val="single" w:color="auto" w:sz="4" w:space="0"/>
            </w:tcBorders>
            <w:shd w:val="clear" w:color="auto" w:fill="auto"/>
            <w:noWrap/>
            <w:vAlign w:val="center"/>
          </w:tcPr>
          <w:p w14:paraId="26CD061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highlight w:val="none"/>
                <w:lang w:val="en-US" w:eastAsia="zh-CN"/>
              </w:rPr>
              <w:t>相当于或优于以下</w:t>
            </w:r>
            <w:r>
              <w:rPr>
                <w:rFonts w:hint="eastAsia" w:asciiTheme="minorEastAsia" w:hAnsiTheme="minorEastAsia" w:eastAsiaTheme="minorEastAsia" w:cstheme="minorEastAsia"/>
                <w:kern w:val="0"/>
                <w:sz w:val="24"/>
                <w:szCs w:val="24"/>
                <w:highlight w:val="none"/>
              </w:rPr>
              <w:t>品牌</w:t>
            </w:r>
          </w:p>
        </w:tc>
      </w:tr>
      <w:tr w14:paraId="75F0BF39">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4F340E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w:t>
            </w:r>
          </w:p>
        </w:tc>
        <w:tc>
          <w:tcPr>
            <w:tcW w:w="977" w:type="pct"/>
            <w:tcBorders>
              <w:top w:val="nil"/>
              <w:left w:val="nil"/>
              <w:bottom w:val="single" w:color="auto" w:sz="4" w:space="0"/>
              <w:right w:val="single" w:color="auto" w:sz="4" w:space="0"/>
            </w:tcBorders>
            <w:shd w:val="clear" w:color="auto" w:fill="auto"/>
            <w:noWrap/>
            <w:vAlign w:val="center"/>
          </w:tcPr>
          <w:p w14:paraId="74B338C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拖链</w:t>
            </w:r>
          </w:p>
        </w:tc>
        <w:tc>
          <w:tcPr>
            <w:tcW w:w="1140" w:type="pct"/>
            <w:tcBorders>
              <w:top w:val="nil"/>
              <w:left w:val="nil"/>
              <w:bottom w:val="single" w:color="auto" w:sz="4" w:space="0"/>
              <w:right w:val="single" w:color="auto" w:sz="4" w:space="0"/>
            </w:tcBorders>
            <w:shd w:val="clear" w:color="auto" w:fill="auto"/>
            <w:noWrap/>
            <w:vAlign w:val="center"/>
          </w:tcPr>
          <w:p w14:paraId="2A1479D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IGUS</w:t>
            </w:r>
          </w:p>
        </w:tc>
        <w:tc>
          <w:tcPr>
            <w:tcW w:w="1140" w:type="pct"/>
            <w:tcBorders>
              <w:top w:val="nil"/>
              <w:left w:val="nil"/>
              <w:bottom w:val="single" w:color="auto" w:sz="4" w:space="0"/>
              <w:right w:val="single" w:color="auto" w:sz="4" w:space="0"/>
            </w:tcBorders>
            <w:shd w:val="clear" w:color="auto" w:fill="auto"/>
            <w:noWrap/>
            <w:vAlign w:val="center"/>
          </w:tcPr>
          <w:p w14:paraId="30EE12B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KABELSCHLEPP</w:t>
            </w:r>
          </w:p>
        </w:tc>
        <w:tc>
          <w:tcPr>
            <w:tcW w:w="1325" w:type="pct"/>
            <w:tcBorders>
              <w:top w:val="nil"/>
              <w:left w:val="nil"/>
              <w:bottom w:val="single" w:color="auto" w:sz="4" w:space="0"/>
              <w:right w:val="single" w:color="auto" w:sz="4" w:space="0"/>
            </w:tcBorders>
            <w:shd w:val="clear" w:color="auto" w:fill="auto"/>
            <w:noWrap/>
            <w:vAlign w:val="center"/>
          </w:tcPr>
          <w:p w14:paraId="6906C6B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LEONI</w:t>
            </w:r>
          </w:p>
        </w:tc>
      </w:tr>
      <w:tr w14:paraId="56D3571F">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739CF51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w:t>
            </w:r>
          </w:p>
        </w:tc>
        <w:tc>
          <w:tcPr>
            <w:tcW w:w="977" w:type="pct"/>
            <w:tcBorders>
              <w:top w:val="nil"/>
              <w:left w:val="nil"/>
              <w:bottom w:val="single" w:color="auto" w:sz="4" w:space="0"/>
              <w:right w:val="single" w:color="auto" w:sz="4" w:space="0"/>
            </w:tcBorders>
            <w:shd w:val="clear" w:color="auto" w:fill="auto"/>
            <w:noWrap/>
            <w:vAlign w:val="center"/>
          </w:tcPr>
          <w:p w14:paraId="0E67360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皮带</w:t>
            </w:r>
          </w:p>
        </w:tc>
        <w:tc>
          <w:tcPr>
            <w:tcW w:w="1140" w:type="pct"/>
            <w:tcBorders>
              <w:top w:val="nil"/>
              <w:left w:val="nil"/>
              <w:bottom w:val="single" w:color="auto" w:sz="4" w:space="0"/>
              <w:right w:val="single" w:color="auto" w:sz="4" w:space="0"/>
            </w:tcBorders>
            <w:shd w:val="clear" w:color="auto" w:fill="auto"/>
            <w:noWrap/>
            <w:vAlign w:val="center"/>
          </w:tcPr>
          <w:p w14:paraId="027A304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CONTITECH</w:t>
            </w:r>
          </w:p>
        </w:tc>
        <w:tc>
          <w:tcPr>
            <w:tcW w:w="1140" w:type="pct"/>
            <w:tcBorders>
              <w:top w:val="nil"/>
              <w:left w:val="nil"/>
              <w:bottom w:val="single" w:color="auto" w:sz="4" w:space="0"/>
              <w:right w:val="single" w:color="auto" w:sz="4" w:space="0"/>
            </w:tcBorders>
            <w:shd w:val="clear" w:color="auto" w:fill="auto"/>
            <w:noWrap/>
            <w:vAlign w:val="center"/>
          </w:tcPr>
          <w:p w14:paraId="2D69160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GATES</w:t>
            </w:r>
          </w:p>
        </w:tc>
        <w:tc>
          <w:tcPr>
            <w:tcW w:w="1325" w:type="pct"/>
            <w:tcBorders>
              <w:top w:val="nil"/>
              <w:left w:val="nil"/>
              <w:bottom w:val="single" w:color="auto" w:sz="4" w:space="0"/>
              <w:right w:val="single" w:color="auto" w:sz="4" w:space="0"/>
            </w:tcBorders>
            <w:shd w:val="clear" w:color="auto" w:fill="auto"/>
            <w:noWrap/>
            <w:vAlign w:val="center"/>
          </w:tcPr>
          <w:p w14:paraId="31DFEBC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Gummi</w:t>
            </w:r>
          </w:p>
        </w:tc>
      </w:tr>
      <w:tr w14:paraId="21144506">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C6B0C9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w:t>
            </w:r>
          </w:p>
        </w:tc>
        <w:tc>
          <w:tcPr>
            <w:tcW w:w="977" w:type="pct"/>
            <w:tcBorders>
              <w:top w:val="nil"/>
              <w:left w:val="nil"/>
              <w:bottom w:val="single" w:color="auto" w:sz="4" w:space="0"/>
              <w:right w:val="single" w:color="auto" w:sz="4" w:space="0"/>
            </w:tcBorders>
            <w:shd w:val="clear" w:color="auto" w:fill="auto"/>
            <w:noWrap/>
            <w:vAlign w:val="center"/>
          </w:tcPr>
          <w:p w14:paraId="483EDC4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气缸</w:t>
            </w:r>
          </w:p>
        </w:tc>
        <w:tc>
          <w:tcPr>
            <w:tcW w:w="1140" w:type="pct"/>
            <w:tcBorders>
              <w:top w:val="nil"/>
              <w:left w:val="nil"/>
              <w:bottom w:val="single" w:color="auto" w:sz="4" w:space="0"/>
              <w:right w:val="single" w:color="auto" w:sz="4" w:space="0"/>
            </w:tcBorders>
            <w:shd w:val="clear" w:color="auto" w:fill="auto"/>
            <w:noWrap/>
            <w:vAlign w:val="center"/>
          </w:tcPr>
          <w:p w14:paraId="323AB95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TUNKERS</w:t>
            </w:r>
          </w:p>
        </w:tc>
        <w:tc>
          <w:tcPr>
            <w:tcW w:w="1140" w:type="pct"/>
            <w:tcBorders>
              <w:top w:val="nil"/>
              <w:left w:val="nil"/>
              <w:bottom w:val="single" w:color="auto" w:sz="4" w:space="0"/>
              <w:right w:val="single" w:color="auto" w:sz="4" w:space="0"/>
            </w:tcBorders>
            <w:shd w:val="clear" w:color="auto" w:fill="auto"/>
            <w:noWrap/>
            <w:vAlign w:val="center"/>
          </w:tcPr>
          <w:p w14:paraId="6B2CFFD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FESTO</w:t>
            </w:r>
          </w:p>
        </w:tc>
        <w:tc>
          <w:tcPr>
            <w:tcW w:w="1325" w:type="pct"/>
            <w:tcBorders>
              <w:top w:val="nil"/>
              <w:left w:val="nil"/>
              <w:bottom w:val="single" w:color="auto" w:sz="4" w:space="0"/>
              <w:right w:val="single" w:color="auto" w:sz="4" w:space="0"/>
            </w:tcBorders>
            <w:shd w:val="clear" w:color="auto" w:fill="auto"/>
            <w:noWrap/>
            <w:vAlign w:val="center"/>
          </w:tcPr>
          <w:p w14:paraId="5BA106E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SMC</w:t>
            </w:r>
          </w:p>
        </w:tc>
      </w:tr>
      <w:tr w14:paraId="3FCEABA4">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B6FBAA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w:t>
            </w:r>
          </w:p>
        </w:tc>
        <w:tc>
          <w:tcPr>
            <w:tcW w:w="977" w:type="pct"/>
            <w:tcBorders>
              <w:top w:val="nil"/>
              <w:left w:val="nil"/>
              <w:bottom w:val="single" w:color="auto" w:sz="4" w:space="0"/>
              <w:right w:val="single" w:color="auto" w:sz="4" w:space="0"/>
            </w:tcBorders>
            <w:shd w:val="clear" w:color="auto" w:fill="auto"/>
            <w:noWrap/>
            <w:vAlign w:val="center"/>
          </w:tcPr>
          <w:p w14:paraId="7FA4C87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电动葫芦</w:t>
            </w:r>
          </w:p>
        </w:tc>
        <w:tc>
          <w:tcPr>
            <w:tcW w:w="1140" w:type="pct"/>
            <w:tcBorders>
              <w:top w:val="nil"/>
              <w:left w:val="nil"/>
              <w:bottom w:val="single" w:color="auto" w:sz="4" w:space="0"/>
              <w:right w:val="single" w:color="auto" w:sz="4" w:space="0"/>
            </w:tcBorders>
            <w:shd w:val="clear" w:color="auto" w:fill="auto"/>
            <w:noWrap/>
            <w:vAlign w:val="center"/>
          </w:tcPr>
          <w:p w14:paraId="6CDB39B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德马格</w:t>
            </w:r>
          </w:p>
        </w:tc>
        <w:tc>
          <w:tcPr>
            <w:tcW w:w="1140" w:type="pct"/>
            <w:tcBorders>
              <w:top w:val="nil"/>
              <w:left w:val="nil"/>
              <w:bottom w:val="single" w:color="auto" w:sz="4" w:space="0"/>
              <w:right w:val="single" w:color="auto" w:sz="4" w:space="0"/>
            </w:tcBorders>
            <w:shd w:val="clear" w:color="auto" w:fill="auto"/>
            <w:noWrap/>
            <w:vAlign w:val="center"/>
          </w:tcPr>
          <w:p w14:paraId="3D2B705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KITO</w:t>
            </w:r>
          </w:p>
        </w:tc>
        <w:tc>
          <w:tcPr>
            <w:tcW w:w="1325" w:type="pct"/>
            <w:tcBorders>
              <w:top w:val="nil"/>
              <w:left w:val="nil"/>
              <w:bottom w:val="single" w:color="auto" w:sz="4" w:space="0"/>
              <w:right w:val="single" w:color="auto" w:sz="4" w:space="0"/>
            </w:tcBorders>
            <w:shd w:val="clear" w:color="auto" w:fill="auto"/>
            <w:noWrap/>
            <w:vAlign w:val="center"/>
          </w:tcPr>
          <w:p w14:paraId="5825843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YALE</w:t>
            </w:r>
          </w:p>
        </w:tc>
      </w:tr>
      <w:tr w14:paraId="1B53EC61">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4A0A59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w:t>
            </w:r>
          </w:p>
        </w:tc>
        <w:tc>
          <w:tcPr>
            <w:tcW w:w="977" w:type="pct"/>
            <w:tcBorders>
              <w:top w:val="nil"/>
              <w:left w:val="nil"/>
              <w:bottom w:val="single" w:color="auto" w:sz="4" w:space="0"/>
              <w:right w:val="single" w:color="auto" w:sz="4" w:space="0"/>
            </w:tcBorders>
            <w:shd w:val="clear" w:color="auto" w:fill="auto"/>
            <w:noWrap/>
            <w:vAlign w:val="center"/>
          </w:tcPr>
          <w:p w14:paraId="314DE1B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气动三元件</w:t>
            </w:r>
          </w:p>
        </w:tc>
        <w:tc>
          <w:tcPr>
            <w:tcW w:w="1140" w:type="pct"/>
            <w:tcBorders>
              <w:top w:val="nil"/>
              <w:left w:val="nil"/>
              <w:bottom w:val="single" w:color="auto" w:sz="4" w:space="0"/>
              <w:right w:val="single" w:color="auto" w:sz="4" w:space="0"/>
            </w:tcBorders>
            <w:shd w:val="clear" w:color="auto" w:fill="auto"/>
            <w:noWrap/>
            <w:vAlign w:val="center"/>
          </w:tcPr>
          <w:p w14:paraId="08575AF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SMC</w:t>
            </w:r>
          </w:p>
        </w:tc>
        <w:tc>
          <w:tcPr>
            <w:tcW w:w="1140" w:type="pct"/>
            <w:tcBorders>
              <w:top w:val="nil"/>
              <w:left w:val="nil"/>
              <w:bottom w:val="single" w:color="auto" w:sz="4" w:space="0"/>
              <w:right w:val="single" w:color="auto" w:sz="4" w:space="0"/>
            </w:tcBorders>
            <w:shd w:val="clear" w:color="auto" w:fill="auto"/>
            <w:noWrap/>
            <w:vAlign w:val="center"/>
          </w:tcPr>
          <w:p w14:paraId="7AACC0F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FESTO</w:t>
            </w:r>
          </w:p>
        </w:tc>
        <w:tc>
          <w:tcPr>
            <w:tcW w:w="1325" w:type="pct"/>
            <w:tcBorders>
              <w:top w:val="nil"/>
              <w:left w:val="nil"/>
              <w:bottom w:val="single" w:color="auto" w:sz="4" w:space="0"/>
              <w:right w:val="single" w:color="auto" w:sz="4" w:space="0"/>
            </w:tcBorders>
            <w:shd w:val="clear" w:color="auto" w:fill="auto"/>
            <w:noWrap/>
            <w:vAlign w:val="center"/>
          </w:tcPr>
          <w:p w14:paraId="60990C0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CKD</w:t>
            </w:r>
          </w:p>
        </w:tc>
      </w:tr>
      <w:tr w14:paraId="5D391E9C">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DC4805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w:t>
            </w:r>
          </w:p>
        </w:tc>
        <w:tc>
          <w:tcPr>
            <w:tcW w:w="977" w:type="pct"/>
            <w:tcBorders>
              <w:top w:val="nil"/>
              <w:left w:val="nil"/>
              <w:bottom w:val="single" w:color="auto" w:sz="4" w:space="0"/>
              <w:right w:val="single" w:color="auto" w:sz="4" w:space="0"/>
            </w:tcBorders>
            <w:shd w:val="clear" w:color="auto" w:fill="auto"/>
            <w:noWrap/>
            <w:vAlign w:val="center"/>
          </w:tcPr>
          <w:p w14:paraId="1CBAF66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卷帘门</w:t>
            </w:r>
          </w:p>
        </w:tc>
        <w:tc>
          <w:tcPr>
            <w:tcW w:w="1140" w:type="pct"/>
            <w:tcBorders>
              <w:top w:val="nil"/>
              <w:left w:val="nil"/>
              <w:bottom w:val="single" w:color="auto" w:sz="4" w:space="0"/>
              <w:right w:val="single" w:color="auto" w:sz="4" w:space="0"/>
            </w:tcBorders>
            <w:shd w:val="clear" w:color="auto" w:fill="auto"/>
            <w:noWrap/>
            <w:vAlign w:val="center"/>
          </w:tcPr>
          <w:p w14:paraId="2A5C843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EFAFLEX</w:t>
            </w:r>
          </w:p>
        </w:tc>
        <w:tc>
          <w:tcPr>
            <w:tcW w:w="1140" w:type="pct"/>
            <w:tcBorders>
              <w:top w:val="nil"/>
              <w:left w:val="nil"/>
              <w:bottom w:val="single" w:color="auto" w:sz="4" w:space="0"/>
              <w:right w:val="single" w:color="auto" w:sz="4" w:space="0"/>
            </w:tcBorders>
            <w:shd w:val="clear" w:color="auto" w:fill="auto"/>
            <w:noWrap/>
            <w:vAlign w:val="center"/>
          </w:tcPr>
          <w:p w14:paraId="1BBE8DC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Albaney</w:t>
            </w:r>
          </w:p>
        </w:tc>
        <w:tc>
          <w:tcPr>
            <w:tcW w:w="1325" w:type="pct"/>
            <w:tcBorders>
              <w:top w:val="nil"/>
              <w:left w:val="nil"/>
              <w:bottom w:val="single" w:color="auto" w:sz="4" w:space="0"/>
              <w:right w:val="single" w:color="auto" w:sz="4" w:space="0"/>
            </w:tcBorders>
            <w:shd w:val="clear" w:color="auto" w:fill="auto"/>
            <w:noWrap/>
            <w:vAlign w:val="center"/>
          </w:tcPr>
          <w:p w14:paraId="6CD208B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上海尚高</w:t>
            </w:r>
          </w:p>
        </w:tc>
      </w:tr>
      <w:tr w14:paraId="72027D8B">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A0B709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7</w:t>
            </w:r>
          </w:p>
        </w:tc>
        <w:tc>
          <w:tcPr>
            <w:tcW w:w="977" w:type="pct"/>
            <w:tcBorders>
              <w:top w:val="nil"/>
              <w:left w:val="nil"/>
              <w:bottom w:val="single" w:color="auto" w:sz="4" w:space="0"/>
              <w:right w:val="single" w:color="auto" w:sz="4" w:space="0"/>
            </w:tcBorders>
            <w:shd w:val="clear" w:color="auto" w:fill="auto"/>
            <w:noWrap/>
            <w:vAlign w:val="center"/>
          </w:tcPr>
          <w:p w14:paraId="7667DAA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气管\气管接头</w:t>
            </w:r>
          </w:p>
        </w:tc>
        <w:tc>
          <w:tcPr>
            <w:tcW w:w="1140" w:type="pct"/>
            <w:tcBorders>
              <w:top w:val="nil"/>
              <w:left w:val="nil"/>
              <w:bottom w:val="single" w:color="auto" w:sz="4" w:space="0"/>
              <w:right w:val="single" w:color="auto" w:sz="4" w:space="0"/>
            </w:tcBorders>
            <w:shd w:val="clear" w:color="auto" w:fill="auto"/>
            <w:noWrap/>
            <w:vAlign w:val="center"/>
          </w:tcPr>
          <w:p w14:paraId="7A66785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SMC</w:t>
            </w:r>
          </w:p>
        </w:tc>
        <w:tc>
          <w:tcPr>
            <w:tcW w:w="1140" w:type="pct"/>
            <w:tcBorders>
              <w:top w:val="nil"/>
              <w:left w:val="nil"/>
              <w:bottom w:val="single" w:color="auto" w:sz="4" w:space="0"/>
              <w:right w:val="single" w:color="auto" w:sz="4" w:space="0"/>
            </w:tcBorders>
            <w:shd w:val="clear" w:color="auto" w:fill="auto"/>
            <w:noWrap/>
            <w:vAlign w:val="center"/>
          </w:tcPr>
          <w:p w14:paraId="4B0DE97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Parker派克</w:t>
            </w:r>
          </w:p>
        </w:tc>
        <w:tc>
          <w:tcPr>
            <w:tcW w:w="1325" w:type="pct"/>
            <w:tcBorders>
              <w:top w:val="nil"/>
              <w:left w:val="nil"/>
              <w:bottom w:val="single" w:color="auto" w:sz="4" w:space="0"/>
              <w:right w:val="single" w:color="auto" w:sz="4" w:space="0"/>
            </w:tcBorders>
            <w:shd w:val="clear" w:color="auto" w:fill="auto"/>
            <w:noWrap/>
            <w:vAlign w:val="center"/>
          </w:tcPr>
          <w:p w14:paraId="61DA1DD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千代田</w:t>
            </w:r>
          </w:p>
        </w:tc>
      </w:tr>
      <w:tr w14:paraId="5BE37AE3">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7BFA59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8</w:t>
            </w:r>
          </w:p>
        </w:tc>
        <w:tc>
          <w:tcPr>
            <w:tcW w:w="977" w:type="pct"/>
            <w:tcBorders>
              <w:top w:val="nil"/>
              <w:left w:val="nil"/>
              <w:bottom w:val="single" w:color="auto" w:sz="4" w:space="0"/>
              <w:right w:val="single" w:color="auto" w:sz="4" w:space="0"/>
            </w:tcBorders>
            <w:shd w:val="clear" w:color="auto" w:fill="auto"/>
            <w:noWrap/>
            <w:vAlign w:val="center"/>
          </w:tcPr>
          <w:p w14:paraId="1E8CBBA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比例阀</w:t>
            </w:r>
          </w:p>
        </w:tc>
        <w:tc>
          <w:tcPr>
            <w:tcW w:w="1140" w:type="pct"/>
            <w:tcBorders>
              <w:top w:val="nil"/>
              <w:left w:val="nil"/>
              <w:bottom w:val="single" w:color="auto" w:sz="4" w:space="0"/>
              <w:right w:val="single" w:color="auto" w:sz="4" w:space="0"/>
            </w:tcBorders>
            <w:shd w:val="clear" w:color="auto" w:fill="auto"/>
            <w:noWrap/>
            <w:vAlign w:val="center"/>
          </w:tcPr>
          <w:p w14:paraId="6DEC569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FESTO</w:t>
            </w:r>
          </w:p>
        </w:tc>
        <w:tc>
          <w:tcPr>
            <w:tcW w:w="1140" w:type="pct"/>
            <w:tcBorders>
              <w:top w:val="nil"/>
              <w:left w:val="nil"/>
              <w:bottom w:val="single" w:color="auto" w:sz="4" w:space="0"/>
              <w:right w:val="single" w:color="auto" w:sz="4" w:space="0"/>
            </w:tcBorders>
            <w:shd w:val="clear" w:color="auto" w:fill="auto"/>
            <w:noWrap/>
            <w:vAlign w:val="center"/>
          </w:tcPr>
          <w:p w14:paraId="0A4DC0D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SMC</w:t>
            </w:r>
          </w:p>
        </w:tc>
        <w:tc>
          <w:tcPr>
            <w:tcW w:w="1325" w:type="pct"/>
            <w:tcBorders>
              <w:top w:val="nil"/>
              <w:left w:val="nil"/>
              <w:bottom w:val="single" w:color="auto" w:sz="4" w:space="0"/>
              <w:right w:val="single" w:color="auto" w:sz="4" w:space="0"/>
            </w:tcBorders>
            <w:shd w:val="clear" w:color="auto" w:fill="auto"/>
            <w:noWrap/>
            <w:vAlign w:val="center"/>
          </w:tcPr>
          <w:p w14:paraId="5049913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CKD</w:t>
            </w:r>
          </w:p>
        </w:tc>
      </w:tr>
      <w:tr w14:paraId="60750FA5">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3D5A520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9</w:t>
            </w:r>
          </w:p>
        </w:tc>
        <w:tc>
          <w:tcPr>
            <w:tcW w:w="977" w:type="pct"/>
            <w:tcBorders>
              <w:top w:val="nil"/>
              <w:left w:val="nil"/>
              <w:bottom w:val="single" w:color="auto" w:sz="4" w:space="0"/>
              <w:right w:val="single" w:color="auto" w:sz="4" w:space="0"/>
            </w:tcBorders>
            <w:shd w:val="clear" w:color="auto" w:fill="auto"/>
            <w:noWrap/>
            <w:vAlign w:val="center"/>
          </w:tcPr>
          <w:p w14:paraId="18BB19F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真空气动单元</w:t>
            </w:r>
          </w:p>
        </w:tc>
        <w:tc>
          <w:tcPr>
            <w:tcW w:w="1140" w:type="pct"/>
            <w:tcBorders>
              <w:top w:val="nil"/>
              <w:left w:val="nil"/>
              <w:bottom w:val="single" w:color="auto" w:sz="4" w:space="0"/>
              <w:right w:val="single" w:color="auto" w:sz="4" w:space="0"/>
            </w:tcBorders>
            <w:shd w:val="clear" w:color="auto" w:fill="auto"/>
            <w:noWrap/>
            <w:vAlign w:val="center"/>
          </w:tcPr>
          <w:p w14:paraId="00E9380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FESTO</w:t>
            </w:r>
          </w:p>
        </w:tc>
        <w:tc>
          <w:tcPr>
            <w:tcW w:w="1140" w:type="pct"/>
            <w:tcBorders>
              <w:top w:val="nil"/>
              <w:left w:val="nil"/>
              <w:bottom w:val="single" w:color="auto" w:sz="4" w:space="0"/>
              <w:right w:val="single" w:color="auto" w:sz="4" w:space="0"/>
            </w:tcBorders>
            <w:shd w:val="clear" w:color="auto" w:fill="auto"/>
            <w:noWrap/>
            <w:vAlign w:val="center"/>
          </w:tcPr>
          <w:p w14:paraId="4B126E2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SMC</w:t>
            </w:r>
          </w:p>
        </w:tc>
        <w:tc>
          <w:tcPr>
            <w:tcW w:w="1325" w:type="pct"/>
            <w:tcBorders>
              <w:top w:val="nil"/>
              <w:left w:val="nil"/>
              <w:bottom w:val="single" w:color="auto" w:sz="4" w:space="0"/>
              <w:right w:val="single" w:color="auto" w:sz="4" w:space="0"/>
            </w:tcBorders>
            <w:shd w:val="clear" w:color="auto" w:fill="auto"/>
            <w:noWrap/>
            <w:vAlign w:val="center"/>
          </w:tcPr>
          <w:p w14:paraId="4EA1CD2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施迈赛</w:t>
            </w:r>
          </w:p>
        </w:tc>
      </w:tr>
      <w:tr w14:paraId="13179544">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4F0CC6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10</w:t>
            </w:r>
          </w:p>
        </w:tc>
        <w:tc>
          <w:tcPr>
            <w:tcW w:w="977" w:type="pct"/>
            <w:tcBorders>
              <w:top w:val="nil"/>
              <w:left w:val="nil"/>
              <w:bottom w:val="single" w:color="auto" w:sz="4" w:space="0"/>
              <w:right w:val="single" w:color="auto" w:sz="4" w:space="0"/>
            </w:tcBorders>
            <w:shd w:val="clear" w:color="auto" w:fill="auto"/>
            <w:noWrap/>
            <w:vAlign w:val="center"/>
          </w:tcPr>
          <w:p w14:paraId="2C392D7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轴承</w:t>
            </w:r>
          </w:p>
        </w:tc>
        <w:tc>
          <w:tcPr>
            <w:tcW w:w="1140" w:type="pct"/>
            <w:tcBorders>
              <w:top w:val="nil"/>
              <w:left w:val="nil"/>
              <w:bottom w:val="single" w:color="auto" w:sz="4" w:space="0"/>
              <w:right w:val="single" w:color="auto" w:sz="4" w:space="0"/>
            </w:tcBorders>
            <w:shd w:val="clear" w:color="auto" w:fill="auto"/>
            <w:noWrap/>
            <w:vAlign w:val="center"/>
          </w:tcPr>
          <w:p w14:paraId="1D72B93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SKF</w:t>
            </w:r>
          </w:p>
        </w:tc>
        <w:tc>
          <w:tcPr>
            <w:tcW w:w="1140" w:type="pct"/>
            <w:tcBorders>
              <w:top w:val="nil"/>
              <w:left w:val="nil"/>
              <w:bottom w:val="single" w:color="auto" w:sz="4" w:space="0"/>
              <w:right w:val="single" w:color="auto" w:sz="4" w:space="0"/>
            </w:tcBorders>
            <w:shd w:val="clear" w:color="auto" w:fill="auto"/>
            <w:noWrap/>
            <w:vAlign w:val="center"/>
          </w:tcPr>
          <w:p w14:paraId="2F09C9C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INA</w:t>
            </w:r>
          </w:p>
        </w:tc>
        <w:tc>
          <w:tcPr>
            <w:tcW w:w="1325" w:type="pct"/>
            <w:tcBorders>
              <w:top w:val="nil"/>
              <w:left w:val="nil"/>
              <w:bottom w:val="single" w:color="auto" w:sz="4" w:space="0"/>
              <w:right w:val="single" w:color="auto" w:sz="4" w:space="0"/>
            </w:tcBorders>
            <w:shd w:val="clear" w:color="auto" w:fill="auto"/>
            <w:noWrap/>
            <w:vAlign w:val="center"/>
          </w:tcPr>
          <w:p w14:paraId="1988BC6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NACHI</w:t>
            </w:r>
          </w:p>
        </w:tc>
      </w:tr>
      <w:tr w14:paraId="4BD74441">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91F2F5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11</w:t>
            </w:r>
          </w:p>
        </w:tc>
        <w:tc>
          <w:tcPr>
            <w:tcW w:w="977" w:type="pct"/>
            <w:tcBorders>
              <w:top w:val="nil"/>
              <w:left w:val="nil"/>
              <w:bottom w:val="single" w:color="auto" w:sz="4" w:space="0"/>
              <w:right w:val="single" w:color="auto" w:sz="4" w:space="0"/>
            </w:tcBorders>
            <w:shd w:val="clear" w:color="auto" w:fill="auto"/>
            <w:noWrap/>
            <w:vAlign w:val="center"/>
          </w:tcPr>
          <w:p w14:paraId="3401554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复合轴承</w:t>
            </w:r>
          </w:p>
        </w:tc>
        <w:tc>
          <w:tcPr>
            <w:tcW w:w="1140" w:type="pct"/>
            <w:tcBorders>
              <w:top w:val="nil"/>
              <w:left w:val="nil"/>
              <w:bottom w:val="single" w:color="auto" w:sz="4" w:space="0"/>
              <w:right w:val="single" w:color="auto" w:sz="4" w:space="0"/>
            </w:tcBorders>
            <w:shd w:val="clear" w:color="auto" w:fill="auto"/>
            <w:noWrap/>
            <w:vAlign w:val="center"/>
          </w:tcPr>
          <w:p w14:paraId="47B61DB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OILES</w:t>
            </w:r>
          </w:p>
        </w:tc>
        <w:tc>
          <w:tcPr>
            <w:tcW w:w="1140" w:type="pct"/>
            <w:tcBorders>
              <w:top w:val="nil"/>
              <w:left w:val="nil"/>
              <w:bottom w:val="single" w:color="auto" w:sz="4" w:space="0"/>
              <w:right w:val="single" w:color="auto" w:sz="4" w:space="0"/>
            </w:tcBorders>
            <w:shd w:val="clear" w:color="auto" w:fill="auto"/>
            <w:noWrap/>
            <w:vAlign w:val="center"/>
          </w:tcPr>
          <w:p w14:paraId="22A383C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SKF</w:t>
            </w:r>
          </w:p>
        </w:tc>
        <w:tc>
          <w:tcPr>
            <w:tcW w:w="1325" w:type="pct"/>
            <w:tcBorders>
              <w:top w:val="nil"/>
              <w:left w:val="nil"/>
              <w:bottom w:val="single" w:color="auto" w:sz="4" w:space="0"/>
              <w:right w:val="single" w:color="auto" w:sz="4" w:space="0"/>
            </w:tcBorders>
            <w:shd w:val="clear" w:color="auto" w:fill="auto"/>
            <w:noWrap/>
            <w:vAlign w:val="center"/>
          </w:tcPr>
          <w:p w14:paraId="5C4B79F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INA</w:t>
            </w:r>
          </w:p>
        </w:tc>
      </w:tr>
      <w:tr w14:paraId="32A1E3BC">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136DA0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12</w:t>
            </w:r>
          </w:p>
        </w:tc>
        <w:tc>
          <w:tcPr>
            <w:tcW w:w="977" w:type="pct"/>
            <w:tcBorders>
              <w:top w:val="nil"/>
              <w:left w:val="nil"/>
              <w:bottom w:val="single" w:color="auto" w:sz="4" w:space="0"/>
              <w:right w:val="single" w:color="auto" w:sz="4" w:space="0"/>
            </w:tcBorders>
            <w:shd w:val="clear" w:color="auto" w:fill="auto"/>
            <w:noWrap/>
            <w:vAlign w:val="center"/>
          </w:tcPr>
          <w:p w14:paraId="1137BBE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直线导轨</w:t>
            </w:r>
          </w:p>
        </w:tc>
        <w:tc>
          <w:tcPr>
            <w:tcW w:w="1140" w:type="pct"/>
            <w:tcBorders>
              <w:top w:val="nil"/>
              <w:left w:val="nil"/>
              <w:bottom w:val="single" w:color="auto" w:sz="4" w:space="0"/>
              <w:right w:val="single" w:color="auto" w:sz="4" w:space="0"/>
            </w:tcBorders>
            <w:shd w:val="clear" w:color="auto" w:fill="auto"/>
            <w:noWrap/>
            <w:vAlign w:val="center"/>
          </w:tcPr>
          <w:p w14:paraId="542E91E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THK</w:t>
            </w:r>
          </w:p>
        </w:tc>
        <w:tc>
          <w:tcPr>
            <w:tcW w:w="1140" w:type="pct"/>
            <w:tcBorders>
              <w:top w:val="nil"/>
              <w:left w:val="nil"/>
              <w:bottom w:val="single" w:color="auto" w:sz="4" w:space="0"/>
              <w:right w:val="single" w:color="auto" w:sz="4" w:space="0"/>
            </w:tcBorders>
            <w:shd w:val="clear" w:color="auto" w:fill="auto"/>
            <w:noWrap/>
            <w:vAlign w:val="center"/>
          </w:tcPr>
          <w:p w14:paraId="71E1591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IKO</w:t>
            </w:r>
          </w:p>
        </w:tc>
        <w:tc>
          <w:tcPr>
            <w:tcW w:w="1325" w:type="pct"/>
            <w:tcBorders>
              <w:top w:val="nil"/>
              <w:left w:val="nil"/>
              <w:bottom w:val="single" w:color="auto" w:sz="4" w:space="0"/>
              <w:right w:val="single" w:color="auto" w:sz="4" w:space="0"/>
            </w:tcBorders>
            <w:shd w:val="clear" w:color="auto" w:fill="auto"/>
            <w:noWrap/>
            <w:vAlign w:val="center"/>
          </w:tcPr>
          <w:p w14:paraId="324E507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NSK</w:t>
            </w:r>
          </w:p>
        </w:tc>
      </w:tr>
      <w:tr w14:paraId="7A3F66B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49AB5C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13</w:t>
            </w:r>
          </w:p>
        </w:tc>
        <w:tc>
          <w:tcPr>
            <w:tcW w:w="977" w:type="pct"/>
            <w:tcBorders>
              <w:top w:val="nil"/>
              <w:left w:val="nil"/>
              <w:bottom w:val="single" w:color="auto" w:sz="4" w:space="0"/>
              <w:right w:val="single" w:color="auto" w:sz="4" w:space="0"/>
            </w:tcBorders>
            <w:shd w:val="clear" w:color="auto" w:fill="auto"/>
            <w:noWrap/>
            <w:vAlign w:val="center"/>
          </w:tcPr>
          <w:p w14:paraId="28FB48E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服务器</w:t>
            </w:r>
          </w:p>
        </w:tc>
        <w:tc>
          <w:tcPr>
            <w:tcW w:w="1140" w:type="pct"/>
            <w:tcBorders>
              <w:top w:val="nil"/>
              <w:left w:val="nil"/>
              <w:bottom w:val="single" w:color="auto" w:sz="4" w:space="0"/>
              <w:right w:val="single" w:color="auto" w:sz="4" w:space="0"/>
            </w:tcBorders>
            <w:shd w:val="clear" w:color="auto" w:fill="auto"/>
            <w:noWrap/>
            <w:vAlign w:val="center"/>
          </w:tcPr>
          <w:p w14:paraId="1B4522B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IBM</w:t>
            </w:r>
          </w:p>
        </w:tc>
        <w:tc>
          <w:tcPr>
            <w:tcW w:w="1140" w:type="pct"/>
            <w:tcBorders>
              <w:top w:val="nil"/>
              <w:left w:val="nil"/>
              <w:bottom w:val="single" w:color="auto" w:sz="4" w:space="0"/>
              <w:right w:val="single" w:color="auto" w:sz="4" w:space="0"/>
            </w:tcBorders>
            <w:shd w:val="clear" w:color="auto" w:fill="auto"/>
            <w:noWrap/>
            <w:vAlign w:val="center"/>
          </w:tcPr>
          <w:p w14:paraId="329B564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HP</w:t>
            </w:r>
          </w:p>
        </w:tc>
        <w:tc>
          <w:tcPr>
            <w:tcW w:w="1325" w:type="pct"/>
            <w:tcBorders>
              <w:top w:val="nil"/>
              <w:left w:val="nil"/>
              <w:bottom w:val="single" w:color="auto" w:sz="4" w:space="0"/>
              <w:right w:val="single" w:color="auto" w:sz="4" w:space="0"/>
            </w:tcBorders>
            <w:shd w:val="clear" w:color="auto" w:fill="auto"/>
            <w:noWrap/>
            <w:vAlign w:val="center"/>
          </w:tcPr>
          <w:p w14:paraId="506079B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DELL</w:t>
            </w:r>
          </w:p>
        </w:tc>
      </w:tr>
      <w:tr w14:paraId="5B802D48">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8CB04A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14</w:t>
            </w:r>
          </w:p>
        </w:tc>
        <w:tc>
          <w:tcPr>
            <w:tcW w:w="977" w:type="pct"/>
            <w:tcBorders>
              <w:top w:val="nil"/>
              <w:left w:val="nil"/>
              <w:bottom w:val="single" w:color="auto" w:sz="4" w:space="0"/>
              <w:right w:val="single" w:color="auto" w:sz="4" w:space="0"/>
            </w:tcBorders>
            <w:shd w:val="clear" w:color="auto" w:fill="auto"/>
            <w:noWrap/>
            <w:vAlign w:val="center"/>
          </w:tcPr>
          <w:p w14:paraId="1C500AF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工控机</w:t>
            </w:r>
          </w:p>
        </w:tc>
        <w:tc>
          <w:tcPr>
            <w:tcW w:w="1140" w:type="pct"/>
            <w:tcBorders>
              <w:top w:val="nil"/>
              <w:left w:val="nil"/>
              <w:bottom w:val="single" w:color="auto" w:sz="4" w:space="0"/>
              <w:right w:val="single" w:color="auto" w:sz="4" w:space="0"/>
            </w:tcBorders>
            <w:shd w:val="clear" w:color="auto" w:fill="auto"/>
            <w:noWrap/>
            <w:vAlign w:val="center"/>
          </w:tcPr>
          <w:p w14:paraId="723B22D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研祥</w:t>
            </w:r>
          </w:p>
        </w:tc>
        <w:tc>
          <w:tcPr>
            <w:tcW w:w="1140" w:type="pct"/>
            <w:tcBorders>
              <w:top w:val="nil"/>
              <w:left w:val="nil"/>
              <w:bottom w:val="single" w:color="auto" w:sz="4" w:space="0"/>
              <w:right w:val="single" w:color="auto" w:sz="4" w:space="0"/>
            </w:tcBorders>
            <w:shd w:val="clear" w:color="auto" w:fill="auto"/>
            <w:noWrap/>
            <w:vAlign w:val="center"/>
          </w:tcPr>
          <w:p w14:paraId="17595CE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研华</w:t>
            </w:r>
          </w:p>
        </w:tc>
        <w:tc>
          <w:tcPr>
            <w:tcW w:w="1325" w:type="pct"/>
            <w:tcBorders>
              <w:top w:val="nil"/>
              <w:left w:val="nil"/>
              <w:bottom w:val="single" w:color="auto" w:sz="4" w:space="0"/>
              <w:right w:val="single" w:color="auto" w:sz="4" w:space="0"/>
            </w:tcBorders>
            <w:shd w:val="clear" w:color="auto" w:fill="auto"/>
            <w:noWrap/>
            <w:vAlign w:val="center"/>
          </w:tcPr>
          <w:p w14:paraId="597B697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DELL</w:t>
            </w:r>
          </w:p>
        </w:tc>
      </w:tr>
      <w:tr w14:paraId="56AF020C">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E6E292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15</w:t>
            </w:r>
          </w:p>
        </w:tc>
        <w:tc>
          <w:tcPr>
            <w:tcW w:w="977" w:type="pct"/>
            <w:tcBorders>
              <w:top w:val="nil"/>
              <w:left w:val="nil"/>
              <w:bottom w:val="single" w:color="auto" w:sz="4" w:space="0"/>
              <w:right w:val="single" w:color="auto" w:sz="4" w:space="0"/>
            </w:tcBorders>
            <w:shd w:val="clear" w:color="auto" w:fill="auto"/>
            <w:noWrap/>
            <w:vAlign w:val="center"/>
          </w:tcPr>
          <w:p w14:paraId="5B5564B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UPS电源</w:t>
            </w:r>
          </w:p>
        </w:tc>
        <w:tc>
          <w:tcPr>
            <w:tcW w:w="1140" w:type="pct"/>
            <w:tcBorders>
              <w:top w:val="nil"/>
              <w:left w:val="nil"/>
              <w:bottom w:val="single" w:color="auto" w:sz="4" w:space="0"/>
              <w:right w:val="single" w:color="auto" w:sz="4" w:space="0"/>
            </w:tcBorders>
            <w:shd w:val="clear" w:color="auto" w:fill="auto"/>
            <w:noWrap/>
            <w:vAlign w:val="center"/>
          </w:tcPr>
          <w:p w14:paraId="6C31589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山特</w:t>
            </w:r>
          </w:p>
        </w:tc>
        <w:tc>
          <w:tcPr>
            <w:tcW w:w="1140" w:type="pct"/>
            <w:tcBorders>
              <w:top w:val="nil"/>
              <w:left w:val="nil"/>
              <w:bottom w:val="single" w:color="auto" w:sz="4" w:space="0"/>
              <w:right w:val="single" w:color="auto" w:sz="4" w:space="0"/>
            </w:tcBorders>
            <w:shd w:val="clear" w:color="auto" w:fill="auto"/>
            <w:noWrap/>
            <w:vAlign w:val="center"/>
          </w:tcPr>
          <w:p w14:paraId="2BDEC9F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施耐德（Schneider）</w:t>
            </w:r>
          </w:p>
        </w:tc>
        <w:tc>
          <w:tcPr>
            <w:tcW w:w="1325" w:type="pct"/>
            <w:tcBorders>
              <w:top w:val="nil"/>
              <w:left w:val="nil"/>
              <w:bottom w:val="single" w:color="auto" w:sz="4" w:space="0"/>
              <w:right w:val="single" w:color="auto" w:sz="4" w:space="0"/>
            </w:tcBorders>
            <w:shd w:val="clear" w:color="auto" w:fill="auto"/>
            <w:noWrap/>
            <w:vAlign w:val="center"/>
          </w:tcPr>
          <w:p w14:paraId="78EEC56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APC</w:t>
            </w:r>
          </w:p>
        </w:tc>
      </w:tr>
      <w:tr w14:paraId="3EDAAB92">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EB3126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16</w:t>
            </w:r>
          </w:p>
        </w:tc>
        <w:tc>
          <w:tcPr>
            <w:tcW w:w="977" w:type="pct"/>
            <w:tcBorders>
              <w:top w:val="nil"/>
              <w:left w:val="nil"/>
              <w:bottom w:val="single" w:color="auto" w:sz="4" w:space="0"/>
              <w:right w:val="single" w:color="auto" w:sz="4" w:space="0"/>
            </w:tcBorders>
            <w:shd w:val="clear" w:color="auto" w:fill="auto"/>
            <w:noWrap/>
            <w:vAlign w:val="center"/>
          </w:tcPr>
          <w:p w14:paraId="102442B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PLC控制器CPU</w:t>
            </w:r>
          </w:p>
        </w:tc>
        <w:tc>
          <w:tcPr>
            <w:tcW w:w="1140" w:type="pct"/>
            <w:tcBorders>
              <w:top w:val="nil"/>
              <w:left w:val="nil"/>
              <w:bottom w:val="single" w:color="auto" w:sz="4" w:space="0"/>
              <w:right w:val="single" w:color="auto" w:sz="4" w:space="0"/>
            </w:tcBorders>
            <w:shd w:val="clear" w:color="auto" w:fill="auto"/>
            <w:noWrap/>
            <w:vAlign w:val="center"/>
          </w:tcPr>
          <w:p w14:paraId="22557C1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SIEMENS </w:t>
            </w:r>
          </w:p>
        </w:tc>
        <w:tc>
          <w:tcPr>
            <w:tcW w:w="1140" w:type="pct"/>
            <w:tcBorders>
              <w:top w:val="nil"/>
              <w:left w:val="nil"/>
              <w:bottom w:val="single" w:color="auto" w:sz="4" w:space="0"/>
              <w:right w:val="single" w:color="auto" w:sz="4" w:space="0"/>
            </w:tcBorders>
            <w:shd w:val="clear" w:color="auto" w:fill="auto"/>
            <w:noWrap/>
            <w:vAlign w:val="center"/>
          </w:tcPr>
          <w:p w14:paraId="70A1BBC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Rockwell </w:t>
            </w:r>
          </w:p>
        </w:tc>
        <w:tc>
          <w:tcPr>
            <w:tcW w:w="1325" w:type="pct"/>
            <w:tcBorders>
              <w:top w:val="nil"/>
              <w:left w:val="nil"/>
              <w:bottom w:val="single" w:color="auto" w:sz="4" w:space="0"/>
              <w:right w:val="single" w:color="auto" w:sz="4" w:space="0"/>
            </w:tcBorders>
            <w:shd w:val="clear" w:color="auto" w:fill="auto"/>
            <w:noWrap/>
            <w:vAlign w:val="center"/>
          </w:tcPr>
          <w:p w14:paraId="4E4B4F4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w:t>
            </w:r>
          </w:p>
        </w:tc>
      </w:tr>
      <w:tr w14:paraId="54E0EA87">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C61022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17</w:t>
            </w:r>
          </w:p>
        </w:tc>
        <w:tc>
          <w:tcPr>
            <w:tcW w:w="977" w:type="pct"/>
            <w:tcBorders>
              <w:top w:val="nil"/>
              <w:left w:val="nil"/>
              <w:bottom w:val="single" w:color="auto" w:sz="4" w:space="0"/>
              <w:right w:val="single" w:color="auto" w:sz="4" w:space="0"/>
            </w:tcBorders>
            <w:shd w:val="clear" w:color="auto" w:fill="auto"/>
            <w:noWrap/>
            <w:vAlign w:val="center"/>
          </w:tcPr>
          <w:p w14:paraId="72F6F40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IP20输入输出模块</w:t>
            </w:r>
          </w:p>
        </w:tc>
        <w:tc>
          <w:tcPr>
            <w:tcW w:w="1140" w:type="pct"/>
            <w:tcBorders>
              <w:top w:val="nil"/>
              <w:left w:val="nil"/>
              <w:bottom w:val="single" w:color="auto" w:sz="4" w:space="0"/>
              <w:right w:val="single" w:color="auto" w:sz="4" w:space="0"/>
            </w:tcBorders>
            <w:shd w:val="clear" w:color="auto" w:fill="auto"/>
            <w:noWrap/>
            <w:vAlign w:val="center"/>
          </w:tcPr>
          <w:p w14:paraId="1DA044B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140" w:type="pct"/>
            <w:tcBorders>
              <w:top w:val="nil"/>
              <w:left w:val="nil"/>
              <w:bottom w:val="single" w:color="auto" w:sz="4" w:space="0"/>
              <w:right w:val="single" w:color="auto" w:sz="4" w:space="0"/>
            </w:tcBorders>
            <w:shd w:val="clear" w:color="auto" w:fill="auto"/>
            <w:noWrap/>
            <w:vAlign w:val="center"/>
          </w:tcPr>
          <w:p w14:paraId="176A187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c>
          <w:tcPr>
            <w:tcW w:w="1325" w:type="pct"/>
            <w:tcBorders>
              <w:top w:val="nil"/>
              <w:left w:val="nil"/>
              <w:bottom w:val="single" w:color="auto" w:sz="4" w:space="0"/>
              <w:right w:val="single" w:color="auto" w:sz="4" w:space="0"/>
            </w:tcBorders>
            <w:shd w:val="clear" w:color="auto" w:fill="auto"/>
            <w:noWrap/>
            <w:vAlign w:val="center"/>
          </w:tcPr>
          <w:p w14:paraId="058D323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w:t>
            </w:r>
          </w:p>
        </w:tc>
      </w:tr>
      <w:tr w14:paraId="31E3599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A3D4A3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18</w:t>
            </w:r>
          </w:p>
        </w:tc>
        <w:tc>
          <w:tcPr>
            <w:tcW w:w="977" w:type="pct"/>
            <w:tcBorders>
              <w:top w:val="nil"/>
              <w:left w:val="nil"/>
              <w:bottom w:val="single" w:color="auto" w:sz="4" w:space="0"/>
              <w:right w:val="single" w:color="auto" w:sz="4" w:space="0"/>
            </w:tcBorders>
            <w:shd w:val="clear" w:color="auto" w:fill="auto"/>
            <w:noWrap/>
            <w:vAlign w:val="center"/>
          </w:tcPr>
          <w:p w14:paraId="3EB2114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IP67输入输出模块</w:t>
            </w:r>
          </w:p>
        </w:tc>
        <w:tc>
          <w:tcPr>
            <w:tcW w:w="1140" w:type="pct"/>
            <w:tcBorders>
              <w:top w:val="nil"/>
              <w:left w:val="nil"/>
              <w:bottom w:val="single" w:color="auto" w:sz="4" w:space="0"/>
              <w:right w:val="single" w:color="auto" w:sz="4" w:space="0"/>
            </w:tcBorders>
            <w:shd w:val="clear" w:color="auto" w:fill="auto"/>
            <w:noWrap/>
            <w:vAlign w:val="center"/>
          </w:tcPr>
          <w:p w14:paraId="70BF5C4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140" w:type="pct"/>
            <w:tcBorders>
              <w:top w:val="nil"/>
              <w:left w:val="nil"/>
              <w:bottom w:val="single" w:color="auto" w:sz="4" w:space="0"/>
              <w:right w:val="single" w:color="auto" w:sz="4" w:space="0"/>
            </w:tcBorders>
            <w:shd w:val="clear" w:color="auto" w:fill="auto"/>
            <w:noWrap/>
            <w:vAlign w:val="center"/>
          </w:tcPr>
          <w:p w14:paraId="57C8474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c>
          <w:tcPr>
            <w:tcW w:w="1325" w:type="pct"/>
            <w:tcBorders>
              <w:top w:val="nil"/>
              <w:left w:val="nil"/>
              <w:bottom w:val="single" w:color="auto" w:sz="4" w:space="0"/>
              <w:right w:val="single" w:color="auto" w:sz="4" w:space="0"/>
            </w:tcBorders>
            <w:shd w:val="clear" w:color="auto" w:fill="auto"/>
            <w:noWrap/>
            <w:vAlign w:val="center"/>
          </w:tcPr>
          <w:p w14:paraId="0BFAE1B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w:t>
            </w:r>
          </w:p>
        </w:tc>
      </w:tr>
      <w:tr w14:paraId="76F4DE4B">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82E7A9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19</w:t>
            </w:r>
          </w:p>
        </w:tc>
        <w:tc>
          <w:tcPr>
            <w:tcW w:w="977" w:type="pct"/>
            <w:tcBorders>
              <w:top w:val="nil"/>
              <w:left w:val="nil"/>
              <w:bottom w:val="single" w:color="auto" w:sz="4" w:space="0"/>
              <w:right w:val="single" w:color="auto" w:sz="4" w:space="0"/>
            </w:tcBorders>
            <w:shd w:val="clear" w:color="auto" w:fill="auto"/>
            <w:noWrap/>
            <w:vAlign w:val="center"/>
          </w:tcPr>
          <w:p w14:paraId="3C669B7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电源模块</w:t>
            </w:r>
          </w:p>
        </w:tc>
        <w:tc>
          <w:tcPr>
            <w:tcW w:w="1140" w:type="pct"/>
            <w:tcBorders>
              <w:top w:val="nil"/>
              <w:left w:val="nil"/>
              <w:bottom w:val="single" w:color="auto" w:sz="4" w:space="0"/>
              <w:right w:val="single" w:color="auto" w:sz="4" w:space="0"/>
            </w:tcBorders>
            <w:shd w:val="clear" w:color="auto" w:fill="auto"/>
            <w:noWrap/>
            <w:vAlign w:val="center"/>
          </w:tcPr>
          <w:p w14:paraId="635C324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140" w:type="pct"/>
            <w:tcBorders>
              <w:top w:val="nil"/>
              <w:left w:val="nil"/>
              <w:bottom w:val="single" w:color="auto" w:sz="4" w:space="0"/>
              <w:right w:val="single" w:color="auto" w:sz="4" w:space="0"/>
            </w:tcBorders>
            <w:shd w:val="clear" w:color="auto" w:fill="auto"/>
            <w:noWrap/>
            <w:vAlign w:val="center"/>
          </w:tcPr>
          <w:p w14:paraId="36870B7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c>
          <w:tcPr>
            <w:tcW w:w="1325" w:type="pct"/>
            <w:tcBorders>
              <w:top w:val="nil"/>
              <w:left w:val="nil"/>
              <w:bottom w:val="single" w:color="auto" w:sz="4" w:space="0"/>
              <w:right w:val="single" w:color="auto" w:sz="4" w:space="0"/>
            </w:tcBorders>
            <w:shd w:val="clear" w:color="auto" w:fill="auto"/>
            <w:noWrap/>
            <w:vAlign w:val="center"/>
          </w:tcPr>
          <w:p w14:paraId="76F5AC6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w:t>
            </w:r>
          </w:p>
        </w:tc>
      </w:tr>
      <w:tr w14:paraId="611A3D52">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4D7F44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20</w:t>
            </w:r>
          </w:p>
        </w:tc>
        <w:tc>
          <w:tcPr>
            <w:tcW w:w="977" w:type="pct"/>
            <w:tcBorders>
              <w:top w:val="nil"/>
              <w:left w:val="nil"/>
              <w:bottom w:val="single" w:color="auto" w:sz="4" w:space="0"/>
              <w:right w:val="single" w:color="auto" w:sz="4" w:space="0"/>
            </w:tcBorders>
            <w:shd w:val="clear" w:color="auto" w:fill="auto"/>
            <w:noWrap/>
            <w:vAlign w:val="center"/>
          </w:tcPr>
          <w:p w14:paraId="6919775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交换机</w:t>
            </w:r>
          </w:p>
        </w:tc>
        <w:tc>
          <w:tcPr>
            <w:tcW w:w="1140" w:type="pct"/>
            <w:tcBorders>
              <w:top w:val="nil"/>
              <w:left w:val="nil"/>
              <w:bottom w:val="single" w:color="auto" w:sz="4" w:space="0"/>
              <w:right w:val="single" w:color="auto" w:sz="4" w:space="0"/>
            </w:tcBorders>
            <w:shd w:val="clear" w:color="auto" w:fill="auto"/>
            <w:noWrap/>
            <w:vAlign w:val="center"/>
          </w:tcPr>
          <w:p w14:paraId="1A60B86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140" w:type="pct"/>
            <w:tcBorders>
              <w:top w:val="nil"/>
              <w:left w:val="nil"/>
              <w:bottom w:val="single" w:color="auto" w:sz="4" w:space="0"/>
              <w:right w:val="single" w:color="auto" w:sz="4" w:space="0"/>
            </w:tcBorders>
            <w:shd w:val="clear" w:color="auto" w:fill="auto"/>
            <w:noWrap/>
            <w:vAlign w:val="center"/>
          </w:tcPr>
          <w:p w14:paraId="08604B6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c>
          <w:tcPr>
            <w:tcW w:w="1325" w:type="pct"/>
            <w:tcBorders>
              <w:top w:val="nil"/>
              <w:left w:val="nil"/>
              <w:bottom w:val="single" w:color="auto" w:sz="4" w:space="0"/>
              <w:right w:val="single" w:color="auto" w:sz="4" w:space="0"/>
            </w:tcBorders>
            <w:shd w:val="clear" w:color="auto" w:fill="auto"/>
            <w:noWrap/>
            <w:vAlign w:val="center"/>
          </w:tcPr>
          <w:p w14:paraId="54AC48E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PHOENIX</w:t>
            </w:r>
          </w:p>
        </w:tc>
      </w:tr>
      <w:tr w14:paraId="2558F0EE">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AF69D7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21</w:t>
            </w:r>
          </w:p>
        </w:tc>
        <w:tc>
          <w:tcPr>
            <w:tcW w:w="977" w:type="pct"/>
            <w:tcBorders>
              <w:top w:val="nil"/>
              <w:left w:val="nil"/>
              <w:bottom w:val="single" w:color="auto" w:sz="4" w:space="0"/>
              <w:right w:val="single" w:color="auto" w:sz="4" w:space="0"/>
            </w:tcBorders>
            <w:shd w:val="clear" w:color="auto" w:fill="auto"/>
            <w:noWrap/>
            <w:vAlign w:val="center"/>
          </w:tcPr>
          <w:p w14:paraId="1ACA6FE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以太网电缆</w:t>
            </w:r>
          </w:p>
        </w:tc>
        <w:tc>
          <w:tcPr>
            <w:tcW w:w="1140" w:type="pct"/>
            <w:tcBorders>
              <w:top w:val="nil"/>
              <w:left w:val="nil"/>
              <w:bottom w:val="single" w:color="auto" w:sz="4" w:space="0"/>
              <w:right w:val="single" w:color="auto" w:sz="4" w:space="0"/>
            </w:tcBorders>
            <w:shd w:val="clear" w:color="auto" w:fill="auto"/>
            <w:noWrap/>
            <w:vAlign w:val="center"/>
          </w:tcPr>
          <w:p w14:paraId="30C3272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140" w:type="pct"/>
            <w:tcBorders>
              <w:top w:val="nil"/>
              <w:left w:val="nil"/>
              <w:bottom w:val="single" w:color="auto" w:sz="4" w:space="0"/>
              <w:right w:val="single" w:color="auto" w:sz="4" w:space="0"/>
            </w:tcBorders>
            <w:shd w:val="clear" w:color="auto" w:fill="auto"/>
            <w:noWrap/>
            <w:vAlign w:val="center"/>
          </w:tcPr>
          <w:p w14:paraId="29E4D17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PHOENIX （菲尼克斯）</w:t>
            </w:r>
          </w:p>
        </w:tc>
        <w:tc>
          <w:tcPr>
            <w:tcW w:w="1325" w:type="pct"/>
            <w:tcBorders>
              <w:top w:val="nil"/>
              <w:left w:val="nil"/>
              <w:bottom w:val="single" w:color="auto" w:sz="4" w:space="0"/>
              <w:right w:val="single" w:color="auto" w:sz="4" w:space="0"/>
            </w:tcBorders>
            <w:shd w:val="clear" w:color="auto" w:fill="auto"/>
            <w:noWrap/>
            <w:vAlign w:val="center"/>
          </w:tcPr>
          <w:p w14:paraId="5880E90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GSEE（吉诺）</w:t>
            </w:r>
          </w:p>
        </w:tc>
      </w:tr>
      <w:tr w14:paraId="3FCB1AF1">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BB596C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22</w:t>
            </w:r>
          </w:p>
        </w:tc>
        <w:tc>
          <w:tcPr>
            <w:tcW w:w="977" w:type="pct"/>
            <w:tcBorders>
              <w:top w:val="nil"/>
              <w:left w:val="nil"/>
              <w:bottom w:val="single" w:color="auto" w:sz="4" w:space="0"/>
              <w:right w:val="single" w:color="auto" w:sz="4" w:space="0"/>
            </w:tcBorders>
            <w:shd w:val="clear" w:color="auto" w:fill="auto"/>
            <w:noWrap/>
            <w:vAlign w:val="center"/>
          </w:tcPr>
          <w:p w14:paraId="7C287E1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光纤电缆</w:t>
            </w:r>
          </w:p>
        </w:tc>
        <w:tc>
          <w:tcPr>
            <w:tcW w:w="1140" w:type="pct"/>
            <w:tcBorders>
              <w:top w:val="nil"/>
              <w:left w:val="nil"/>
              <w:bottom w:val="single" w:color="auto" w:sz="4" w:space="0"/>
              <w:right w:val="single" w:color="auto" w:sz="4" w:space="0"/>
            </w:tcBorders>
            <w:shd w:val="clear" w:color="auto" w:fill="auto"/>
            <w:noWrap/>
            <w:vAlign w:val="center"/>
          </w:tcPr>
          <w:p w14:paraId="60B81E2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140" w:type="pct"/>
            <w:tcBorders>
              <w:top w:val="nil"/>
              <w:left w:val="nil"/>
              <w:bottom w:val="single" w:color="auto" w:sz="4" w:space="0"/>
              <w:right w:val="single" w:color="auto" w:sz="4" w:space="0"/>
            </w:tcBorders>
            <w:shd w:val="clear" w:color="auto" w:fill="auto"/>
            <w:noWrap/>
            <w:vAlign w:val="center"/>
          </w:tcPr>
          <w:p w14:paraId="3AA5A25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PHOENIX （菲尼克斯）</w:t>
            </w:r>
          </w:p>
        </w:tc>
        <w:tc>
          <w:tcPr>
            <w:tcW w:w="1325" w:type="pct"/>
            <w:tcBorders>
              <w:top w:val="nil"/>
              <w:left w:val="nil"/>
              <w:bottom w:val="single" w:color="auto" w:sz="4" w:space="0"/>
              <w:right w:val="single" w:color="auto" w:sz="4" w:space="0"/>
            </w:tcBorders>
            <w:shd w:val="clear" w:color="auto" w:fill="auto"/>
            <w:noWrap/>
            <w:vAlign w:val="center"/>
          </w:tcPr>
          <w:p w14:paraId="0A04D2F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GSEE（吉诺）</w:t>
            </w:r>
          </w:p>
        </w:tc>
      </w:tr>
      <w:tr w14:paraId="6317A97D">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BAB95F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23</w:t>
            </w:r>
          </w:p>
        </w:tc>
        <w:tc>
          <w:tcPr>
            <w:tcW w:w="977" w:type="pct"/>
            <w:tcBorders>
              <w:top w:val="nil"/>
              <w:left w:val="nil"/>
              <w:bottom w:val="single" w:color="auto" w:sz="4" w:space="0"/>
              <w:right w:val="single" w:color="auto" w:sz="4" w:space="0"/>
            </w:tcBorders>
            <w:shd w:val="clear" w:color="auto" w:fill="auto"/>
            <w:noWrap/>
            <w:vAlign w:val="center"/>
          </w:tcPr>
          <w:p w14:paraId="771A6E4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电柜/转接箱/操作盒</w:t>
            </w:r>
          </w:p>
        </w:tc>
        <w:tc>
          <w:tcPr>
            <w:tcW w:w="1140" w:type="pct"/>
            <w:tcBorders>
              <w:top w:val="nil"/>
              <w:left w:val="nil"/>
              <w:bottom w:val="single" w:color="auto" w:sz="4" w:space="0"/>
              <w:right w:val="single" w:color="auto" w:sz="4" w:space="0"/>
            </w:tcBorders>
            <w:shd w:val="clear" w:color="auto" w:fill="auto"/>
            <w:noWrap/>
            <w:vAlign w:val="center"/>
          </w:tcPr>
          <w:p w14:paraId="1B6DDC4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 HOFFMAN（霍夫曼）</w:t>
            </w:r>
          </w:p>
        </w:tc>
        <w:tc>
          <w:tcPr>
            <w:tcW w:w="1140" w:type="pct"/>
            <w:tcBorders>
              <w:top w:val="nil"/>
              <w:left w:val="nil"/>
              <w:bottom w:val="single" w:color="auto" w:sz="4" w:space="0"/>
              <w:right w:val="single" w:color="auto" w:sz="4" w:space="0"/>
            </w:tcBorders>
            <w:shd w:val="clear" w:color="auto" w:fill="auto"/>
            <w:noWrap/>
            <w:vAlign w:val="center"/>
          </w:tcPr>
          <w:p w14:paraId="4F2F159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 RITTAL（威图） </w:t>
            </w:r>
          </w:p>
        </w:tc>
        <w:tc>
          <w:tcPr>
            <w:tcW w:w="1325" w:type="pct"/>
            <w:tcBorders>
              <w:top w:val="nil"/>
              <w:left w:val="nil"/>
              <w:bottom w:val="single" w:color="auto" w:sz="4" w:space="0"/>
              <w:right w:val="single" w:color="auto" w:sz="4" w:space="0"/>
            </w:tcBorders>
            <w:shd w:val="clear" w:color="auto" w:fill="auto"/>
            <w:noWrap/>
            <w:vAlign w:val="center"/>
          </w:tcPr>
          <w:p w14:paraId="539A7EF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SIEMENS </w:t>
            </w:r>
          </w:p>
        </w:tc>
      </w:tr>
      <w:tr w14:paraId="470AD121">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84055A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24</w:t>
            </w:r>
          </w:p>
        </w:tc>
        <w:tc>
          <w:tcPr>
            <w:tcW w:w="977" w:type="pct"/>
            <w:tcBorders>
              <w:top w:val="nil"/>
              <w:left w:val="nil"/>
              <w:bottom w:val="single" w:color="auto" w:sz="4" w:space="0"/>
              <w:right w:val="single" w:color="auto" w:sz="4" w:space="0"/>
            </w:tcBorders>
            <w:shd w:val="clear" w:color="auto" w:fill="auto"/>
            <w:noWrap/>
            <w:vAlign w:val="center"/>
          </w:tcPr>
          <w:p w14:paraId="7CA3E31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机柜空调</w:t>
            </w:r>
          </w:p>
        </w:tc>
        <w:tc>
          <w:tcPr>
            <w:tcW w:w="1140" w:type="pct"/>
            <w:tcBorders>
              <w:top w:val="nil"/>
              <w:left w:val="nil"/>
              <w:bottom w:val="single" w:color="auto" w:sz="4" w:space="0"/>
              <w:right w:val="single" w:color="auto" w:sz="4" w:space="0"/>
            </w:tcBorders>
            <w:shd w:val="clear" w:color="auto" w:fill="auto"/>
            <w:noWrap/>
            <w:vAlign w:val="center"/>
          </w:tcPr>
          <w:p w14:paraId="4119A35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LABER（雷博）</w:t>
            </w:r>
          </w:p>
        </w:tc>
        <w:tc>
          <w:tcPr>
            <w:tcW w:w="1140" w:type="pct"/>
            <w:tcBorders>
              <w:top w:val="nil"/>
              <w:left w:val="nil"/>
              <w:bottom w:val="single" w:color="auto" w:sz="4" w:space="0"/>
              <w:right w:val="single" w:color="auto" w:sz="4" w:space="0"/>
            </w:tcBorders>
            <w:shd w:val="clear" w:color="auto" w:fill="auto"/>
            <w:noWrap/>
            <w:vAlign w:val="center"/>
          </w:tcPr>
          <w:p w14:paraId="3045F82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 RITTAL（威图） </w:t>
            </w:r>
          </w:p>
        </w:tc>
        <w:tc>
          <w:tcPr>
            <w:tcW w:w="1325" w:type="pct"/>
            <w:tcBorders>
              <w:top w:val="nil"/>
              <w:left w:val="nil"/>
              <w:bottom w:val="single" w:color="auto" w:sz="4" w:space="0"/>
              <w:right w:val="single" w:color="auto" w:sz="4" w:space="0"/>
            </w:tcBorders>
            <w:shd w:val="clear" w:color="auto" w:fill="auto"/>
            <w:noWrap/>
            <w:vAlign w:val="center"/>
          </w:tcPr>
          <w:p w14:paraId="531775C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 xml:space="preserve">SIEMENS </w:t>
            </w:r>
          </w:p>
        </w:tc>
      </w:tr>
      <w:tr w14:paraId="4FBDFA87">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3288DA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25</w:t>
            </w:r>
          </w:p>
        </w:tc>
        <w:tc>
          <w:tcPr>
            <w:tcW w:w="977" w:type="pct"/>
            <w:tcBorders>
              <w:top w:val="nil"/>
              <w:left w:val="nil"/>
              <w:bottom w:val="single" w:color="auto" w:sz="4" w:space="0"/>
              <w:right w:val="single" w:color="auto" w:sz="4" w:space="0"/>
            </w:tcBorders>
            <w:shd w:val="clear" w:color="auto" w:fill="auto"/>
            <w:noWrap/>
            <w:vAlign w:val="center"/>
          </w:tcPr>
          <w:p w14:paraId="3778B15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工位风扇</w:t>
            </w:r>
          </w:p>
        </w:tc>
        <w:tc>
          <w:tcPr>
            <w:tcW w:w="1140" w:type="pct"/>
            <w:tcBorders>
              <w:top w:val="nil"/>
              <w:left w:val="nil"/>
              <w:bottom w:val="single" w:color="auto" w:sz="4" w:space="0"/>
              <w:right w:val="single" w:color="auto" w:sz="4" w:space="0"/>
            </w:tcBorders>
            <w:shd w:val="clear" w:color="auto" w:fill="auto"/>
            <w:noWrap/>
            <w:vAlign w:val="center"/>
          </w:tcPr>
          <w:p w14:paraId="76C1926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TCL电器</w:t>
            </w:r>
          </w:p>
        </w:tc>
        <w:tc>
          <w:tcPr>
            <w:tcW w:w="1140" w:type="pct"/>
            <w:tcBorders>
              <w:top w:val="nil"/>
              <w:left w:val="nil"/>
              <w:bottom w:val="single" w:color="auto" w:sz="4" w:space="0"/>
              <w:right w:val="single" w:color="auto" w:sz="4" w:space="0"/>
            </w:tcBorders>
            <w:shd w:val="clear" w:color="auto" w:fill="auto"/>
            <w:noWrap/>
            <w:vAlign w:val="center"/>
          </w:tcPr>
          <w:p w14:paraId="454BF53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奥克斯AUX</w:t>
            </w:r>
          </w:p>
        </w:tc>
        <w:tc>
          <w:tcPr>
            <w:tcW w:w="1325" w:type="pct"/>
            <w:tcBorders>
              <w:top w:val="nil"/>
              <w:left w:val="nil"/>
              <w:bottom w:val="single" w:color="auto" w:sz="4" w:space="0"/>
              <w:right w:val="single" w:color="auto" w:sz="4" w:space="0"/>
            </w:tcBorders>
            <w:shd w:val="clear" w:color="auto" w:fill="auto"/>
            <w:noWrap/>
            <w:vAlign w:val="center"/>
          </w:tcPr>
          <w:p w14:paraId="7BBD4CA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康佳电器</w:t>
            </w:r>
          </w:p>
        </w:tc>
      </w:tr>
      <w:tr w14:paraId="1F0447CD">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0DE9E1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26</w:t>
            </w:r>
          </w:p>
        </w:tc>
        <w:tc>
          <w:tcPr>
            <w:tcW w:w="977" w:type="pct"/>
            <w:tcBorders>
              <w:top w:val="nil"/>
              <w:left w:val="nil"/>
              <w:bottom w:val="single" w:color="auto" w:sz="4" w:space="0"/>
              <w:right w:val="single" w:color="auto" w:sz="4" w:space="0"/>
            </w:tcBorders>
            <w:shd w:val="clear" w:color="auto" w:fill="auto"/>
            <w:noWrap/>
            <w:vAlign w:val="center"/>
          </w:tcPr>
          <w:p w14:paraId="1BA400A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断路器</w:t>
            </w:r>
          </w:p>
        </w:tc>
        <w:tc>
          <w:tcPr>
            <w:tcW w:w="1140" w:type="pct"/>
            <w:tcBorders>
              <w:top w:val="nil"/>
              <w:left w:val="nil"/>
              <w:bottom w:val="single" w:color="auto" w:sz="4" w:space="0"/>
              <w:right w:val="single" w:color="auto" w:sz="4" w:space="0"/>
            </w:tcBorders>
            <w:shd w:val="clear" w:color="auto" w:fill="auto"/>
            <w:noWrap/>
            <w:vAlign w:val="center"/>
          </w:tcPr>
          <w:p w14:paraId="238B861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6B3790D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2619A21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09B3300A">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32DC8B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27</w:t>
            </w:r>
          </w:p>
        </w:tc>
        <w:tc>
          <w:tcPr>
            <w:tcW w:w="977" w:type="pct"/>
            <w:tcBorders>
              <w:top w:val="nil"/>
              <w:left w:val="nil"/>
              <w:bottom w:val="single" w:color="auto" w:sz="4" w:space="0"/>
              <w:right w:val="single" w:color="auto" w:sz="4" w:space="0"/>
            </w:tcBorders>
            <w:shd w:val="clear" w:color="auto" w:fill="auto"/>
            <w:noWrap/>
            <w:vAlign w:val="center"/>
          </w:tcPr>
          <w:p w14:paraId="49F2E6D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电磁接触器</w:t>
            </w:r>
          </w:p>
        </w:tc>
        <w:tc>
          <w:tcPr>
            <w:tcW w:w="1140" w:type="pct"/>
            <w:tcBorders>
              <w:top w:val="nil"/>
              <w:left w:val="nil"/>
              <w:bottom w:val="single" w:color="auto" w:sz="4" w:space="0"/>
              <w:right w:val="single" w:color="auto" w:sz="4" w:space="0"/>
            </w:tcBorders>
            <w:shd w:val="clear" w:color="auto" w:fill="auto"/>
            <w:noWrap/>
            <w:vAlign w:val="center"/>
          </w:tcPr>
          <w:p w14:paraId="6BC1C56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199831D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6D4CE21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54A7D6E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70C634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28</w:t>
            </w:r>
          </w:p>
        </w:tc>
        <w:tc>
          <w:tcPr>
            <w:tcW w:w="977" w:type="pct"/>
            <w:tcBorders>
              <w:top w:val="nil"/>
              <w:left w:val="nil"/>
              <w:bottom w:val="single" w:color="auto" w:sz="4" w:space="0"/>
              <w:right w:val="single" w:color="auto" w:sz="4" w:space="0"/>
            </w:tcBorders>
            <w:shd w:val="clear" w:color="auto" w:fill="auto"/>
            <w:noWrap/>
            <w:vAlign w:val="center"/>
          </w:tcPr>
          <w:p w14:paraId="1F9CBB1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按钮</w:t>
            </w:r>
          </w:p>
        </w:tc>
        <w:tc>
          <w:tcPr>
            <w:tcW w:w="1140" w:type="pct"/>
            <w:tcBorders>
              <w:top w:val="nil"/>
              <w:left w:val="nil"/>
              <w:bottom w:val="single" w:color="auto" w:sz="4" w:space="0"/>
              <w:right w:val="single" w:color="auto" w:sz="4" w:space="0"/>
            </w:tcBorders>
            <w:shd w:val="clear" w:color="auto" w:fill="auto"/>
            <w:noWrap/>
            <w:vAlign w:val="center"/>
          </w:tcPr>
          <w:p w14:paraId="3B7DA54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627B6E7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3FA777E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66BB5CBF">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141E14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29</w:t>
            </w:r>
          </w:p>
        </w:tc>
        <w:tc>
          <w:tcPr>
            <w:tcW w:w="977" w:type="pct"/>
            <w:tcBorders>
              <w:top w:val="nil"/>
              <w:left w:val="nil"/>
              <w:bottom w:val="single" w:color="auto" w:sz="4" w:space="0"/>
              <w:right w:val="single" w:color="auto" w:sz="4" w:space="0"/>
            </w:tcBorders>
            <w:shd w:val="clear" w:color="auto" w:fill="auto"/>
            <w:noWrap/>
            <w:vAlign w:val="center"/>
          </w:tcPr>
          <w:p w14:paraId="2D5A10A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指示灯</w:t>
            </w:r>
          </w:p>
        </w:tc>
        <w:tc>
          <w:tcPr>
            <w:tcW w:w="1140" w:type="pct"/>
            <w:tcBorders>
              <w:top w:val="nil"/>
              <w:left w:val="nil"/>
              <w:bottom w:val="single" w:color="auto" w:sz="4" w:space="0"/>
              <w:right w:val="single" w:color="auto" w:sz="4" w:space="0"/>
            </w:tcBorders>
            <w:shd w:val="clear" w:color="auto" w:fill="auto"/>
            <w:noWrap/>
            <w:vAlign w:val="center"/>
          </w:tcPr>
          <w:p w14:paraId="53D663B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6A1AD91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3D8A69A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4A49935D">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C93C3B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30</w:t>
            </w:r>
          </w:p>
        </w:tc>
        <w:tc>
          <w:tcPr>
            <w:tcW w:w="977" w:type="pct"/>
            <w:tcBorders>
              <w:top w:val="nil"/>
              <w:left w:val="nil"/>
              <w:bottom w:val="single" w:color="auto" w:sz="4" w:space="0"/>
              <w:right w:val="single" w:color="auto" w:sz="4" w:space="0"/>
            </w:tcBorders>
            <w:shd w:val="clear" w:color="auto" w:fill="auto"/>
            <w:noWrap/>
            <w:vAlign w:val="center"/>
          </w:tcPr>
          <w:p w14:paraId="5B86F79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中间继电器</w:t>
            </w:r>
          </w:p>
        </w:tc>
        <w:tc>
          <w:tcPr>
            <w:tcW w:w="1140" w:type="pct"/>
            <w:tcBorders>
              <w:top w:val="nil"/>
              <w:left w:val="nil"/>
              <w:bottom w:val="single" w:color="auto" w:sz="4" w:space="0"/>
              <w:right w:val="single" w:color="auto" w:sz="4" w:space="0"/>
            </w:tcBorders>
            <w:shd w:val="clear" w:color="auto" w:fill="auto"/>
            <w:noWrap/>
            <w:vAlign w:val="center"/>
          </w:tcPr>
          <w:p w14:paraId="76DF15C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22A4595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53E9AA8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26271856">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BA76CB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31</w:t>
            </w:r>
          </w:p>
        </w:tc>
        <w:tc>
          <w:tcPr>
            <w:tcW w:w="977" w:type="pct"/>
            <w:tcBorders>
              <w:top w:val="nil"/>
              <w:left w:val="nil"/>
              <w:bottom w:val="single" w:color="auto" w:sz="4" w:space="0"/>
              <w:right w:val="single" w:color="auto" w:sz="4" w:space="0"/>
            </w:tcBorders>
            <w:shd w:val="clear" w:color="auto" w:fill="auto"/>
            <w:noWrap/>
            <w:vAlign w:val="center"/>
          </w:tcPr>
          <w:p w14:paraId="4A7E6A6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带灯按钮</w:t>
            </w:r>
          </w:p>
        </w:tc>
        <w:tc>
          <w:tcPr>
            <w:tcW w:w="1140" w:type="pct"/>
            <w:tcBorders>
              <w:top w:val="nil"/>
              <w:left w:val="nil"/>
              <w:bottom w:val="single" w:color="auto" w:sz="4" w:space="0"/>
              <w:right w:val="single" w:color="auto" w:sz="4" w:space="0"/>
            </w:tcBorders>
            <w:shd w:val="clear" w:color="auto" w:fill="auto"/>
            <w:noWrap/>
            <w:vAlign w:val="center"/>
          </w:tcPr>
          <w:p w14:paraId="094740B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40312FE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20FE125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544325F7">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24F009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32</w:t>
            </w:r>
          </w:p>
        </w:tc>
        <w:tc>
          <w:tcPr>
            <w:tcW w:w="977" w:type="pct"/>
            <w:tcBorders>
              <w:top w:val="nil"/>
              <w:left w:val="nil"/>
              <w:bottom w:val="single" w:color="auto" w:sz="4" w:space="0"/>
              <w:right w:val="single" w:color="auto" w:sz="4" w:space="0"/>
            </w:tcBorders>
            <w:shd w:val="clear" w:color="auto" w:fill="auto"/>
            <w:noWrap/>
            <w:vAlign w:val="center"/>
          </w:tcPr>
          <w:p w14:paraId="3782F2C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直流电源</w:t>
            </w:r>
          </w:p>
        </w:tc>
        <w:tc>
          <w:tcPr>
            <w:tcW w:w="1140" w:type="pct"/>
            <w:tcBorders>
              <w:top w:val="nil"/>
              <w:left w:val="nil"/>
              <w:bottom w:val="single" w:color="auto" w:sz="4" w:space="0"/>
              <w:right w:val="single" w:color="auto" w:sz="4" w:space="0"/>
            </w:tcBorders>
            <w:shd w:val="clear" w:color="auto" w:fill="auto"/>
            <w:noWrap/>
            <w:vAlign w:val="center"/>
          </w:tcPr>
          <w:p w14:paraId="38C6E8A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PHOENIX （菲尼克斯）</w:t>
            </w:r>
          </w:p>
        </w:tc>
        <w:tc>
          <w:tcPr>
            <w:tcW w:w="1140" w:type="pct"/>
            <w:tcBorders>
              <w:top w:val="nil"/>
              <w:left w:val="nil"/>
              <w:bottom w:val="single" w:color="auto" w:sz="4" w:space="0"/>
              <w:right w:val="single" w:color="auto" w:sz="4" w:space="0"/>
            </w:tcBorders>
            <w:shd w:val="clear" w:color="auto" w:fill="auto"/>
            <w:noWrap/>
            <w:vAlign w:val="center"/>
          </w:tcPr>
          <w:p w14:paraId="5CD46C3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044A12B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41FE4879">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2874A2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33</w:t>
            </w:r>
          </w:p>
        </w:tc>
        <w:tc>
          <w:tcPr>
            <w:tcW w:w="977" w:type="pct"/>
            <w:tcBorders>
              <w:top w:val="nil"/>
              <w:left w:val="nil"/>
              <w:bottom w:val="single" w:color="auto" w:sz="4" w:space="0"/>
              <w:right w:val="single" w:color="auto" w:sz="4" w:space="0"/>
            </w:tcBorders>
            <w:shd w:val="clear" w:color="auto" w:fill="auto"/>
            <w:noWrap/>
            <w:vAlign w:val="center"/>
          </w:tcPr>
          <w:p w14:paraId="363A649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接线端子</w:t>
            </w:r>
          </w:p>
        </w:tc>
        <w:tc>
          <w:tcPr>
            <w:tcW w:w="1140" w:type="pct"/>
            <w:tcBorders>
              <w:top w:val="nil"/>
              <w:left w:val="nil"/>
              <w:bottom w:val="single" w:color="auto" w:sz="4" w:space="0"/>
              <w:right w:val="single" w:color="auto" w:sz="4" w:space="0"/>
            </w:tcBorders>
            <w:shd w:val="clear" w:color="auto" w:fill="auto"/>
            <w:noWrap/>
            <w:vAlign w:val="center"/>
          </w:tcPr>
          <w:p w14:paraId="358169C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PHOENIX （菲尼克斯）</w:t>
            </w:r>
          </w:p>
        </w:tc>
        <w:tc>
          <w:tcPr>
            <w:tcW w:w="1140" w:type="pct"/>
            <w:tcBorders>
              <w:top w:val="nil"/>
              <w:left w:val="nil"/>
              <w:bottom w:val="single" w:color="auto" w:sz="4" w:space="0"/>
              <w:right w:val="single" w:color="auto" w:sz="4" w:space="0"/>
            </w:tcBorders>
            <w:shd w:val="clear" w:color="auto" w:fill="auto"/>
            <w:noWrap/>
            <w:vAlign w:val="center"/>
          </w:tcPr>
          <w:p w14:paraId="3AFB6C6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WAGO</w:t>
            </w:r>
          </w:p>
        </w:tc>
        <w:tc>
          <w:tcPr>
            <w:tcW w:w="1325" w:type="pct"/>
            <w:tcBorders>
              <w:top w:val="nil"/>
              <w:left w:val="nil"/>
              <w:bottom w:val="single" w:color="auto" w:sz="4" w:space="0"/>
              <w:right w:val="single" w:color="auto" w:sz="4" w:space="0"/>
            </w:tcBorders>
            <w:shd w:val="clear" w:color="auto" w:fill="auto"/>
            <w:noWrap/>
            <w:vAlign w:val="center"/>
          </w:tcPr>
          <w:p w14:paraId="6939364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魏德米勒</w:t>
            </w:r>
          </w:p>
        </w:tc>
      </w:tr>
      <w:tr w14:paraId="50B2EDF2">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D81EBA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34</w:t>
            </w:r>
          </w:p>
        </w:tc>
        <w:tc>
          <w:tcPr>
            <w:tcW w:w="977" w:type="pct"/>
            <w:tcBorders>
              <w:top w:val="nil"/>
              <w:left w:val="nil"/>
              <w:bottom w:val="single" w:color="auto" w:sz="4" w:space="0"/>
              <w:right w:val="single" w:color="auto" w:sz="4" w:space="0"/>
            </w:tcBorders>
            <w:shd w:val="clear" w:color="auto" w:fill="auto"/>
            <w:noWrap/>
            <w:vAlign w:val="center"/>
          </w:tcPr>
          <w:p w14:paraId="5783B9B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直流断路器</w:t>
            </w:r>
          </w:p>
        </w:tc>
        <w:tc>
          <w:tcPr>
            <w:tcW w:w="1140" w:type="pct"/>
            <w:tcBorders>
              <w:top w:val="nil"/>
              <w:left w:val="nil"/>
              <w:bottom w:val="single" w:color="auto" w:sz="4" w:space="0"/>
              <w:right w:val="single" w:color="auto" w:sz="4" w:space="0"/>
            </w:tcBorders>
            <w:shd w:val="clear" w:color="auto" w:fill="auto"/>
            <w:noWrap/>
            <w:vAlign w:val="center"/>
          </w:tcPr>
          <w:p w14:paraId="1C6AB56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murr （穆尔）</w:t>
            </w:r>
          </w:p>
        </w:tc>
        <w:tc>
          <w:tcPr>
            <w:tcW w:w="1140" w:type="pct"/>
            <w:tcBorders>
              <w:top w:val="nil"/>
              <w:left w:val="nil"/>
              <w:bottom w:val="single" w:color="auto" w:sz="4" w:space="0"/>
              <w:right w:val="single" w:color="auto" w:sz="4" w:space="0"/>
            </w:tcBorders>
            <w:shd w:val="clear" w:color="auto" w:fill="auto"/>
            <w:noWrap/>
            <w:vAlign w:val="center"/>
          </w:tcPr>
          <w:p w14:paraId="1E17551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6A8F1E9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r>
      <w:tr w14:paraId="7B7782D6">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3E98621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35</w:t>
            </w:r>
          </w:p>
        </w:tc>
        <w:tc>
          <w:tcPr>
            <w:tcW w:w="977" w:type="pct"/>
            <w:tcBorders>
              <w:top w:val="nil"/>
              <w:left w:val="nil"/>
              <w:bottom w:val="single" w:color="auto" w:sz="4" w:space="0"/>
              <w:right w:val="single" w:color="auto" w:sz="4" w:space="0"/>
            </w:tcBorders>
            <w:shd w:val="clear" w:color="auto" w:fill="auto"/>
            <w:noWrap/>
            <w:vAlign w:val="center"/>
          </w:tcPr>
          <w:p w14:paraId="7D6D99F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能源计量表</w:t>
            </w:r>
          </w:p>
        </w:tc>
        <w:tc>
          <w:tcPr>
            <w:tcW w:w="1140" w:type="pct"/>
            <w:tcBorders>
              <w:top w:val="nil"/>
              <w:left w:val="nil"/>
              <w:bottom w:val="single" w:color="auto" w:sz="4" w:space="0"/>
              <w:right w:val="single" w:color="auto" w:sz="4" w:space="0"/>
            </w:tcBorders>
            <w:shd w:val="clear" w:color="auto" w:fill="auto"/>
            <w:noWrap/>
            <w:vAlign w:val="center"/>
          </w:tcPr>
          <w:p w14:paraId="1517A4D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c>
          <w:tcPr>
            <w:tcW w:w="1140" w:type="pct"/>
            <w:tcBorders>
              <w:top w:val="nil"/>
              <w:left w:val="nil"/>
              <w:bottom w:val="single" w:color="auto" w:sz="4" w:space="0"/>
              <w:right w:val="single" w:color="auto" w:sz="4" w:space="0"/>
            </w:tcBorders>
            <w:shd w:val="clear" w:color="auto" w:fill="auto"/>
            <w:noWrap/>
            <w:vAlign w:val="center"/>
          </w:tcPr>
          <w:p w14:paraId="7566458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7497BF3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ABB</w:t>
            </w:r>
          </w:p>
        </w:tc>
      </w:tr>
      <w:tr w14:paraId="1560CD9F">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E322F6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36</w:t>
            </w:r>
          </w:p>
        </w:tc>
        <w:tc>
          <w:tcPr>
            <w:tcW w:w="977" w:type="pct"/>
            <w:tcBorders>
              <w:top w:val="nil"/>
              <w:left w:val="nil"/>
              <w:bottom w:val="single" w:color="auto" w:sz="4" w:space="0"/>
              <w:right w:val="single" w:color="auto" w:sz="4" w:space="0"/>
            </w:tcBorders>
            <w:shd w:val="clear" w:color="auto" w:fill="auto"/>
            <w:noWrap/>
            <w:vAlign w:val="center"/>
          </w:tcPr>
          <w:p w14:paraId="09C1544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柱灯</w:t>
            </w:r>
          </w:p>
        </w:tc>
        <w:tc>
          <w:tcPr>
            <w:tcW w:w="1140" w:type="pct"/>
            <w:tcBorders>
              <w:top w:val="nil"/>
              <w:left w:val="nil"/>
              <w:bottom w:val="single" w:color="auto" w:sz="4" w:space="0"/>
              <w:right w:val="single" w:color="auto" w:sz="4" w:space="0"/>
            </w:tcBorders>
            <w:shd w:val="clear" w:color="auto" w:fill="auto"/>
            <w:noWrap/>
            <w:vAlign w:val="center"/>
          </w:tcPr>
          <w:p w14:paraId="67B9935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0DA2AB0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6B6354A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39E24376">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7474377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37</w:t>
            </w:r>
          </w:p>
        </w:tc>
        <w:tc>
          <w:tcPr>
            <w:tcW w:w="977" w:type="pct"/>
            <w:tcBorders>
              <w:top w:val="nil"/>
              <w:left w:val="nil"/>
              <w:bottom w:val="single" w:color="auto" w:sz="4" w:space="0"/>
              <w:right w:val="single" w:color="auto" w:sz="4" w:space="0"/>
            </w:tcBorders>
            <w:shd w:val="clear" w:color="auto" w:fill="auto"/>
            <w:noWrap/>
            <w:vAlign w:val="center"/>
          </w:tcPr>
          <w:p w14:paraId="079EC63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急停按钮</w:t>
            </w:r>
          </w:p>
        </w:tc>
        <w:tc>
          <w:tcPr>
            <w:tcW w:w="1140" w:type="pct"/>
            <w:tcBorders>
              <w:top w:val="nil"/>
              <w:left w:val="nil"/>
              <w:bottom w:val="single" w:color="auto" w:sz="4" w:space="0"/>
              <w:right w:val="single" w:color="auto" w:sz="4" w:space="0"/>
            </w:tcBorders>
            <w:shd w:val="clear" w:color="auto" w:fill="auto"/>
            <w:noWrap/>
            <w:vAlign w:val="center"/>
          </w:tcPr>
          <w:p w14:paraId="4ACDE33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6F1137E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0436A77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6DEA3B43">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83822F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38</w:t>
            </w:r>
          </w:p>
        </w:tc>
        <w:tc>
          <w:tcPr>
            <w:tcW w:w="977" w:type="pct"/>
            <w:tcBorders>
              <w:top w:val="nil"/>
              <w:left w:val="nil"/>
              <w:bottom w:val="single" w:color="auto" w:sz="4" w:space="0"/>
              <w:right w:val="single" w:color="auto" w:sz="4" w:space="0"/>
            </w:tcBorders>
            <w:shd w:val="clear" w:color="auto" w:fill="auto"/>
            <w:noWrap/>
            <w:vAlign w:val="center"/>
          </w:tcPr>
          <w:p w14:paraId="0691836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浪涌保护器</w:t>
            </w:r>
          </w:p>
        </w:tc>
        <w:tc>
          <w:tcPr>
            <w:tcW w:w="1140" w:type="pct"/>
            <w:tcBorders>
              <w:top w:val="nil"/>
              <w:left w:val="nil"/>
              <w:bottom w:val="single" w:color="auto" w:sz="4" w:space="0"/>
              <w:right w:val="single" w:color="auto" w:sz="4" w:space="0"/>
            </w:tcBorders>
            <w:shd w:val="clear" w:color="auto" w:fill="auto"/>
            <w:noWrap/>
            <w:vAlign w:val="center"/>
          </w:tcPr>
          <w:p w14:paraId="6C1B5EE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c>
          <w:tcPr>
            <w:tcW w:w="1140" w:type="pct"/>
            <w:tcBorders>
              <w:top w:val="nil"/>
              <w:left w:val="nil"/>
              <w:bottom w:val="single" w:color="auto" w:sz="4" w:space="0"/>
              <w:right w:val="single" w:color="auto" w:sz="4" w:space="0"/>
            </w:tcBorders>
            <w:shd w:val="clear" w:color="auto" w:fill="auto"/>
            <w:noWrap/>
            <w:vAlign w:val="center"/>
          </w:tcPr>
          <w:p w14:paraId="62779FB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61964B5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欧姆龙</w:t>
            </w:r>
          </w:p>
        </w:tc>
      </w:tr>
      <w:tr w14:paraId="79C9CC7A">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5B6845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39</w:t>
            </w:r>
          </w:p>
        </w:tc>
        <w:tc>
          <w:tcPr>
            <w:tcW w:w="977" w:type="pct"/>
            <w:tcBorders>
              <w:top w:val="nil"/>
              <w:left w:val="nil"/>
              <w:bottom w:val="single" w:color="auto" w:sz="4" w:space="0"/>
              <w:right w:val="single" w:color="auto" w:sz="4" w:space="0"/>
            </w:tcBorders>
            <w:shd w:val="clear" w:color="auto" w:fill="auto"/>
            <w:noWrap/>
            <w:vAlign w:val="center"/>
          </w:tcPr>
          <w:p w14:paraId="2EB2AA5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主电柜断路器</w:t>
            </w:r>
          </w:p>
        </w:tc>
        <w:tc>
          <w:tcPr>
            <w:tcW w:w="1140" w:type="pct"/>
            <w:tcBorders>
              <w:top w:val="nil"/>
              <w:left w:val="nil"/>
              <w:bottom w:val="single" w:color="auto" w:sz="4" w:space="0"/>
              <w:right w:val="single" w:color="auto" w:sz="4" w:space="0"/>
            </w:tcBorders>
            <w:shd w:val="clear" w:color="auto" w:fill="auto"/>
            <w:noWrap/>
            <w:vAlign w:val="center"/>
          </w:tcPr>
          <w:p w14:paraId="14B5DC6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EATON（伊顿）</w:t>
            </w:r>
          </w:p>
        </w:tc>
        <w:tc>
          <w:tcPr>
            <w:tcW w:w="1140" w:type="pct"/>
            <w:tcBorders>
              <w:top w:val="nil"/>
              <w:left w:val="nil"/>
              <w:bottom w:val="single" w:color="auto" w:sz="4" w:space="0"/>
              <w:right w:val="single" w:color="auto" w:sz="4" w:space="0"/>
            </w:tcBorders>
            <w:shd w:val="clear" w:color="auto" w:fill="auto"/>
            <w:noWrap/>
            <w:vAlign w:val="center"/>
          </w:tcPr>
          <w:p w14:paraId="61138AB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36B541E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SCHNEIDER（施耐德）</w:t>
            </w:r>
          </w:p>
        </w:tc>
      </w:tr>
      <w:tr w14:paraId="19878E8C">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70B484B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40</w:t>
            </w:r>
          </w:p>
        </w:tc>
        <w:tc>
          <w:tcPr>
            <w:tcW w:w="977" w:type="pct"/>
            <w:tcBorders>
              <w:top w:val="nil"/>
              <w:left w:val="nil"/>
              <w:bottom w:val="single" w:color="auto" w:sz="4" w:space="0"/>
              <w:right w:val="single" w:color="auto" w:sz="4" w:space="0"/>
            </w:tcBorders>
            <w:shd w:val="clear" w:color="auto" w:fill="auto"/>
            <w:noWrap/>
            <w:vAlign w:val="center"/>
          </w:tcPr>
          <w:p w14:paraId="42F84BA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传感器线</w:t>
            </w:r>
          </w:p>
        </w:tc>
        <w:tc>
          <w:tcPr>
            <w:tcW w:w="1140" w:type="pct"/>
            <w:tcBorders>
              <w:top w:val="nil"/>
              <w:left w:val="nil"/>
              <w:bottom w:val="single" w:color="auto" w:sz="4" w:space="0"/>
              <w:right w:val="single" w:color="auto" w:sz="4" w:space="0"/>
            </w:tcBorders>
            <w:shd w:val="clear" w:color="auto" w:fill="auto"/>
            <w:noWrap/>
            <w:vAlign w:val="center"/>
          </w:tcPr>
          <w:p w14:paraId="12E62F4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P+F（倍加福）</w:t>
            </w:r>
          </w:p>
        </w:tc>
        <w:tc>
          <w:tcPr>
            <w:tcW w:w="1140" w:type="pct"/>
            <w:tcBorders>
              <w:top w:val="nil"/>
              <w:left w:val="nil"/>
              <w:bottom w:val="single" w:color="auto" w:sz="4" w:space="0"/>
              <w:right w:val="single" w:color="auto" w:sz="4" w:space="0"/>
            </w:tcBorders>
            <w:shd w:val="clear" w:color="auto" w:fill="auto"/>
            <w:noWrap/>
            <w:vAlign w:val="center"/>
          </w:tcPr>
          <w:p w14:paraId="5282142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40325D1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IFM（易福门）/宜科</w:t>
            </w:r>
          </w:p>
        </w:tc>
      </w:tr>
      <w:tr w14:paraId="3E4793BE">
        <w:tblPrEx>
          <w:tblCellMar>
            <w:top w:w="0" w:type="dxa"/>
            <w:left w:w="108" w:type="dxa"/>
            <w:bottom w:w="0" w:type="dxa"/>
            <w:right w:w="108" w:type="dxa"/>
          </w:tblCellMar>
        </w:tblPrEx>
        <w:trPr>
          <w:trHeight w:val="66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B47C8D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41</w:t>
            </w:r>
          </w:p>
        </w:tc>
        <w:tc>
          <w:tcPr>
            <w:tcW w:w="977" w:type="pct"/>
            <w:tcBorders>
              <w:top w:val="nil"/>
              <w:left w:val="nil"/>
              <w:bottom w:val="single" w:color="auto" w:sz="4" w:space="0"/>
              <w:right w:val="single" w:color="auto" w:sz="4" w:space="0"/>
            </w:tcBorders>
            <w:shd w:val="clear" w:color="auto" w:fill="auto"/>
            <w:noWrap w:val="0"/>
            <w:vAlign w:val="center"/>
          </w:tcPr>
          <w:p w14:paraId="52B50CA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多芯电缆（控制电缆）、移动电缆</w:t>
            </w:r>
          </w:p>
        </w:tc>
        <w:tc>
          <w:tcPr>
            <w:tcW w:w="1140" w:type="pct"/>
            <w:tcBorders>
              <w:top w:val="nil"/>
              <w:left w:val="nil"/>
              <w:bottom w:val="single" w:color="auto" w:sz="4" w:space="0"/>
              <w:right w:val="single" w:color="auto" w:sz="4" w:space="0"/>
            </w:tcBorders>
            <w:shd w:val="clear" w:color="auto" w:fill="auto"/>
            <w:noWrap/>
            <w:vAlign w:val="center"/>
          </w:tcPr>
          <w:p w14:paraId="3BD7991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Lapp</w:t>
            </w:r>
          </w:p>
        </w:tc>
        <w:tc>
          <w:tcPr>
            <w:tcW w:w="1140" w:type="pct"/>
            <w:tcBorders>
              <w:top w:val="nil"/>
              <w:left w:val="nil"/>
              <w:bottom w:val="single" w:color="auto" w:sz="4" w:space="0"/>
              <w:right w:val="single" w:color="auto" w:sz="4" w:space="0"/>
            </w:tcBorders>
            <w:shd w:val="clear" w:color="auto" w:fill="auto"/>
            <w:noWrap/>
            <w:vAlign w:val="center"/>
          </w:tcPr>
          <w:p w14:paraId="600A9D4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HELUKABEL</w:t>
            </w:r>
          </w:p>
        </w:tc>
        <w:tc>
          <w:tcPr>
            <w:tcW w:w="1325" w:type="pct"/>
            <w:tcBorders>
              <w:top w:val="nil"/>
              <w:left w:val="nil"/>
              <w:bottom w:val="single" w:color="auto" w:sz="4" w:space="0"/>
              <w:right w:val="single" w:color="auto" w:sz="4" w:space="0"/>
            </w:tcBorders>
            <w:shd w:val="clear" w:color="auto" w:fill="auto"/>
            <w:noWrap/>
            <w:vAlign w:val="center"/>
          </w:tcPr>
          <w:p w14:paraId="64DD639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IGUS</w:t>
            </w:r>
          </w:p>
        </w:tc>
      </w:tr>
      <w:tr w14:paraId="1691900E">
        <w:tblPrEx>
          <w:tblCellMar>
            <w:top w:w="0" w:type="dxa"/>
            <w:left w:w="108" w:type="dxa"/>
            <w:bottom w:w="0" w:type="dxa"/>
            <w:right w:w="108" w:type="dxa"/>
          </w:tblCellMar>
        </w:tblPrEx>
        <w:trPr>
          <w:trHeight w:val="66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C0C2A7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42</w:t>
            </w:r>
          </w:p>
        </w:tc>
        <w:tc>
          <w:tcPr>
            <w:tcW w:w="977" w:type="pct"/>
            <w:tcBorders>
              <w:top w:val="nil"/>
              <w:left w:val="nil"/>
              <w:bottom w:val="single" w:color="auto" w:sz="4" w:space="0"/>
              <w:right w:val="single" w:color="auto" w:sz="4" w:space="0"/>
            </w:tcBorders>
            <w:shd w:val="clear" w:color="auto" w:fill="auto"/>
            <w:noWrap w:val="0"/>
            <w:vAlign w:val="center"/>
          </w:tcPr>
          <w:p w14:paraId="61C0AEC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配柜线缆（电源电缆、焊接电缆）</w:t>
            </w:r>
          </w:p>
        </w:tc>
        <w:tc>
          <w:tcPr>
            <w:tcW w:w="1140" w:type="pct"/>
            <w:tcBorders>
              <w:top w:val="nil"/>
              <w:left w:val="nil"/>
              <w:bottom w:val="single" w:color="auto" w:sz="4" w:space="0"/>
              <w:right w:val="single" w:color="auto" w:sz="4" w:space="0"/>
            </w:tcBorders>
            <w:shd w:val="clear" w:color="auto" w:fill="auto"/>
            <w:noWrap/>
            <w:vAlign w:val="center"/>
          </w:tcPr>
          <w:p w14:paraId="393AF61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远东</w:t>
            </w:r>
          </w:p>
        </w:tc>
        <w:tc>
          <w:tcPr>
            <w:tcW w:w="1140" w:type="pct"/>
            <w:tcBorders>
              <w:top w:val="nil"/>
              <w:left w:val="nil"/>
              <w:bottom w:val="single" w:color="auto" w:sz="4" w:space="0"/>
              <w:right w:val="single" w:color="auto" w:sz="4" w:space="0"/>
            </w:tcBorders>
            <w:shd w:val="clear" w:color="auto" w:fill="auto"/>
            <w:noWrap/>
            <w:vAlign w:val="center"/>
          </w:tcPr>
          <w:p w14:paraId="4FDCD76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起帆</w:t>
            </w:r>
          </w:p>
        </w:tc>
        <w:tc>
          <w:tcPr>
            <w:tcW w:w="1325" w:type="pct"/>
            <w:tcBorders>
              <w:top w:val="nil"/>
              <w:left w:val="nil"/>
              <w:bottom w:val="single" w:color="auto" w:sz="4" w:space="0"/>
              <w:right w:val="single" w:color="auto" w:sz="4" w:space="0"/>
            </w:tcBorders>
            <w:shd w:val="clear" w:color="auto" w:fill="auto"/>
            <w:noWrap/>
            <w:vAlign w:val="center"/>
          </w:tcPr>
          <w:p w14:paraId="3D5FDDF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熊猫</w:t>
            </w:r>
          </w:p>
        </w:tc>
      </w:tr>
      <w:tr w14:paraId="382B01FE">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BAB31B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43</w:t>
            </w:r>
          </w:p>
        </w:tc>
        <w:tc>
          <w:tcPr>
            <w:tcW w:w="977" w:type="pct"/>
            <w:tcBorders>
              <w:top w:val="nil"/>
              <w:left w:val="nil"/>
              <w:bottom w:val="single" w:color="auto" w:sz="4" w:space="0"/>
              <w:right w:val="single" w:color="auto" w:sz="4" w:space="0"/>
            </w:tcBorders>
            <w:shd w:val="clear" w:color="auto" w:fill="auto"/>
            <w:noWrap/>
            <w:vAlign w:val="center"/>
          </w:tcPr>
          <w:p w14:paraId="5BA66CE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电机</w:t>
            </w:r>
          </w:p>
        </w:tc>
        <w:tc>
          <w:tcPr>
            <w:tcW w:w="1140" w:type="pct"/>
            <w:tcBorders>
              <w:top w:val="nil"/>
              <w:left w:val="nil"/>
              <w:bottom w:val="single" w:color="auto" w:sz="4" w:space="0"/>
              <w:right w:val="single" w:color="auto" w:sz="4" w:space="0"/>
            </w:tcBorders>
            <w:shd w:val="clear" w:color="auto" w:fill="auto"/>
            <w:noWrap/>
            <w:vAlign w:val="center"/>
          </w:tcPr>
          <w:p w14:paraId="34C1267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140" w:type="pct"/>
            <w:tcBorders>
              <w:top w:val="nil"/>
              <w:left w:val="nil"/>
              <w:bottom w:val="single" w:color="auto" w:sz="4" w:space="0"/>
              <w:right w:val="single" w:color="auto" w:sz="4" w:space="0"/>
            </w:tcBorders>
            <w:shd w:val="clear" w:color="auto" w:fill="auto"/>
            <w:noWrap/>
            <w:vAlign w:val="center"/>
          </w:tcPr>
          <w:p w14:paraId="4D11EA2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34716CB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r>
      <w:tr w14:paraId="692ADB03">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27B50B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44</w:t>
            </w:r>
          </w:p>
        </w:tc>
        <w:tc>
          <w:tcPr>
            <w:tcW w:w="977" w:type="pct"/>
            <w:tcBorders>
              <w:top w:val="nil"/>
              <w:left w:val="nil"/>
              <w:bottom w:val="single" w:color="auto" w:sz="4" w:space="0"/>
              <w:right w:val="single" w:color="auto" w:sz="4" w:space="0"/>
            </w:tcBorders>
            <w:shd w:val="clear" w:color="auto" w:fill="auto"/>
            <w:noWrap/>
            <w:vAlign w:val="center"/>
          </w:tcPr>
          <w:p w14:paraId="1673AFF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减速器</w:t>
            </w:r>
          </w:p>
        </w:tc>
        <w:tc>
          <w:tcPr>
            <w:tcW w:w="1140" w:type="pct"/>
            <w:tcBorders>
              <w:top w:val="nil"/>
              <w:left w:val="nil"/>
              <w:bottom w:val="single" w:color="auto" w:sz="4" w:space="0"/>
              <w:right w:val="single" w:color="auto" w:sz="4" w:space="0"/>
            </w:tcBorders>
            <w:shd w:val="clear" w:color="auto" w:fill="auto"/>
            <w:noWrap/>
            <w:vAlign w:val="center"/>
          </w:tcPr>
          <w:p w14:paraId="73743C2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140" w:type="pct"/>
            <w:tcBorders>
              <w:top w:val="nil"/>
              <w:left w:val="nil"/>
              <w:bottom w:val="single" w:color="auto" w:sz="4" w:space="0"/>
              <w:right w:val="single" w:color="auto" w:sz="4" w:space="0"/>
            </w:tcBorders>
            <w:shd w:val="clear" w:color="auto" w:fill="auto"/>
            <w:noWrap/>
            <w:vAlign w:val="center"/>
          </w:tcPr>
          <w:p w14:paraId="304570C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779B8F6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r>
      <w:tr w14:paraId="64A21C4D">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23D5D6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45</w:t>
            </w:r>
          </w:p>
        </w:tc>
        <w:tc>
          <w:tcPr>
            <w:tcW w:w="977" w:type="pct"/>
            <w:tcBorders>
              <w:top w:val="nil"/>
              <w:left w:val="nil"/>
              <w:bottom w:val="single" w:color="auto" w:sz="4" w:space="0"/>
              <w:right w:val="single" w:color="auto" w:sz="4" w:space="0"/>
            </w:tcBorders>
            <w:shd w:val="clear" w:color="auto" w:fill="auto"/>
            <w:noWrap/>
            <w:vAlign w:val="center"/>
          </w:tcPr>
          <w:p w14:paraId="737AB5D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变频器</w:t>
            </w:r>
          </w:p>
        </w:tc>
        <w:tc>
          <w:tcPr>
            <w:tcW w:w="1140" w:type="pct"/>
            <w:tcBorders>
              <w:top w:val="nil"/>
              <w:left w:val="nil"/>
              <w:bottom w:val="single" w:color="auto" w:sz="4" w:space="0"/>
              <w:right w:val="single" w:color="auto" w:sz="4" w:space="0"/>
            </w:tcBorders>
            <w:shd w:val="clear" w:color="auto" w:fill="auto"/>
            <w:noWrap/>
            <w:vAlign w:val="center"/>
          </w:tcPr>
          <w:p w14:paraId="54FB101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140" w:type="pct"/>
            <w:tcBorders>
              <w:top w:val="nil"/>
              <w:left w:val="nil"/>
              <w:bottom w:val="single" w:color="auto" w:sz="4" w:space="0"/>
              <w:right w:val="single" w:color="auto" w:sz="4" w:space="0"/>
            </w:tcBorders>
            <w:shd w:val="clear" w:color="auto" w:fill="auto"/>
            <w:noWrap/>
            <w:vAlign w:val="center"/>
          </w:tcPr>
          <w:p w14:paraId="48D85FA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03A8C6B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r>
      <w:tr w14:paraId="7F0A2206">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C2FAC1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46</w:t>
            </w:r>
          </w:p>
        </w:tc>
        <w:tc>
          <w:tcPr>
            <w:tcW w:w="977" w:type="pct"/>
            <w:tcBorders>
              <w:top w:val="nil"/>
              <w:left w:val="nil"/>
              <w:bottom w:val="single" w:color="auto" w:sz="4" w:space="0"/>
              <w:right w:val="single" w:color="auto" w:sz="4" w:space="0"/>
            </w:tcBorders>
            <w:shd w:val="clear" w:color="auto" w:fill="auto"/>
            <w:noWrap/>
            <w:vAlign w:val="center"/>
          </w:tcPr>
          <w:p w14:paraId="5A54322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伺服驱动</w:t>
            </w:r>
          </w:p>
        </w:tc>
        <w:tc>
          <w:tcPr>
            <w:tcW w:w="1140" w:type="pct"/>
            <w:tcBorders>
              <w:top w:val="nil"/>
              <w:left w:val="nil"/>
              <w:bottom w:val="single" w:color="auto" w:sz="4" w:space="0"/>
              <w:right w:val="single" w:color="auto" w:sz="4" w:space="0"/>
            </w:tcBorders>
            <w:shd w:val="clear" w:color="auto" w:fill="auto"/>
            <w:noWrap/>
            <w:vAlign w:val="center"/>
          </w:tcPr>
          <w:p w14:paraId="07890F1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140" w:type="pct"/>
            <w:tcBorders>
              <w:top w:val="nil"/>
              <w:left w:val="nil"/>
              <w:bottom w:val="single" w:color="auto" w:sz="4" w:space="0"/>
              <w:right w:val="single" w:color="auto" w:sz="4" w:space="0"/>
            </w:tcBorders>
            <w:shd w:val="clear" w:color="auto" w:fill="auto"/>
            <w:noWrap/>
            <w:vAlign w:val="center"/>
          </w:tcPr>
          <w:p w14:paraId="385677C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2DDEF91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r>
      <w:tr w14:paraId="62A309D5">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7BFCDE2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47</w:t>
            </w:r>
          </w:p>
        </w:tc>
        <w:tc>
          <w:tcPr>
            <w:tcW w:w="977" w:type="pct"/>
            <w:tcBorders>
              <w:top w:val="nil"/>
              <w:left w:val="nil"/>
              <w:bottom w:val="single" w:color="auto" w:sz="4" w:space="0"/>
              <w:right w:val="single" w:color="auto" w:sz="4" w:space="0"/>
            </w:tcBorders>
            <w:shd w:val="clear" w:color="auto" w:fill="auto"/>
            <w:noWrap/>
            <w:vAlign w:val="center"/>
          </w:tcPr>
          <w:p w14:paraId="159149F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软起动器</w:t>
            </w:r>
          </w:p>
        </w:tc>
        <w:tc>
          <w:tcPr>
            <w:tcW w:w="1140" w:type="pct"/>
            <w:tcBorders>
              <w:top w:val="nil"/>
              <w:left w:val="nil"/>
              <w:bottom w:val="single" w:color="auto" w:sz="4" w:space="0"/>
              <w:right w:val="single" w:color="auto" w:sz="4" w:space="0"/>
            </w:tcBorders>
            <w:shd w:val="clear" w:color="auto" w:fill="auto"/>
            <w:noWrap/>
            <w:vAlign w:val="center"/>
          </w:tcPr>
          <w:p w14:paraId="3190E21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140" w:type="pct"/>
            <w:tcBorders>
              <w:top w:val="nil"/>
              <w:left w:val="nil"/>
              <w:bottom w:val="single" w:color="auto" w:sz="4" w:space="0"/>
              <w:right w:val="single" w:color="auto" w:sz="4" w:space="0"/>
            </w:tcBorders>
            <w:shd w:val="clear" w:color="auto" w:fill="auto"/>
            <w:noWrap/>
            <w:vAlign w:val="center"/>
          </w:tcPr>
          <w:p w14:paraId="4CA8B71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c>
          <w:tcPr>
            <w:tcW w:w="1325" w:type="pct"/>
            <w:tcBorders>
              <w:top w:val="nil"/>
              <w:left w:val="nil"/>
              <w:bottom w:val="single" w:color="auto" w:sz="4" w:space="0"/>
              <w:right w:val="single" w:color="auto" w:sz="4" w:space="0"/>
            </w:tcBorders>
            <w:shd w:val="clear" w:color="auto" w:fill="auto"/>
            <w:noWrap/>
            <w:vAlign w:val="center"/>
          </w:tcPr>
          <w:p w14:paraId="70B86DE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Rockwell（AB）</w:t>
            </w:r>
          </w:p>
        </w:tc>
      </w:tr>
      <w:tr w14:paraId="1BD4E03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E432DD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48</w:t>
            </w:r>
          </w:p>
        </w:tc>
        <w:tc>
          <w:tcPr>
            <w:tcW w:w="977" w:type="pct"/>
            <w:tcBorders>
              <w:top w:val="nil"/>
              <w:left w:val="nil"/>
              <w:bottom w:val="single" w:color="auto" w:sz="4" w:space="0"/>
              <w:right w:val="single" w:color="auto" w:sz="4" w:space="0"/>
            </w:tcBorders>
            <w:shd w:val="clear" w:color="auto" w:fill="auto"/>
            <w:noWrap/>
            <w:vAlign w:val="center"/>
          </w:tcPr>
          <w:p w14:paraId="45322BE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安全继电器</w:t>
            </w:r>
          </w:p>
        </w:tc>
        <w:tc>
          <w:tcPr>
            <w:tcW w:w="1140" w:type="pct"/>
            <w:tcBorders>
              <w:top w:val="nil"/>
              <w:left w:val="nil"/>
              <w:bottom w:val="single" w:color="auto" w:sz="4" w:space="0"/>
              <w:right w:val="single" w:color="auto" w:sz="4" w:space="0"/>
            </w:tcBorders>
            <w:shd w:val="clear" w:color="auto" w:fill="auto"/>
            <w:noWrap/>
            <w:vAlign w:val="center"/>
          </w:tcPr>
          <w:p w14:paraId="4B81960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PILZ（皮尔兹）</w:t>
            </w:r>
          </w:p>
        </w:tc>
        <w:tc>
          <w:tcPr>
            <w:tcW w:w="1140" w:type="pct"/>
            <w:tcBorders>
              <w:top w:val="nil"/>
              <w:left w:val="nil"/>
              <w:bottom w:val="single" w:color="auto" w:sz="4" w:space="0"/>
              <w:right w:val="single" w:color="auto" w:sz="4" w:space="0"/>
            </w:tcBorders>
            <w:shd w:val="clear" w:color="auto" w:fill="auto"/>
            <w:noWrap/>
            <w:vAlign w:val="center"/>
          </w:tcPr>
          <w:p w14:paraId="7A54760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OMRON（欧姆龙）</w:t>
            </w:r>
          </w:p>
        </w:tc>
        <w:tc>
          <w:tcPr>
            <w:tcW w:w="1325" w:type="pct"/>
            <w:tcBorders>
              <w:top w:val="nil"/>
              <w:left w:val="nil"/>
              <w:bottom w:val="single" w:color="auto" w:sz="4" w:space="0"/>
              <w:right w:val="single" w:color="auto" w:sz="4" w:space="0"/>
            </w:tcBorders>
            <w:shd w:val="clear" w:color="auto" w:fill="auto"/>
            <w:noWrap/>
            <w:vAlign w:val="center"/>
          </w:tcPr>
          <w:p w14:paraId="0EEFB8A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KEYENCE（基恩士）</w:t>
            </w:r>
          </w:p>
        </w:tc>
      </w:tr>
      <w:tr w14:paraId="7F4C7DC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3772B35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49</w:t>
            </w:r>
          </w:p>
        </w:tc>
        <w:tc>
          <w:tcPr>
            <w:tcW w:w="977" w:type="pct"/>
            <w:tcBorders>
              <w:top w:val="nil"/>
              <w:left w:val="nil"/>
              <w:bottom w:val="single" w:color="auto" w:sz="4" w:space="0"/>
              <w:right w:val="single" w:color="auto" w:sz="4" w:space="0"/>
            </w:tcBorders>
            <w:shd w:val="clear" w:color="auto" w:fill="auto"/>
            <w:noWrap/>
            <w:vAlign w:val="center"/>
          </w:tcPr>
          <w:p w14:paraId="5C69AE4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安全光栅</w:t>
            </w:r>
          </w:p>
        </w:tc>
        <w:tc>
          <w:tcPr>
            <w:tcW w:w="1140" w:type="pct"/>
            <w:tcBorders>
              <w:top w:val="nil"/>
              <w:left w:val="nil"/>
              <w:bottom w:val="single" w:color="auto" w:sz="4" w:space="0"/>
              <w:right w:val="single" w:color="auto" w:sz="4" w:space="0"/>
            </w:tcBorders>
            <w:shd w:val="clear" w:color="auto" w:fill="auto"/>
            <w:noWrap/>
            <w:vAlign w:val="center"/>
          </w:tcPr>
          <w:p w14:paraId="72CAD93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OMRON（欧姆龙）</w:t>
            </w:r>
          </w:p>
        </w:tc>
        <w:tc>
          <w:tcPr>
            <w:tcW w:w="1140" w:type="pct"/>
            <w:tcBorders>
              <w:top w:val="nil"/>
              <w:left w:val="nil"/>
              <w:bottom w:val="single" w:color="auto" w:sz="4" w:space="0"/>
              <w:right w:val="single" w:color="auto" w:sz="4" w:space="0"/>
            </w:tcBorders>
            <w:shd w:val="clear" w:color="auto" w:fill="auto"/>
            <w:noWrap/>
            <w:vAlign w:val="center"/>
          </w:tcPr>
          <w:p w14:paraId="116ED77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KEYENCE（基恩士）</w:t>
            </w:r>
          </w:p>
        </w:tc>
        <w:tc>
          <w:tcPr>
            <w:tcW w:w="1325" w:type="pct"/>
            <w:tcBorders>
              <w:top w:val="nil"/>
              <w:left w:val="nil"/>
              <w:bottom w:val="single" w:color="auto" w:sz="4" w:space="0"/>
              <w:right w:val="single" w:color="auto" w:sz="4" w:space="0"/>
            </w:tcBorders>
            <w:shd w:val="clear" w:color="auto" w:fill="auto"/>
            <w:noWrap/>
            <w:vAlign w:val="center"/>
          </w:tcPr>
          <w:p w14:paraId="3D32E62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SICK</w:t>
            </w:r>
          </w:p>
        </w:tc>
      </w:tr>
      <w:tr w14:paraId="46CEBA4C">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2EF3A39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50</w:t>
            </w:r>
          </w:p>
        </w:tc>
        <w:tc>
          <w:tcPr>
            <w:tcW w:w="977" w:type="pct"/>
            <w:tcBorders>
              <w:top w:val="nil"/>
              <w:left w:val="nil"/>
              <w:bottom w:val="single" w:color="auto" w:sz="4" w:space="0"/>
              <w:right w:val="single" w:color="auto" w:sz="4" w:space="0"/>
            </w:tcBorders>
            <w:shd w:val="clear" w:color="auto" w:fill="auto"/>
            <w:noWrap/>
            <w:vAlign w:val="center"/>
          </w:tcPr>
          <w:p w14:paraId="5137433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安全门锁</w:t>
            </w:r>
          </w:p>
        </w:tc>
        <w:tc>
          <w:tcPr>
            <w:tcW w:w="1140" w:type="pct"/>
            <w:tcBorders>
              <w:top w:val="nil"/>
              <w:left w:val="nil"/>
              <w:bottom w:val="single" w:color="auto" w:sz="4" w:space="0"/>
              <w:right w:val="single" w:color="auto" w:sz="4" w:space="0"/>
            </w:tcBorders>
            <w:shd w:val="clear" w:color="auto" w:fill="auto"/>
            <w:noWrap/>
            <w:vAlign w:val="center"/>
          </w:tcPr>
          <w:p w14:paraId="131B60F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EUCHNER（安士能）</w:t>
            </w:r>
          </w:p>
        </w:tc>
        <w:tc>
          <w:tcPr>
            <w:tcW w:w="1140" w:type="pct"/>
            <w:tcBorders>
              <w:top w:val="nil"/>
              <w:left w:val="nil"/>
              <w:bottom w:val="single" w:color="auto" w:sz="4" w:space="0"/>
              <w:right w:val="single" w:color="auto" w:sz="4" w:space="0"/>
            </w:tcBorders>
            <w:shd w:val="clear" w:color="auto" w:fill="auto"/>
            <w:noWrap/>
            <w:vAlign w:val="center"/>
          </w:tcPr>
          <w:p w14:paraId="34F5F31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PILZ（皮尔兹）</w:t>
            </w:r>
          </w:p>
        </w:tc>
        <w:tc>
          <w:tcPr>
            <w:tcW w:w="1325" w:type="pct"/>
            <w:tcBorders>
              <w:top w:val="nil"/>
              <w:left w:val="nil"/>
              <w:bottom w:val="single" w:color="auto" w:sz="4" w:space="0"/>
              <w:right w:val="single" w:color="auto" w:sz="4" w:space="0"/>
            </w:tcBorders>
            <w:shd w:val="clear" w:color="auto" w:fill="auto"/>
            <w:noWrap/>
            <w:vAlign w:val="center"/>
          </w:tcPr>
          <w:p w14:paraId="61678DB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SICK/Fortress</w:t>
            </w:r>
          </w:p>
        </w:tc>
      </w:tr>
      <w:tr w14:paraId="0331158A">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515584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51</w:t>
            </w:r>
          </w:p>
        </w:tc>
        <w:tc>
          <w:tcPr>
            <w:tcW w:w="977" w:type="pct"/>
            <w:tcBorders>
              <w:top w:val="nil"/>
              <w:left w:val="nil"/>
              <w:bottom w:val="single" w:color="auto" w:sz="4" w:space="0"/>
              <w:right w:val="single" w:color="auto" w:sz="4" w:space="0"/>
            </w:tcBorders>
            <w:shd w:val="clear" w:color="auto" w:fill="auto"/>
            <w:noWrap/>
            <w:vAlign w:val="center"/>
          </w:tcPr>
          <w:p w14:paraId="4C10857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安全扫描仪</w:t>
            </w:r>
          </w:p>
        </w:tc>
        <w:tc>
          <w:tcPr>
            <w:tcW w:w="1140" w:type="pct"/>
            <w:tcBorders>
              <w:top w:val="nil"/>
              <w:left w:val="nil"/>
              <w:bottom w:val="single" w:color="auto" w:sz="4" w:space="0"/>
              <w:right w:val="single" w:color="auto" w:sz="4" w:space="0"/>
            </w:tcBorders>
            <w:shd w:val="clear" w:color="auto" w:fill="auto"/>
            <w:noWrap/>
            <w:vAlign w:val="center"/>
          </w:tcPr>
          <w:p w14:paraId="0A59BF8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SICK</w:t>
            </w:r>
          </w:p>
        </w:tc>
        <w:tc>
          <w:tcPr>
            <w:tcW w:w="1140" w:type="pct"/>
            <w:tcBorders>
              <w:top w:val="nil"/>
              <w:left w:val="nil"/>
              <w:bottom w:val="single" w:color="auto" w:sz="4" w:space="0"/>
              <w:right w:val="single" w:color="auto" w:sz="4" w:space="0"/>
            </w:tcBorders>
            <w:shd w:val="clear" w:color="auto" w:fill="auto"/>
            <w:noWrap/>
            <w:vAlign w:val="center"/>
          </w:tcPr>
          <w:p w14:paraId="0607DFBC">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KEYENCE（基恩士）</w:t>
            </w:r>
          </w:p>
        </w:tc>
        <w:tc>
          <w:tcPr>
            <w:tcW w:w="1325" w:type="pct"/>
            <w:tcBorders>
              <w:top w:val="nil"/>
              <w:left w:val="nil"/>
              <w:bottom w:val="single" w:color="auto" w:sz="4" w:space="0"/>
              <w:right w:val="single" w:color="auto" w:sz="4" w:space="0"/>
            </w:tcBorders>
            <w:shd w:val="clear" w:color="auto" w:fill="auto"/>
            <w:noWrap/>
            <w:vAlign w:val="center"/>
          </w:tcPr>
          <w:p w14:paraId="6014B6F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OMRON（欧姆龙）</w:t>
            </w:r>
          </w:p>
        </w:tc>
      </w:tr>
      <w:tr w14:paraId="695F9C1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A94605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52</w:t>
            </w:r>
          </w:p>
        </w:tc>
        <w:tc>
          <w:tcPr>
            <w:tcW w:w="977" w:type="pct"/>
            <w:tcBorders>
              <w:top w:val="nil"/>
              <w:left w:val="nil"/>
              <w:bottom w:val="single" w:color="auto" w:sz="4" w:space="0"/>
              <w:right w:val="single" w:color="auto" w:sz="4" w:space="0"/>
            </w:tcBorders>
            <w:shd w:val="clear" w:color="auto" w:fill="auto"/>
            <w:noWrap/>
            <w:vAlign w:val="center"/>
          </w:tcPr>
          <w:p w14:paraId="5B5D5F2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接近开关</w:t>
            </w:r>
          </w:p>
        </w:tc>
        <w:tc>
          <w:tcPr>
            <w:tcW w:w="1140" w:type="pct"/>
            <w:tcBorders>
              <w:top w:val="nil"/>
              <w:left w:val="nil"/>
              <w:bottom w:val="single" w:color="auto" w:sz="4" w:space="0"/>
              <w:right w:val="single" w:color="auto" w:sz="4" w:space="0"/>
            </w:tcBorders>
            <w:shd w:val="clear" w:color="auto" w:fill="auto"/>
            <w:noWrap/>
            <w:vAlign w:val="center"/>
          </w:tcPr>
          <w:p w14:paraId="20FFF1F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P+F（倍加福）</w:t>
            </w:r>
          </w:p>
        </w:tc>
        <w:tc>
          <w:tcPr>
            <w:tcW w:w="1140" w:type="pct"/>
            <w:tcBorders>
              <w:top w:val="nil"/>
              <w:left w:val="nil"/>
              <w:bottom w:val="single" w:color="auto" w:sz="4" w:space="0"/>
              <w:right w:val="single" w:color="auto" w:sz="4" w:space="0"/>
            </w:tcBorders>
            <w:shd w:val="clear" w:color="auto" w:fill="auto"/>
            <w:noWrap/>
            <w:vAlign w:val="center"/>
          </w:tcPr>
          <w:p w14:paraId="5A98288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5476A4F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IFM（易福门）</w:t>
            </w:r>
          </w:p>
        </w:tc>
      </w:tr>
      <w:tr w14:paraId="492C7F97">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3549FC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53</w:t>
            </w:r>
          </w:p>
        </w:tc>
        <w:tc>
          <w:tcPr>
            <w:tcW w:w="977" w:type="pct"/>
            <w:tcBorders>
              <w:top w:val="nil"/>
              <w:left w:val="nil"/>
              <w:bottom w:val="single" w:color="auto" w:sz="4" w:space="0"/>
              <w:right w:val="single" w:color="auto" w:sz="4" w:space="0"/>
            </w:tcBorders>
            <w:shd w:val="clear" w:color="auto" w:fill="auto"/>
            <w:noWrap/>
            <w:vAlign w:val="center"/>
          </w:tcPr>
          <w:p w14:paraId="49DF475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限位开关</w:t>
            </w:r>
          </w:p>
        </w:tc>
        <w:tc>
          <w:tcPr>
            <w:tcW w:w="1140" w:type="pct"/>
            <w:tcBorders>
              <w:top w:val="nil"/>
              <w:left w:val="nil"/>
              <w:bottom w:val="single" w:color="auto" w:sz="4" w:space="0"/>
              <w:right w:val="single" w:color="auto" w:sz="4" w:space="0"/>
            </w:tcBorders>
            <w:shd w:val="clear" w:color="auto" w:fill="auto"/>
            <w:noWrap/>
            <w:vAlign w:val="center"/>
          </w:tcPr>
          <w:p w14:paraId="0B1290D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SCHNEIDER/ TE</w:t>
            </w:r>
          </w:p>
        </w:tc>
        <w:tc>
          <w:tcPr>
            <w:tcW w:w="1140" w:type="pct"/>
            <w:tcBorders>
              <w:top w:val="nil"/>
              <w:left w:val="nil"/>
              <w:bottom w:val="single" w:color="auto" w:sz="4" w:space="0"/>
              <w:right w:val="single" w:color="auto" w:sz="4" w:space="0"/>
            </w:tcBorders>
            <w:shd w:val="clear" w:color="auto" w:fill="auto"/>
            <w:noWrap/>
            <w:vAlign w:val="center"/>
          </w:tcPr>
          <w:p w14:paraId="0EBBFF7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06517B7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OMRON（欧姆龙）</w:t>
            </w:r>
          </w:p>
        </w:tc>
      </w:tr>
      <w:tr w14:paraId="23D9E24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A5F96C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54</w:t>
            </w:r>
          </w:p>
        </w:tc>
        <w:tc>
          <w:tcPr>
            <w:tcW w:w="977" w:type="pct"/>
            <w:tcBorders>
              <w:top w:val="nil"/>
              <w:left w:val="nil"/>
              <w:bottom w:val="single" w:color="auto" w:sz="4" w:space="0"/>
              <w:right w:val="single" w:color="auto" w:sz="4" w:space="0"/>
            </w:tcBorders>
            <w:shd w:val="clear" w:color="auto" w:fill="auto"/>
            <w:noWrap/>
            <w:vAlign w:val="center"/>
          </w:tcPr>
          <w:p w14:paraId="0B3A10F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编码器</w:t>
            </w:r>
          </w:p>
        </w:tc>
        <w:tc>
          <w:tcPr>
            <w:tcW w:w="1140" w:type="pct"/>
            <w:tcBorders>
              <w:top w:val="nil"/>
              <w:left w:val="nil"/>
              <w:bottom w:val="single" w:color="auto" w:sz="4" w:space="0"/>
              <w:right w:val="single" w:color="auto" w:sz="4" w:space="0"/>
            </w:tcBorders>
            <w:shd w:val="clear" w:color="auto" w:fill="auto"/>
            <w:noWrap/>
            <w:vAlign w:val="center"/>
          </w:tcPr>
          <w:p w14:paraId="47C1452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P+F（倍加福）</w:t>
            </w:r>
          </w:p>
        </w:tc>
        <w:tc>
          <w:tcPr>
            <w:tcW w:w="1140" w:type="pct"/>
            <w:tcBorders>
              <w:top w:val="nil"/>
              <w:left w:val="nil"/>
              <w:bottom w:val="single" w:color="auto" w:sz="4" w:space="0"/>
              <w:right w:val="single" w:color="auto" w:sz="4" w:space="0"/>
            </w:tcBorders>
            <w:shd w:val="clear" w:color="auto" w:fill="auto"/>
            <w:noWrap/>
            <w:vAlign w:val="center"/>
          </w:tcPr>
          <w:p w14:paraId="5C8C73C6">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325" w:type="pct"/>
            <w:tcBorders>
              <w:top w:val="nil"/>
              <w:left w:val="nil"/>
              <w:bottom w:val="single" w:color="auto" w:sz="4" w:space="0"/>
              <w:right w:val="single" w:color="auto" w:sz="4" w:space="0"/>
            </w:tcBorders>
            <w:shd w:val="clear" w:color="auto" w:fill="auto"/>
            <w:noWrap/>
            <w:vAlign w:val="center"/>
          </w:tcPr>
          <w:p w14:paraId="062626F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r>
      <w:tr w14:paraId="24869D5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B29691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55</w:t>
            </w:r>
          </w:p>
        </w:tc>
        <w:tc>
          <w:tcPr>
            <w:tcW w:w="977" w:type="pct"/>
            <w:tcBorders>
              <w:top w:val="nil"/>
              <w:left w:val="nil"/>
              <w:bottom w:val="single" w:color="auto" w:sz="4" w:space="0"/>
              <w:right w:val="single" w:color="auto" w:sz="4" w:space="0"/>
            </w:tcBorders>
            <w:shd w:val="clear" w:color="auto" w:fill="auto"/>
            <w:noWrap/>
            <w:vAlign w:val="center"/>
          </w:tcPr>
          <w:p w14:paraId="481275B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线性编码器</w:t>
            </w:r>
          </w:p>
        </w:tc>
        <w:tc>
          <w:tcPr>
            <w:tcW w:w="1140" w:type="pct"/>
            <w:tcBorders>
              <w:top w:val="nil"/>
              <w:left w:val="nil"/>
              <w:bottom w:val="single" w:color="auto" w:sz="4" w:space="0"/>
              <w:right w:val="single" w:color="auto" w:sz="4" w:space="0"/>
            </w:tcBorders>
            <w:shd w:val="clear" w:color="auto" w:fill="auto"/>
            <w:noWrap/>
            <w:vAlign w:val="center"/>
          </w:tcPr>
          <w:p w14:paraId="23FE893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P+F（倍加福）</w:t>
            </w:r>
          </w:p>
        </w:tc>
        <w:tc>
          <w:tcPr>
            <w:tcW w:w="1140" w:type="pct"/>
            <w:tcBorders>
              <w:top w:val="nil"/>
              <w:left w:val="nil"/>
              <w:bottom w:val="single" w:color="auto" w:sz="4" w:space="0"/>
              <w:right w:val="single" w:color="auto" w:sz="4" w:space="0"/>
            </w:tcBorders>
            <w:shd w:val="clear" w:color="auto" w:fill="auto"/>
            <w:noWrap/>
            <w:vAlign w:val="center"/>
          </w:tcPr>
          <w:p w14:paraId="711494BE">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SEW</w:t>
            </w:r>
          </w:p>
        </w:tc>
        <w:tc>
          <w:tcPr>
            <w:tcW w:w="1325" w:type="pct"/>
            <w:tcBorders>
              <w:top w:val="nil"/>
              <w:left w:val="nil"/>
              <w:bottom w:val="single" w:color="auto" w:sz="4" w:space="0"/>
              <w:right w:val="single" w:color="auto" w:sz="4" w:space="0"/>
            </w:tcBorders>
            <w:shd w:val="clear" w:color="auto" w:fill="auto"/>
            <w:noWrap/>
            <w:vAlign w:val="center"/>
          </w:tcPr>
          <w:p w14:paraId="6BF00C1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r>
      <w:tr w14:paraId="64903CE8">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34580C8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56</w:t>
            </w:r>
          </w:p>
        </w:tc>
        <w:tc>
          <w:tcPr>
            <w:tcW w:w="977" w:type="pct"/>
            <w:tcBorders>
              <w:top w:val="nil"/>
              <w:left w:val="nil"/>
              <w:bottom w:val="single" w:color="auto" w:sz="4" w:space="0"/>
              <w:right w:val="single" w:color="auto" w:sz="4" w:space="0"/>
            </w:tcBorders>
            <w:shd w:val="clear" w:color="auto" w:fill="auto"/>
            <w:noWrap/>
            <w:vAlign w:val="center"/>
          </w:tcPr>
          <w:p w14:paraId="4BF45F3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光电开关</w:t>
            </w:r>
          </w:p>
        </w:tc>
        <w:tc>
          <w:tcPr>
            <w:tcW w:w="1140" w:type="pct"/>
            <w:tcBorders>
              <w:top w:val="nil"/>
              <w:left w:val="nil"/>
              <w:bottom w:val="single" w:color="auto" w:sz="4" w:space="0"/>
              <w:right w:val="single" w:color="auto" w:sz="4" w:space="0"/>
            </w:tcBorders>
            <w:shd w:val="clear" w:color="auto" w:fill="auto"/>
            <w:noWrap/>
            <w:vAlign w:val="center"/>
          </w:tcPr>
          <w:p w14:paraId="73BAEB6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P+F（倍加福）</w:t>
            </w:r>
          </w:p>
        </w:tc>
        <w:tc>
          <w:tcPr>
            <w:tcW w:w="1140" w:type="pct"/>
            <w:tcBorders>
              <w:top w:val="nil"/>
              <w:left w:val="nil"/>
              <w:bottom w:val="single" w:color="auto" w:sz="4" w:space="0"/>
              <w:right w:val="single" w:color="auto" w:sz="4" w:space="0"/>
            </w:tcBorders>
            <w:shd w:val="clear" w:color="auto" w:fill="auto"/>
            <w:noWrap/>
            <w:vAlign w:val="center"/>
          </w:tcPr>
          <w:p w14:paraId="1624617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5316047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IFM（易福门）</w:t>
            </w:r>
          </w:p>
        </w:tc>
      </w:tr>
      <w:tr w14:paraId="6B5C3530">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3DB6621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57</w:t>
            </w:r>
          </w:p>
        </w:tc>
        <w:tc>
          <w:tcPr>
            <w:tcW w:w="977" w:type="pct"/>
            <w:tcBorders>
              <w:top w:val="nil"/>
              <w:left w:val="nil"/>
              <w:bottom w:val="single" w:color="auto" w:sz="4" w:space="0"/>
              <w:right w:val="single" w:color="auto" w:sz="4" w:space="0"/>
            </w:tcBorders>
            <w:shd w:val="clear" w:color="auto" w:fill="auto"/>
            <w:noWrap/>
            <w:vAlign w:val="center"/>
          </w:tcPr>
          <w:p w14:paraId="51867DF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震动传感器</w:t>
            </w:r>
          </w:p>
        </w:tc>
        <w:tc>
          <w:tcPr>
            <w:tcW w:w="1140" w:type="pct"/>
            <w:tcBorders>
              <w:top w:val="nil"/>
              <w:left w:val="nil"/>
              <w:bottom w:val="single" w:color="auto" w:sz="4" w:space="0"/>
              <w:right w:val="single" w:color="auto" w:sz="4" w:space="0"/>
            </w:tcBorders>
            <w:shd w:val="clear" w:color="auto" w:fill="auto"/>
            <w:noWrap/>
            <w:vAlign w:val="center"/>
          </w:tcPr>
          <w:p w14:paraId="22F0715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P+F（倍加福）</w:t>
            </w:r>
          </w:p>
        </w:tc>
        <w:tc>
          <w:tcPr>
            <w:tcW w:w="1140" w:type="pct"/>
            <w:tcBorders>
              <w:top w:val="nil"/>
              <w:left w:val="nil"/>
              <w:bottom w:val="single" w:color="auto" w:sz="4" w:space="0"/>
              <w:right w:val="single" w:color="auto" w:sz="4" w:space="0"/>
            </w:tcBorders>
            <w:shd w:val="clear" w:color="auto" w:fill="auto"/>
            <w:noWrap/>
            <w:vAlign w:val="center"/>
          </w:tcPr>
          <w:p w14:paraId="1276B92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638322F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IFM（易福门）</w:t>
            </w:r>
          </w:p>
        </w:tc>
      </w:tr>
      <w:tr w14:paraId="698C90F3">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1B060AE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58</w:t>
            </w:r>
          </w:p>
        </w:tc>
        <w:tc>
          <w:tcPr>
            <w:tcW w:w="977" w:type="pct"/>
            <w:tcBorders>
              <w:top w:val="nil"/>
              <w:left w:val="nil"/>
              <w:bottom w:val="single" w:color="auto" w:sz="4" w:space="0"/>
              <w:right w:val="single" w:color="auto" w:sz="4" w:space="0"/>
            </w:tcBorders>
            <w:shd w:val="clear" w:color="auto" w:fill="auto"/>
            <w:noWrap/>
            <w:vAlign w:val="center"/>
          </w:tcPr>
          <w:p w14:paraId="11658B1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传感器电缆（接插件）</w:t>
            </w:r>
          </w:p>
        </w:tc>
        <w:tc>
          <w:tcPr>
            <w:tcW w:w="1140" w:type="pct"/>
            <w:tcBorders>
              <w:top w:val="nil"/>
              <w:left w:val="nil"/>
              <w:bottom w:val="single" w:color="auto" w:sz="4" w:space="0"/>
              <w:right w:val="single" w:color="auto" w:sz="4" w:space="0"/>
            </w:tcBorders>
            <w:shd w:val="clear" w:color="auto" w:fill="auto"/>
            <w:noWrap/>
            <w:vAlign w:val="center"/>
          </w:tcPr>
          <w:p w14:paraId="3630793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GSEE（吉诺）</w:t>
            </w:r>
          </w:p>
        </w:tc>
        <w:tc>
          <w:tcPr>
            <w:tcW w:w="1140" w:type="pct"/>
            <w:tcBorders>
              <w:top w:val="nil"/>
              <w:left w:val="nil"/>
              <w:bottom w:val="single" w:color="auto" w:sz="4" w:space="0"/>
              <w:right w:val="single" w:color="auto" w:sz="4" w:space="0"/>
            </w:tcBorders>
            <w:shd w:val="clear" w:color="auto" w:fill="auto"/>
            <w:noWrap/>
            <w:vAlign w:val="center"/>
          </w:tcPr>
          <w:p w14:paraId="7F3B2CB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7CCC4BC9">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IFM（易福门）</w:t>
            </w:r>
          </w:p>
        </w:tc>
      </w:tr>
      <w:tr w14:paraId="06865144">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6F15162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59</w:t>
            </w:r>
          </w:p>
        </w:tc>
        <w:tc>
          <w:tcPr>
            <w:tcW w:w="977" w:type="pct"/>
            <w:tcBorders>
              <w:top w:val="nil"/>
              <w:left w:val="nil"/>
              <w:bottom w:val="single" w:color="auto" w:sz="4" w:space="0"/>
              <w:right w:val="single" w:color="auto" w:sz="4" w:space="0"/>
            </w:tcBorders>
            <w:shd w:val="clear" w:color="auto" w:fill="auto"/>
            <w:noWrap/>
            <w:vAlign w:val="center"/>
          </w:tcPr>
          <w:p w14:paraId="02065B8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条码扫描枪</w:t>
            </w:r>
          </w:p>
        </w:tc>
        <w:tc>
          <w:tcPr>
            <w:tcW w:w="1140" w:type="pct"/>
            <w:tcBorders>
              <w:top w:val="nil"/>
              <w:left w:val="nil"/>
              <w:bottom w:val="single" w:color="auto" w:sz="4" w:space="0"/>
              <w:right w:val="single" w:color="auto" w:sz="4" w:space="0"/>
            </w:tcBorders>
            <w:shd w:val="clear" w:color="auto" w:fill="auto"/>
            <w:noWrap/>
            <w:vAlign w:val="center"/>
          </w:tcPr>
          <w:p w14:paraId="58CD922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SICK</w:t>
            </w:r>
          </w:p>
        </w:tc>
        <w:tc>
          <w:tcPr>
            <w:tcW w:w="1140" w:type="pct"/>
            <w:tcBorders>
              <w:top w:val="nil"/>
              <w:left w:val="nil"/>
              <w:bottom w:val="single" w:color="auto" w:sz="4" w:space="0"/>
              <w:right w:val="single" w:color="auto" w:sz="4" w:space="0"/>
            </w:tcBorders>
            <w:shd w:val="clear" w:color="auto" w:fill="auto"/>
            <w:noWrap/>
            <w:vAlign w:val="center"/>
          </w:tcPr>
          <w:p w14:paraId="657FEBD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319DEE5F">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SIEMENS/SYMBOL（Zebra）</w:t>
            </w:r>
          </w:p>
        </w:tc>
      </w:tr>
      <w:tr w14:paraId="53FCD1C2">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770F4AD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60</w:t>
            </w:r>
          </w:p>
        </w:tc>
        <w:tc>
          <w:tcPr>
            <w:tcW w:w="977" w:type="pct"/>
            <w:tcBorders>
              <w:top w:val="nil"/>
              <w:left w:val="nil"/>
              <w:bottom w:val="single" w:color="auto" w:sz="4" w:space="0"/>
              <w:right w:val="single" w:color="auto" w:sz="4" w:space="0"/>
            </w:tcBorders>
            <w:shd w:val="clear" w:color="auto" w:fill="auto"/>
            <w:noWrap/>
            <w:vAlign w:val="center"/>
          </w:tcPr>
          <w:p w14:paraId="39BECA9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RFID</w:t>
            </w:r>
          </w:p>
        </w:tc>
        <w:tc>
          <w:tcPr>
            <w:tcW w:w="1140" w:type="pct"/>
            <w:tcBorders>
              <w:top w:val="nil"/>
              <w:left w:val="nil"/>
              <w:bottom w:val="single" w:color="auto" w:sz="4" w:space="0"/>
              <w:right w:val="single" w:color="auto" w:sz="4" w:space="0"/>
            </w:tcBorders>
            <w:shd w:val="clear" w:color="auto" w:fill="auto"/>
            <w:noWrap/>
            <w:vAlign w:val="center"/>
          </w:tcPr>
          <w:p w14:paraId="3D87AA0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SICK</w:t>
            </w:r>
          </w:p>
        </w:tc>
        <w:tc>
          <w:tcPr>
            <w:tcW w:w="1140" w:type="pct"/>
            <w:tcBorders>
              <w:top w:val="nil"/>
              <w:left w:val="nil"/>
              <w:bottom w:val="single" w:color="auto" w:sz="4" w:space="0"/>
              <w:right w:val="single" w:color="auto" w:sz="4" w:space="0"/>
            </w:tcBorders>
            <w:shd w:val="clear" w:color="auto" w:fill="auto"/>
            <w:noWrap/>
            <w:vAlign w:val="center"/>
          </w:tcPr>
          <w:p w14:paraId="4BCFC820">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巴鲁夫</w:t>
            </w:r>
          </w:p>
        </w:tc>
        <w:tc>
          <w:tcPr>
            <w:tcW w:w="1325" w:type="pct"/>
            <w:tcBorders>
              <w:top w:val="nil"/>
              <w:left w:val="nil"/>
              <w:bottom w:val="single" w:color="auto" w:sz="4" w:space="0"/>
              <w:right w:val="single" w:color="auto" w:sz="4" w:space="0"/>
            </w:tcBorders>
            <w:shd w:val="clear" w:color="auto" w:fill="auto"/>
            <w:noWrap/>
            <w:vAlign w:val="center"/>
          </w:tcPr>
          <w:p w14:paraId="347D68EA">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SIEMENS</w:t>
            </w:r>
          </w:p>
        </w:tc>
      </w:tr>
      <w:tr w14:paraId="53E63BBB">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028D63F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61</w:t>
            </w:r>
          </w:p>
        </w:tc>
        <w:tc>
          <w:tcPr>
            <w:tcW w:w="977" w:type="pct"/>
            <w:tcBorders>
              <w:top w:val="nil"/>
              <w:left w:val="nil"/>
              <w:bottom w:val="single" w:color="auto" w:sz="4" w:space="0"/>
              <w:right w:val="single" w:color="auto" w:sz="4" w:space="0"/>
            </w:tcBorders>
            <w:shd w:val="clear" w:color="auto" w:fill="auto"/>
            <w:noWrap/>
            <w:vAlign w:val="center"/>
          </w:tcPr>
          <w:p w14:paraId="15D435B8">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kern w:val="0"/>
                <w:sz w:val="24"/>
                <w:szCs w:val="24"/>
              </w:rPr>
              <w:t>接插件(航空插头)</w:t>
            </w:r>
          </w:p>
        </w:tc>
        <w:tc>
          <w:tcPr>
            <w:tcW w:w="1140" w:type="pct"/>
            <w:tcBorders>
              <w:top w:val="nil"/>
              <w:left w:val="nil"/>
              <w:bottom w:val="single" w:color="auto" w:sz="4" w:space="0"/>
              <w:right w:val="single" w:color="auto" w:sz="4" w:space="0"/>
            </w:tcBorders>
            <w:shd w:val="clear" w:color="auto" w:fill="auto"/>
            <w:noWrap/>
            <w:vAlign w:val="center"/>
          </w:tcPr>
          <w:p w14:paraId="0A6755B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GSEE</w:t>
            </w:r>
          </w:p>
        </w:tc>
        <w:tc>
          <w:tcPr>
            <w:tcW w:w="1140" w:type="pct"/>
            <w:tcBorders>
              <w:top w:val="nil"/>
              <w:left w:val="nil"/>
              <w:bottom w:val="single" w:color="auto" w:sz="4" w:space="0"/>
              <w:right w:val="single" w:color="auto" w:sz="4" w:space="0"/>
            </w:tcBorders>
            <w:shd w:val="clear" w:color="auto" w:fill="auto"/>
            <w:noWrap/>
            <w:vAlign w:val="center"/>
          </w:tcPr>
          <w:p w14:paraId="0AB3CC01">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HARTING</w:t>
            </w:r>
          </w:p>
        </w:tc>
        <w:tc>
          <w:tcPr>
            <w:tcW w:w="1325" w:type="pct"/>
            <w:tcBorders>
              <w:top w:val="nil"/>
              <w:left w:val="nil"/>
              <w:bottom w:val="single" w:color="auto" w:sz="4" w:space="0"/>
              <w:right w:val="single" w:color="auto" w:sz="4" w:space="0"/>
            </w:tcBorders>
            <w:shd w:val="clear" w:color="auto" w:fill="auto"/>
            <w:noWrap/>
            <w:vAlign w:val="center"/>
          </w:tcPr>
          <w:p w14:paraId="66E17174">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SIBAS</w:t>
            </w:r>
          </w:p>
        </w:tc>
      </w:tr>
      <w:tr w14:paraId="65A01057">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4C00A03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62</w:t>
            </w:r>
          </w:p>
        </w:tc>
        <w:tc>
          <w:tcPr>
            <w:tcW w:w="977" w:type="pct"/>
            <w:tcBorders>
              <w:top w:val="nil"/>
              <w:left w:val="nil"/>
              <w:bottom w:val="single" w:color="auto" w:sz="4" w:space="0"/>
              <w:right w:val="single" w:color="auto" w:sz="4" w:space="0"/>
            </w:tcBorders>
            <w:shd w:val="clear" w:color="auto" w:fill="auto"/>
            <w:noWrap/>
            <w:vAlign w:val="center"/>
          </w:tcPr>
          <w:p w14:paraId="7D007155">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打印机</w:t>
            </w:r>
          </w:p>
        </w:tc>
        <w:tc>
          <w:tcPr>
            <w:tcW w:w="1140" w:type="pct"/>
            <w:tcBorders>
              <w:top w:val="nil"/>
              <w:left w:val="nil"/>
              <w:bottom w:val="single" w:color="auto" w:sz="4" w:space="0"/>
              <w:right w:val="single" w:color="auto" w:sz="4" w:space="0"/>
            </w:tcBorders>
            <w:shd w:val="clear" w:color="auto" w:fill="auto"/>
            <w:noWrap/>
            <w:vAlign w:val="center"/>
          </w:tcPr>
          <w:p w14:paraId="69ACFAB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Canon</w:t>
            </w:r>
          </w:p>
        </w:tc>
        <w:tc>
          <w:tcPr>
            <w:tcW w:w="1140" w:type="pct"/>
            <w:tcBorders>
              <w:top w:val="nil"/>
              <w:left w:val="nil"/>
              <w:bottom w:val="single" w:color="auto" w:sz="4" w:space="0"/>
              <w:right w:val="single" w:color="auto" w:sz="4" w:space="0"/>
            </w:tcBorders>
            <w:shd w:val="clear" w:color="auto" w:fill="auto"/>
            <w:noWrap/>
            <w:vAlign w:val="center"/>
          </w:tcPr>
          <w:p w14:paraId="1D4B7762">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Epson</w:t>
            </w:r>
          </w:p>
        </w:tc>
        <w:tc>
          <w:tcPr>
            <w:tcW w:w="1325" w:type="pct"/>
            <w:tcBorders>
              <w:top w:val="nil"/>
              <w:left w:val="nil"/>
              <w:bottom w:val="single" w:color="auto" w:sz="4" w:space="0"/>
              <w:right w:val="single" w:color="auto" w:sz="4" w:space="0"/>
            </w:tcBorders>
            <w:shd w:val="clear" w:color="auto" w:fill="auto"/>
            <w:noWrap/>
            <w:vAlign w:val="center"/>
          </w:tcPr>
          <w:p w14:paraId="6A48053D">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HP</w:t>
            </w:r>
          </w:p>
        </w:tc>
      </w:tr>
      <w:tr w14:paraId="7F607C3E">
        <w:tblPrEx>
          <w:tblCellMar>
            <w:top w:w="0" w:type="dxa"/>
            <w:left w:w="108" w:type="dxa"/>
            <w:bottom w:w="0" w:type="dxa"/>
            <w:right w:w="108" w:type="dxa"/>
          </w:tblCellMar>
        </w:tblPrEx>
        <w:trPr>
          <w:trHeight w:val="330" w:hRule="atLeast"/>
        </w:trPr>
        <w:tc>
          <w:tcPr>
            <w:tcW w:w="415" w:type="pct"/>
            <w:tcBorders>
              <w:top w:val="nil"/>
              <w:left w:val="single" w:color="auto" w:sz="4" w:space="0"/>
              <w:bottom w:val="single" w:color="auto" w:sz="4" w:space="0"/>
              <w:right w:val="single" w:color="auto" w:sz="4" w:space="0"/>
            </w:tcBorders>
            <w:shd w:val="clear" w:color="auto" w:fill="auto"/>
            <w:noWrap/>
            <w:vAlign w:val="center"/>
          </w:tcPr>
          <w:p w14:paraId="52D7E2A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63</w:t>
            </w:r>
          </w:p>
        </w:tc>
        <w:tc>
          <w:tcPr>
            <w:tcW w:w="977" w:type="pct"/>
            <w:tcBorders>
              <w:top w:val="nil"/>
              <w:left w:val="nil"/>
              <w:bottom w:val="single" w:color="auto" w:sz="4" w:space="0"/>
              <w:right w:val="single" w:color="auto" w:sz="4" w:space="0"/>
            </w:tcBorders>
            <w:shd w:val="clear" w:color="auto" w:fill="auto"/>
            <w:noWrap/>
            <w:vAlign w:val="center"/>
          </w:tcPr>
          <w:p w14:paraId="6C6B81B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无线AP</w:t>
            </w:r>
          </w:p>
        </w:tc>
        <w:tc>
          <w:tcPr>
            <w:tcW w:w="1140" w:type="pct"/>
            <w:tcBorders>
              <w:top w:val="nil"/>
              <w:left w:val="nil"/>
              <w:bottom w:val="single" w:color="auto" w:sz="4" w:space="0"/>
              <w:right w:val="single" w:color="auto" w:sz="4" w:space="0"/>
            </w:tcBorders>
            <w:shd w:val="clear" w:color="auto" w:fill="auto"/>
            <w:noWrap/>
            <w:vAlign w:val="center"/>
          </w:tcPr>
          <w:p w14:paraId="477E53A7">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思科</w:t>
            </w:r>
          </w:p>
        </w:tc>
        <w:tc>
          <w:tcPr>
            <w:tcW w:w="1140" w:type="pct"/>
            <w:tcBorders>
              <w:top w:val="nil"/>
              <w:left w:val="nil"/>
              <w:bottom w:val="single" w:color="auto" w:sz="4" w:space="0"/>
              <w:right w:val="single" w:color="auto" w:sz="4" w:space="0"/>
            </w:tcBorders>
            <w:shd w:val="clear" w:color="auto" w:fill="auto"/>
            <w:noWrap/>
            <w:vAlign w:val="center"/>
          </w:tcPr>
          <w:p w14:paraId="47CB78C3">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TP-LINK</w:t>
            </w:r>
          </w:p>
        </w:tc>
        <w:tc>
          <w:tcPr>
            <w:tcW w:w="1325" w:type="pct"/>
            <w:tcBorders>
              <w:top w:val="nil"/>
              <w:left w:val="nil"/>
              <w:bottom w:val="single" w:color="auto" w:sz="4" w:space="0"/>
              <w:right w:val="single" w:color="auto" w:sz="4" w:space="0"/>
            </w:tcBorders>
            <w:shd w:val="clear" w:color="auto" w:fill="auto"/>
            <w:noWrap/>
            <w:vAlign w:val="center"/>
          </w:tcPr>
          <w:p w14:paraId="262449CB">
            <w:pPr>
              <w:pageBreakBefore w:val="0"/>
              <w:widowControl/>
              <w:kinsoku/>
              <w:topLinePunct w:val="0"/>
              <w:bidi w:val="0"/>
              <w:adjustRightInd w:val="0"/>
              <w:snapToGrid w:val="0"/>
              <w:spacing w:afterAutospacing="0" w:line="24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赫斯曼</w:t>
            </w:r>
          </w:p>
        </w:tc>
      </w:tr>
    </w:tbl>
    <w:p w14:paraId="23D0804B">
      <w:pPr>
        <w:keepNext w:val="0"/>
        <w:keepLines w:val="0"/>
        <w:pageBreakBefore w:val="0"/>
        <w:widowControl w:val="0"/>
        <w:numPr>
          <w:ilvl w:val="-1"/>
          <w:numId w:val="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p>
    <w:p w14:paraId="44B51CD0">
      <w:pPr>
        <w:keepNext w:val="0"/>
        <w:keepLines w:val="0"/>
        <w:pageBreakBefore w:val="0"/>
        <w:widowControl w:val="0"/>
        <w:numPr>
          <w:ilvl w:val="0"/>
          <w:numId w:val="51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工艺流程</w:t>
      </w:r>
    </w:p>
    <w:p w14:paraId="212225BB">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四轮定位工位（四轮定位参数调节&amp;大灯参数调节及检测→控制器标定（ESP/EPBI/EPS/SAS等→转角测量→喇叭声级检测）→侧滑工位→综合转毂工位（包含轮荷测量→制动力测试、制动力平衡测试、制动协调时间测试、车轮阻滞力测试、制动踏板力测试、手刹力测试、车速表指示误差测试等→轮速传感器速度校验→ABS泵阀动态检测→车辆前进换挡检测→倒挡检测）、ADAS工位预留。</w:t>
      </w:r>
    </w:p>
    <w:p w14:paraId="7D2DF641">
      <w:pPr>
        <w:keepNext w:val="0"/>
        <w:keepLines w:val="0"/>
        <w:pageBreakBefore w:val="0"/>
        <w:widowControl w:val="0"/>
        <w:numPr>
          <w:ilvl w:val="0"/>
          <w:numId w:val="51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非接触式四轮定位仪设备</w:t>
      </w:r>
    </w:p>
    <w:p w14:paraId="6C78D966">
      <w:pPr>
        <w:keepNext w:val="0"/>
        <w:keepLines w:val="0"/>
        <w:pageBreakBefore w:val="0"/>
        <w:widowControl w:val="0"/>
        <w:numPr>
          <w:ilvl w:val="0"/>
          <w:numId w:val="515"/>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概述</w:t>
      </w:r>
    </w:p>
    <w:p w14:paraId="15A980A2">
      <w:pPr>
        <w:keepNext w:val="0"/>
        <w:keepLines w:val="0"/>
        <w:pageBreakBefore w:val="0"/>
        <w:widowControl w:val="0"/>
        <w:numPr>
          <w:ilvl w:val="0"/>
          <w:numId w:val="516"/>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bookmarkStart w:id="320" w:name="_Toc1120"/>
      <w:bookmarkStart w:id="321" w:name="_Toc21654"/>
      <w:r>
        <w:rPr>
          <w:rFonts w:ascii="Times New Roman" w:hAnsi="Times New Roman" w:eastAsia="宋体" w:cs="Times New Roman"/>
          <w:sz w:val="24"/>
        </w:rPr>
        <w:t>设备采用非接触式测量，用于车辆四轮定位参数测量/判断和调整，以保证四轮定位达到设计的参数和要求。</w:t>
      </w:r>
    </w:p>
    <w:p w14:paraId="192ADC8E">
      <w:pPr>
        <w:keepNext w:val="0"/>
        <w:keepLines w:val="0"/>
        <w:pageBreakBefore w:val="0"/>
        <w:widowControl w:val="0"/>
        <w:numPr>
          <w:ilvl w:val="0"/>
          <w:numId w:val="516"/>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设备为地坑通过式布局，车辆结束测量后，继续向前行驶，无障碍通过工位。</w:t>
      </w:r>
    </w:p>
    <w:p w14:paraId="29039961">
      <w:pPr>
        <w:keepNext w:val="0"/>
        <w:keepLines w:val="0"/>
        <w:pageBreakBefore w:val="0"/>
        <w:widowControl w:val="0"/>
        <w:numPr>
          <w:ilvl w:val="0"/>
          <w:numId w:val="515"/>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主要构成</w:t>
      </w:r>
      <w:bookmarkEnd w:id="320"/>
    </w:p>
    <w:tbl>
      <w:tblPr>
        <w:tblStyle w:val="44"/>
        <w:tblW w:w="4999" w:type="pct"/>
        <w:jc w:val="center"/>
        <w:tblLayout w:type="autofit"/>
        <w:tblCellMar>
          <w:top w:w="0" w:type="dxa"/>
          <w:left w:w="108" w:type="dxa"/>
          <w:bottom w:w="0" w:type="dxa"/>
          <w:right w:w="108" w:type="dxa"/>
        </w:tblCellMar>
      </w:tblPr>
      <w:tblGrid>
        <w:gridCol w:w="1070"/>
        <w:gridCol w:w="5069"/>
        <w:gridCol w:w="1097"/>
        <w:gridCol w:w="2416"/>
      </w:tblGrid>
      <w:tr w14:paraId="2DE4C348">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2CFB24FA">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序号</w:t>
            </w:r>
          </w:p>
        </w:tc>
        <w:tc>
          <w:tcPr>
            <w:tcW w:w="2625" w:type="pct"/>
            <w:tcBorders>
              <w:top w:val="single" w:color="auto" w:sz="4" w:space="0"/>
              <w:left w:val="single" w:color="auto" w:sz="4" w:space="0"/>
              <w:bottom w:val="single" w:color="auto" w:sz="4" w:space="0"/>
              <w:right w:val="single" w:color="auto" w:sz="4" w:space="0"/>
            </w:tcBorders>
            <w:vAlign w:val="center"/>
          </w:tcPr>
          <w:p w14:paraId="016C25AE">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设备名称</w:t>
            </w:r>
          </w:p>
        </w:tc>
        <w:tc>
          <w:tcPr>
            <w:tcW w:w="568" w:type="pct"/>
            <w:tcBorders>
              <w:top w:val="single" w:color="auto" w:sz="4" w:space="0"/>
              <w:left w:val="single" w:color="auto" w:sz="4" w:space="0"/>
              <w:bottom w:val="single" w:color="auto" w:sz="4" w:space="0"/>
              <w:right w:val="single" w:color="auto" w:sz="4" w:space="0"/>
            </w:tcBorders>
            <w:noWrap/>
            <w:vAlign w:val="center"/>
          </w:tcPr>
          <w:p w14:paraId="665FDEF7">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数量</w:t>
            </w:r>
          </w:p>
        </w:tc>
        <w:tc>
          <w:tcPr>
            <w:tcW w:w="1251" w:type="pct"/>
            <w:tcBorders>
              <w:top w:val="single" w:color="auto" w:sz="4" w:space="0"/>
              <w:left w:val="single" w:color="auto" w:sz="4" w:space="0"/>
              <w:bottom w:val="single" w:color="auto" w:sz="4" w:space="0"/>
              <w:right w:val="single" w:color="auto" w:sz="4" w:space="0"/>
            </w:tcBorders>
            <w:noWrap/>
            <w:vAlign w:val="center"/>
          </w:tcPr>
          <w:p w14:paraId="7D462CDF">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备注</w:t>
            </w:r>
          </w:p>
        </w:tc>
      </w:tr>
      <w:tr w14:paraId="3230DA38">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1AB66DF5">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w:t>
            </w:r>
          </w:p>
        </w:tc>
        <w:tc>
          <w:tcPr>
            <w:tcW w:w="2625" w:type="pct"/>
            <w:tcBorders>
              <w:top w:val="single" w:color="auto" w:sz="4" w:space="0"/>
              <w:left w:val="single" w:color="auto" w:sz="4" w:space="0"/>
              <w:bottom w:val="single" w:color="auto" w:sz="4" w:space="0"/>
              <w:right w:val="single" w:color="auto" w:sz="4" w:space="0"/>
            </w:tcBorders>
            <w:vAlign w:val="center"/>
          </w:tcPr>
          <w:p w14:paraId="4D4727A4">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ascii="宋体" w:hAnsi="宋体" w:eastAsia="宋体" w:cs="Times New Roman"/>
                <w:sz w:val="24"/>
                <w:szCs w:val="24"/>
                <w:lang w:val="en-GB"/>
              </w:rPr>
              <w:t>四轮定位仪测量主机</w:t>
            </w:r>
          </w:p>
        </w:tc>
        <w:tc>
          <w:tcPr>
            <w:tcW w:w="568" w:type="pct"/>
            <w:tcBorders>
              <w:top w:val="single" w:color="auto" w:sz="4" w:space="0"/>
              <w:left w:val="single" w:color="auto" w:sz="4" w:space="0"/>
              <w:bottom w:val="single" w:color="auto" w:sz="4" w:space="0"/>
              <w:right w:val="single" w:color="auto" w:sz="4" w:space="0"/>
            </w:tcBorders>
            <w:noWrap/>
            <w:vAlign w:val="center"/>
          </w:tcPr>
          <w:p w14:paraId="7E561738">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4C260795">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p>
        </w:tc>
      </w:tr>
      <w:tr w14:paraId="1E7E8BC2">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724250EF">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2</w:t>
            </w:r>
          </w:p>
        </w:tc>
        <w:tc>
          <w:tcPr>
            <w:tcW w:w="2625" w:type="pct"/>
            <w:tcBorders>
              <w:top w:val="single" w:color="auto" w:sz="4" w:space="0"/>
              <w:left w:val="single" w:color="auto" w:sz="4" w:space="0"/>
              <w:bottom w:val="single" w:color="auto" w:sz="4" w:space="0"/>
              <w:right w:val="single" w:color="auto" w:sz="4" w:space="0"/>
            </w:tcBorders>
            <w:vAlign w:val="center"/>
          </w:tcPr>
          <w:p w14:paraId="17EE19F1">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ascii="宋体" w:hAnsi="宋体" w:eastAsia="宋体" w:cs="Times New Roman"/>
                <w:sz w:val="24"/>
                <w:szCs w:val="24"/>
                <w:lang w:val="en-GB"/>
              </w:rPr>
              <w:t>自动锁紧转盘组件</w:t>
            </w:r>
          </w:p>
        </w:tc>
        <w:tc>
          <w:tcPr>
            <w:tcW w:w="568" w:type="pct"/>
            <w:tcBorders>
              <w:top w:val="single" w:color="auto" w:sz="4" w:space="0"/>
              <w:left w:val="single" w:color="auto" w:sz="4" w:space="0"/>
              <w:bottom w:val="single" w:color="auto" w:sz="4" w:space="0"/>
              <w:right w:val="single" w:color="auto" w:sz="4" w:space="0"/>
            </w:tcBorders>
            <w:noWrap/>
            <w:vAlign w:val="center"/>
          </w:tcPr>
          <w:p w14:paraId="46369077">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62C7E08D">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p>
        </w:tc>
      </w:tr>
      <w:tr w14:paraId="6B25EA30">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5CBD695E">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3</w:t>
            </w:r>
          </w:p>
        </w:tc>
        <w:tc>
          <w:tcPr>
            <w:tcW w:w="2625" w:type="pct"/>
            <w:tcBorders>
              <w:top w:val="single" w:color="auto" w:sz="4" w:space="0"/>
              <w:left w:val="single" w:color="auto" w:sz="4" w:space="0"/>
              <w:bottom w:val="single" w:color="auto" w:sz="4" w:space="0"/>
              <w:right w:val="single" w:color="auto" w:sz="4" w:space="0"/>
            </w:tcBorders>
            <w:vAlign w:val="center"/>
          </w:tcPr>
          <w:p w14:paraId="6990116E">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ascii="宋体" w:hAnsi="宋体" w:eastAsia="宋体" w:cs="Times New Roman"/>
                <w:sz w:val="24"/>
                <w:szCs w:val="24"/>
                <w:lang w:val="en-GB"/>
              </w:rPr>
              <w:t>后轮滑板装置</w:t>
            </w:r>
          </w:p>
        </w:tc>
        <w:tc>
          <w:tcPr>
            <w:tcW w:w="568" w:type="pct"/>
            <w:tcBorders>
              <w:top w:val="single" w:color="auto" w:sz="4" w:space="0"/>
              <w:left w:val="single" w:color="auto" w:sz="4" w:space="0"/>
              <w:bottom w:val="single" w:color="auto" w:sz="4" w:space="0"/>
              <w:right w:val="single" w:color="auto" w:sz="4" w:space="0"/>
            </w:tcBorders>
            <w:noWrap/>
            <w:vAlign w:val="center"/>
          </w:tcPr>
          <w:p w14:paraId="7ECA4DB3">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70176FEC">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p>
        </w:tc>
      </w:tr>
      <w:tr w14:paraId="4D6C7CF4">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6EEE03D0">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4</w:t>
            </w:r>
          </w:p>
        </w:tc>
        <w:tc>
          <w:tcPr>
            <w:tcW w:w="2625" w:type="pct"/>
            <w:tcBorders>
              <w:top w:val="single" w:color="auto" w:sz="4" w:space="0"/>
              <w:left w:val="single" w:color="auto" w:sz="4" w:space="0"/>
              <w:bottom w:val="single" w:color="auto" w:sz="4" w:space="0"/>
              <w:right w:val="single" w:color="auto" w:sz="4" w:space="0"/>
            </w:tcBorders>
            <w:vAlign w:val="center"/>
          </w:tcPr>
          <w:p w14:paraId="66510DAC">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ascii="宋体" w:hAnsi="宋体" w:eastAsia="宋体" w:cs="Times New Roman"/>
                <w:sz w:val="24"/>
                <w:szCs w:val="24"/>
                <w:lang w:val="en-GB"/>
              </w:rPr>
              <w:t>方向盘水平仪</w:t>
            </w:r>
          </w:p>
        </w:tc>
        <w:tc>
          <w:tcPr>
            <w:tcW w:w="568" w:type="pct"/>
            <w:tcBorders>
              <w:top w:val="single" w:color="auto" w:sz="4" w:space="0"/>
              <w:left w:val="single" w:color="auto" w:sz="4" w:space="0"/>
              <w:bottom w:val="single" w:color="auto" w:sz="4" w:space="0"/>
              <w:right w:val="single" w:color="auto" w:sz="4" w:space="0"/>
            </w:tcBorders>
            <w:noWrap/>
            <w:vAlign w:val="center"/>
          </w:tcPr>
          <w:p w14:paraId="37BC2656">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1BC4D845">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p>
        </w:tc>
      </w:tr>
      <w:tr w14:paraId="7D605E9A">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6A40E739">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5</w:t>
            </w:r>
          </w:p>
        </w:tc>
        <w:tc>
          <w:tcPr>
            <w:tcW w:w="2625" w:type="pct"/>
            <w:tcBorders>
              <w:top w:val="single" w:color="auto" w:sz="4" w:space="0"/>
              <w:left w:val="single" w:color="auto" w:sz="4" w:space="0"/>
              <w:bottom w:val="single" w:color="auto" w:sz="4" w:space="0"/>
              <w:right w:val="single" w:color="auto" w:sz="4" w:space="0"/>
            </w:tcBorders>
            <w:vAlign w:val="center"/>
          </w:tcPr>
          <w:p w14:paraId="4D163433">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ascii="宋体" w:hAnsi="宋体" w:eastAsia="宋体" w:cs="Times New Roman"/>
                <w:sz w:val="24"/>
                <w:szCs w:val="24"/>
                <w:lang w:val="en-GB"/>
              </w:rPr>
              <w:t>同步操作显示器及固定装置（地面+地坑）</w:t>
            </w:r>
          </w:p>
        </w:tc>
        <w:tc>
          <w:tcPr>
            <w:tcW w:w="568" w:type="pct"/>
            <w:tcBorders>
              <w:top w:val="single" w:color="auto" w:sz="4" w:space="0"/>
              <w:left w:val="single" w:color="auto" w:sz="4" w:space="0"/>
              <w:bottom w:val="single" w:color="auto" w:sz="4" w:space="0"/>
              <w:right w:val="single" w:color="auto" w:sz="4" w:space="0"/>
            </w:tcBorders>
            <w:noWrap/>
            <w:vAlign w:val="center"/>
          </w:tcPr>
          <w:p w14:paraId="7266B447">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r>
              <w:rPr>
                <w:rFonts w:hint="eastAsia" w:ascii="宋体" w:hAnsi="宋体" w:eastAsia="宋体" w:cs="Arial"/>
                <w:sz w:val="24"/>
                <w:szCs w:val="20"/>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77DA97FF">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0"/>
              </w:rPr>
            </w:pPr>
          </w:p>
        </w:tc>
      </w:tr>
      <w:tr w14:paraId="14B88FF1">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40A326B9">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6</w:t>
            </w:r>
          </w:p>
        </w:tc>
        <w:tc>
          <w:tcPr>
            <w:tcW w:w="2625" w:type="pct"/>
            <w:tcBorders>
              <w:top w:val="single" w:color="auto" w:sz="4" w:space="0"/>
              <w:left w:val="single" w:color="auto" w:sz="4" w:space="0"/>
              <w:bottom w:val="single" w:color="auto" w:sz="4" w:space="0"/>
              <w:right w:val="single" w:color="auto" w:sz="4" w:space="0"/>
            </w:tcBorders>
            <w:vAlign w:val="center"/>
          </w:tcPr>
          <w:p w14:paraId="324F9F8D">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Times New Roman"/>
                <w:sz w:val="24"/>
                <w:szCs w:val="24"/>
                <w:lang w:val="en-GB"/>
              </w:rPr>
            </w:pPr>
            <w:r>
              <w:rPr>
                <w:rFonts w:hint="eastAsia" w:ascii="宋体" w:hAnsi="宋体" w:eastAsia="宋体" w:cs="Times New Roman"/>
                <w:sz w:val="24"/>
                <w:szCs w:val="24"/>
                <w:lang w:val="en-GB"/>
              </w:rPr>
              <w:t>标</w:t>
            </w:r>
            <w:r>
              <w:rPr>
                <w:rFonts w:ascii="宋体" w:hAnsi="宋体" w:eastAsia="宋体" w:cs="Times New Roman"/>
                <w:sz w:val="24"/>
                <w:szCs w:val="24"/>
                <w:lang w:val="en-GB"/>
              </w:rPr>
              <w:t>定工具</w:t>
            </w:r>
          </w:p>
        </w:tc>
        <w:tc>
          <w:tcPr>
            <w:tcW w:w="568" w:type="pct"/>
            <w:tcBorders>
              <w:top w:val="single" w:color="auto" w:sz="4" w:space="0"/>
              <w:left w:val="single" w:color="auto" w:sz="4" w:space="0"/>
              <w:bottom w:val="single" w:color="auto" w:sz="4" w:space="0"/>
              <w:right w:val="single" w:color="auto" w:sz="4" w:space="0"/>
            </w:tcBorders>
            <w:noWrap/>
            <w:vAlign w:val="center"/>
          </w:tcPr>
          <w:p w14:paraId="6859B35B">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11A76997">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p>
        </w:tc>
      </w:tr>
      <w:tr w14:paraId="23701AB8">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01859794">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7</w:t>
            </w:r>
          </w:p>
        </w:tc>
        <w:tc>
          <w:tcPr>
            <w:tcW w:w="2625" w:type="pct"/>
            <w:tcBorders>
              <w:top w:val="single" w:color="auto" w:sz="4" w:space="0"/>
              <w:left w:val="single" w:color="auto" w:sz="4" w:space="0"/>
              <w:bottom w:val="single" w:color="auto" w:sz="4" w:space="0"/>
              <w:right w:val="single" w:color="auto" w:sz="4" w:space="0"/>
            </w:tcBorders>
            <w:vAlign w:val="center"/>
          </w:tcPr>
          <w:p w14:paraId="1E362055">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Times New Roman"/>
                <w:sz w:val="24"/>
                <w:szCs w:val="24"/>
                <w:lang w:val="en-GB"/>
              </w:rPr>
            </w:pPr>
            <w:r>
              <w:rPr>
                <w:rFonts w:hint="eastAsia" w:ascii="宋体" w:hAnsi="宋体" w:eastAsia="宋体" w:cs="Times New Roman"/>
                <w:sz w:val="24"/>
                <w:szCs w:val="24"/>
              </w:rPr>
              <w:t>机柜</w:t>
            </w:r>
          </w:p>
        </w:tc>
        <w:tc>
          <w:tcPr>
            <w:tcW w:w="568" w:type="pct"/>
            <w:tcBorders>
              <w:top w:val="single" w:color="auto" w:sz="4" w:space="0"/>
              <w:left w:val="single" w:color="auto" w:sz="4" w:space="0"/>
              <w:bottom w:val="single" w:color="auto" w:sz="4" w:space="0"/>
              <w:right w:val="single" w:color="auto" w:sz="4" w:space="0"/>
            </w:tcBorders>
            <w:noWrap/>
            <w:vAlign w:val="center"/>
          </w:tcPr>
          <w:p w14:paraId="04970237">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2B06C346">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p>
        </w:tc>
      </w:tr>
      <w:tr w14:paraId="10DCC320">
        <w:tblPrEx>
          <w:tblCellMar>
            <w:top w:w="0" w:type="dxa"/>
            <w:left w:w="108" w:type="dxa"/>
            <w:bottom w:w="0" w:type="dxa"/>
            <w:right w:w="108" w:type="dxa"/>
          </w:tblCellMar>
        </w:tblPrEx>
        <w:trPr>
          <w:trHeight w:val="567" w:hRule="atLeast"/>
          <w:jc w:val="center"/>
        </w:trPr>
        <w:tc>
          <w:tcPr>
            <w:tcW w:w="554" w:type="pct"/>
            <w:tcBorders>
              <w:top w:val="single" w:color="auto" w:sz="4" w:space="0"/>
              <w:left w:val="single" w:color="auto" w:sz="4" w:space="0"/>
              <w:bottom w:val="single" w:color="auto" w:sz="4" w:space="0"/>
              <w:right w:val="single" w:color="auto" w:sz="4" w:space="0"/>
            </w:tcBorders>
            <w:vAlign w:val="center"/>
          </w:tcPr>
          <w:p w14:paraId="4C3941D2">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8</w:t>
            </w:r>
          </w:p>
        </w:tc>
        <w:tc>
          <w:tcPr>
            <w:tcW w:w="2625" w:type="pct"/>
            <w:tcBorders>
              <w:top w:val="single" w:color="auto" w:sz="4" w:space="0"/>
              <w:left w:val="single" w:color="auto" w:sz="4" w:space="0"/>
              <w:bottom w:val="single" w:color="auto" w:sz="4" w:space="0"/>
              <w:right w:val="single" w:color="auto" w:sz="4" w:space="0"/>
            </w:tcBorders>
            <w:vAlign w:val="center"/>
          </w:tcPr>
          <w:p w14:paraId="03A5F71F">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Times New Roman"/>
                <w:sz w:val="24"/>
                <w:szCs w:val="24"/>
                <w:lang w:val="en-GB"/>
              </w:rPr>
            </w:pPr>
            <w:r>
              <w:rPr>
                <w:rFonts w:ascii="宋体" w:hAnsi="宋体" w:eastAsia="宋体" w:cs="Times New Roman"/>
                <w:sz w:val="24"/>
                <w:szCs w:val="24"/>
                <w:lang w:val="en-GB"/>
              </w:rPr>
              <w:t>测量软件</w:t>
            </w:r>
          </w:p>
        </w:tc>
        <w:tc>
          <w:tcPr>
            <w:tcW w:w="568" w:type="pct"/>
            <w:tcBorders>
              <w:top w:val="single" w:color="auto" w:sz="4" w:space="0"/>
              <w:left w:val="single" w:color="auto" w:sz="4" w:space="0"/>
              <w:bottom w:val="single" w:color="auto" w:sz="4" w:space="0"/>
              <w:right w:val="single" w:color="auto" w:sz="4" w:space="0"/>
            </w:tcBorders>
            <w:noWrap/>
            <w:vAlign w:val="center"/>
          </w:tcPr>
          <w:p w14:paraId="6E686E14">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1套</w:t>
            </w:r>
          </w:p>
        </w:tc>
        <w:tc>
          <w:tcPr>
            <w:tcW w:w="1251" w:type="pct"/>
            <w:tcBorders>
              <w:top w:val="single" w:color="auto" w:sz="4" w:space="0"/>
              <w:left w:val="single" w:color="auto" w:sz="4" w:space="0"/>
              <w:bottom w:val="single" w:color="auto" w:sz="4" w:space="0"/>
              <w:right w:val="single" w:color="auto" w:sz="4" w:space="0"/>
            </w:tcBorders>
            <w:noWrap/>
            <w:vAlign w:val="center"/>
          </w:tcPr>
          <w:p w14:paraId="439DB953">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p>
        </w:tc>
      </w:tr>
    </w:tbl>
    <w:p w14:paraId="3F8E0456">
      <w:pPr>
        <w:keepNext w:val="0"/>
        <w:keepLines w:val="0"/>
        <w:pageBreakBefore w:val="0"/>
        <w:widowControl w:val="0"/>
        <w:numPr>
          <w:ilvl w:val="0"/>
          <w:numId w:val="51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highlight w:val="yellow"/>
        </w:rPr>
      </w:pPr>
      <w:r>
        <w:rPr>
          <w:rFonts w:ascii="Times New Roman" w:hAnsi="Times New Roman" w:eastAsia="宋体" w:cs="Times New Roman"/>
          <w:sz w:val="24"/>
        </w:rPr>
        <w:t>基本要求及生产节拍</w:t>
      </w:r>
      <w:bookmarkEnd w:id="321"/>
    </w:p>
    <w:p w14:paraId="786C858C">
      <w:pPr>
        <w:keepNext w:val="0"/>
        <w:keepLines w:val="0"/>
        <w:pageBreakBefore w:val="0"/>
        <w:widowControl w:val="0"/>
        <w:numPr>
          <w:ilvl w:val="0"/>
          <w:numId w:val="5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承重能力：≥2,000kg/车轮；允许单轴轴重：≥4000kg</w:t>
      </w:r>
      <w:r>
        <w:rPr>
          <w:rFonts w:hint="eastAsia" w:ascii="Times New Roman" w:hAnsi="Times New Roman" w:eastAsia="宋体" w:cs="Times New Roman"/>
          <w:sz w:val="24"/>
          <w:lang w:eastAsia="zh-CN"/>
        </w:rPr>
        <w:t>。</w:t>
      </w:r>
    </w:p>
    <w:p w14:paraId="5F0D675B">
      <w:pPr>
        <w:keepNext w:val="0"/>
        <w:keepLines w:val="0"/>
        <w:pageBreakBefore w:val="0"/>
        <w:widowControl w:val="0"/>
        <w:numPr>
          <w:ilvl w:val="0"/>
          <w:numId w:val="5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节拍时间：≤6分钟/台车，在此节拍时间内完成所有四轮定位测量、调整和操作</w:t>
      </w:r>
      <w:r>
        <w:rPr>
          <w:rFonts w:hint="eastAsia" w:ascii="Times New Roman" w:hAnsi="Times New Roman" w:eastAsia="宋体" w:cs="Times New Roman"/>
          <w:sz w:val="24"/>
          <w:lang w:eastAsia="zh-CN"/>
        </w:rPr>
        <w:t>。</w:t>
      </w:r>
    </w:p>
    <w:p w14:paraId="074E276A">
      <w:pPr>
        <w:keepNext w:val="0"/>
        <w:keepLines w:val="0"/>
        <w:pageBreakBefore w:val="0"/>
        <w:widowControl w:val="0"/>
        <w:numPr>
          <w:ilvl w:val="0"/>
          <w:numId w:val="51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测量内容</w:t>
      </w:r>
    </w:p>
    <w:p w14:paraId="3B0DBD5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测量、调整及显示内容如下（可按实际需求手动添加到测试流程中或从流程中删除）</w:t>
      </w:r>
      <w:r>
        <w:rPr>
          <w:rFonts w:hint="eastAsia" w:ascii="Times New Roman" w:hAnsi="Times New Roman" w:eastAsia="宋体" w:cs="Times New Roman"/>
          <w:sz w:val="24"/>
          <w:lang w:eastAsia="zh-CN"/>
        </w:rPr>
        <w:t>。</w:t>
      </w:r>
    </w:p>
    <w:p w14:paraId="6C1934CC">
      <w:pPr>
        <w:keepNext w:val="0"/>
        <w:keepLines w:val="0"/>
        <w:pageBreakBefore w:val="0"/>
        <w:widowControl w:val="0"/>
        <w:numPr>
          <w:ilvl w:val="0"/>
          <w:numId w:val="51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方向盘水平度</w:t>
      </w:r>
    </w:p>
    <w:p w14:paraId="5AD4E90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固定方向盘，并动态实时显示测量和调整过程中的方向盘水平度，保证方向盘的水平</w:t>
      </w:r>
      <w:r>
        <w:rPr>
          <w:rFonts w:hint="eastAsia" w:ascii="Times New Roman" w:hAnsi="Times New Roman" w:eastAsia="宋体" w:cs="Times New Roman"/>
          <w:sz w:val="24"/>
          <w:lang w:eastAsia="zh-CN"/>
        </w:rPr>
        <w:t>。</w:t>
      </w:r>
    </w:p>
    <w:p w14:paraId="7A4E803E">
      <w:pPr>
        <w:keepNext w:val="0"/>
        <w:keepLines w:val="0"/>
        <w:pageBreakBefore w:val="0"/>
        <w:widowControl w:val="0"/>
        <w:numPr>
          <w:ilvl w:val="0"/>
          <w:numId w:val="51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前束角</w:t>
      </w:r>
    </w:p>
    <w:p w14:paraId="1825A497">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测量和调整前轮前束并实时显示。</w:t>
      </w:r>
    </w:p>
    <w:p w14:paraId="11097501">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测量和调整后轮前束并实时显示。</w:t>
      </w:r>
    </w:p>
    <w:p w14:paraId="105DAF2C">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计算前轴、后轴的总前束并实时显示。</w:t>
      </w:r>
    </w:p>
    <w:p w14:paraId="562DDC86">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自动确定汽车底盘几何对称轴。</w:t>
      </w:r>
    </w:p>
    <w:p w14:paraId="359133EE">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计算车辆推力角。</w:t>
      </w:r>
    </w:p>
    <w:p w14:paraId="71E397C8">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推进线补偿前轮前束调整（考虑后轴推力角）。</w:t>
      </w:r>
    </w:p>
    <w:p w14:paraId="62825F01">
      <w:pPr>
        <w:keepNext w:val="0"/>
        <w:keepLines w:val="0"/>
        <w:pageBreakBefore w:val="0"/>
        <w:widowControl w:val="0"/>
        <w:numPr>
          <w:ilvl w:val="0"/>
          <w:numId w:val="51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当后轮需要调整时，需先人工确认后轮数据合格后，才调整前轮数据。</w:t>
      </w:r>
    </w:p>
    <w:p w14:paraId="4A9C87AA">
      <w:pPr>
        <w:keepNext w:val="0"/>
        <w:keepLines w:val="0"/>
        <w:pageBreakBefore w:val="0"/>
        <w:widowControl w:val="0"/>
        <w:numPr>
          <w:ilvl w:val="0"/>
          <w:numId w:val="51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外倾角</w:t>
      </w:r>
    </w:p>
    <w:p w14:paraId="478D4386">
      <w:pPr>
        <w:keepNext w:val="0"/>
        <w:keepLines w:val="0"/>
        <w:pageBreakBefore w:val="0"/>
        <w:widowControl w:val="0"/>
        <w:numPr>
          <w:ilvl w:val="0"/>
          <w:numId w:val="52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测量和调整前轮外倾角并实时显示。</w:t>
      </w:r>
    </w:p>
    <w:p w14:paraId="5C9F9DC5">
      <w:pPr>
        <w:keepNext w:val="0"/>
        <w:keepLines w:val="0"/>
        <w:pageBreakBefore w:val="0"/>
        <w:widowControl w:val="0"/>
        <w:numPr>
          <w:ilvl w:val="0"/>
          <w:numId w:val="52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测量和调整后轮外倾角并实时显示。</w:t>
      </w:r>
    </w:p>
    <w:p w14:paraId="4D2D4607">
      <w:pPr>
        <w:keepNext w:val="0"/>
        <w:keepLines w:val="0"/>
        <w:pageBreakBefore w:val="0"/>
        <w:widowControl w:val="0"/>
        <w:numPr>
          <w:ilvl w:val="0"/>
          <w:numId w:val="52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当后轮需要调整时，需先人工确认后轮数据合格后，才允许调整前轮数据。</w:t>
      </w:r>
    </w:p>
    <w:p w14:paraId="7AC2BD00">
      <w:pPr>
        <w:keepNext w:val="0"/>
        <w:keepLines w:val="0"/>
        <w:pageBreakBefore w:val="0"/>
        <w:widowControl w:val="0"/>
        <w:numPr>
          <w:ilvl w:val="0"/>
          <w:numId w:val="51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前轮主销后倾角</w:t>
      </w:r>
    </w:p>
    <w:p w14:paraId="738E3995">
      <w:pPr>
        <w:keepNext w:val="0"/>
        <w:keepLines w:val="0"/>
        <w:pageBreakBefore w:val="0"/>
        <w:widowControl w:val="0"/>
        <w:numPr>
          <w:ilvl w:val="0"/>
          <w:numId w:val="5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测量和调整（根据需要）前轮主销后倾角，并实时显示。</w:t>
      </w:r>
    </w:p>
    <w:p w14:paraId="1BDCD953">
      <w:pPr>
        <w:keepNext w:val="0"/>
        <w:keepLines w:val="0"/>
        <w:pageBreakBefore w:val="0"/>
        <w:widowControl w:val="0"/>
        <w:numPr>
          <w:ilvl w:val="0"/>
          <w:numId w:val="5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具备人工调整主销后倾角时的直接测量实时显示的功能，在测量和调整过程中能够实时显示当前值。</w:t>
      </w:r>
    </w:p>
    <w:p w14:paraId="54C24E54">
      <w:pPr>
        <w:keepNext w:val="0"/>
        <w:keepLines w:val="0"/>
        <w:pageBreakBefore w:val="0"/>
        <w:widowControl w:val="0"/>
        <w:numPr>
          <w:ilvl w:val="0"/>
          <w:numId w:val="51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前轮主销内倾角</w:t>
      </w:r>
    </w:p>
    <w:p w14:paraId="245EE45B">
      <w:pPr>
        <w:keepNext w:val="0"/>
        <w:keepLines w:val="0"/>
        <w:pageBreakBefore w:val="0"/>
        <w:widowControl w:val="0"/>
        <w:numPr>
          <w:ilvl w:val="0"/>
          <w:numId w:val="52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测量和调整（根据需要）前轮主销内倾角，并实时显示。</w:t>
      </w:r>
    </w:p>
    <w:p w14:paraId="76459372">
      <w:pPr>
        <w:keepNext w:val="0"/>
        <w:keepLines w:val="0"/>
        <w:pageBreakBefore w:val="0"/>
        <w:widowControl w:val="0"/>
        <w:numPr>
          <w:ilvl w:val="0"/>
          <w:numId w:val="52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具备人工调整主销内倾角时的直接测量实时显示的功能，在测量和调整过程中能够实时显示当前值。</w:t>
      </w:r>
    </w:p>
    <w:p w14:paraId="3A44961B">
      <w:pPr>
        <w:keepNext w:val="0"/>
        <w:keepLines w:val="0"/>
        <w:pageBreakBefore w:val="0"/>
        <w:widowControl w:val="0"/>
        <w:numPr>
          <w:ilvl w:val="0"/>
          <w:numId w:val="51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前轮最大转向角</w:t>
      </w:r>
    </w:p>
    <w:p w14:paraId="483B7C38">
      <w:pPr>
        <w:keepNext w:val="0"/>
        <w:keepLines w:val="0"/>
        <w:pageBreakBefore w:val="0"/>
        <w:widowControl w:val="0"/>
        <w:numPr>
          <w:ilvl w:val="0"/>
          <w:numId w:val="52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左转向角：测量单独的左轮左转向角和单独的右轮左转向角。</w:t>
      </w:r>
    </w:p>
    <w:p w14:paraId="2F0B8C22">
      <w:pPr>
        <w:keepNext w:val="0"/>
        <w:keepLines w:val="0"/>
        <w:pageBreakBefore w:val="0"/>
        <w:widowControl w:val="0"/>
        <w:numPr>
          <w:ilvl w:val="0"/>
          <w:numId w:val="52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右转向角：测量单独的左轮右转向角和单独的右轮右转向角。</w:t>
      </w:r>
    </w:p>
    <w:p w14:paraId="4A45B565">
      <w:pPr>
        <w:keepNext w:val="0"/>
        <w:keepLines w:val="0"/>
        <w:pageBreakBefore w:val="0"/>
        <w:widowControl w:val="0"/>
        <w:numPr>
          <w:ilvl w:val="0"/>
          <w:numId w:val="515"/>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测定范围、精度、重复精度</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8"/>
        <w:gridCol w:w="2485"/>
        <w:gridCol w:w="2458"/>
        <w:gridCol w:w="2461"/>
      </w:tblGrid>
      <w:tr w14:paraId="788F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66AE11C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项目</w:t>
            </w:r>
          </w:p>
        </w:tc>
        <w:tc>
          <w:tcPr>
            <w:tcW w:w="1287" w:type="pct"/>
            <w:vAlign w:val="center"/>
          </w:tcPr>
          <w:p w14:paraId="1511F21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测定范围</w:t>
            </w:r>
          </w:p>
        </w:tc>
        <w:tc>
          <w:tcPr>
            <w:tcW w:w="1273" w:type="pct"/>
            <w:vAlign w:val="center"/>
          </w:tcPr>
          <w:p w14:paraId="6EE8D3A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最大允许误差</w:t>
            </w:r>
          </w:p>
        </w:tc>
        <w:tc>
          <w:tcPr>
            <w:tcW w:w="1274" w:type="pct"/>
            <w:vAlign w:val="center"/>
          </w:tcPr>
          <w:p w14:paraId="4152208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重复性精度</w:t>
            </w:r>
          </w:p>
        </w:tc>
      </w:tr>
      <w:tr w14:paraId="65BC8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13668BE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车轮前束</w:t>
            </w:r>
          </w:p>
        </w:tc>
        <w:tc>
          <w:tcPr>
            <w:tcW w:w="1287" w:type="pct"/>
            <w:vAlign w:val="center"/>
          </w:tcPr>
          <w:p w14:paraId="7BC3445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w:t>
            </w:r>
          </w:p>
        </w:tc>
        <w:tc>
          <w:tcPr>
            <w:tcW w:w="1273" w:type="pct"/>
            <w:vAlign w:val="center"/>
          </w:tcPr>
          <w:p w14:paraId="1B5D930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±0.02°</w:t>
            </w:r>
          </w:p>
        </w:tc>
        <w:tc>
          <w:tcPr>
            <w:tcW w:w="1274" w:type="pct"/>
            <w:vAlign w:val="center"/>
          </w:tcPr>
          <w:p w14:paraId="69F613B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r>
      <w:tr w14:paraId="67F57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6531E91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车轮外倾</w:t>
            </w:r>
          </w:p>
        </w:tc>
        <w:tc>
          <w:tcPr>
            <w:tcW w:w="1287" w:type="pct"/>
            <w:vAlign w:val="center"/>
          </w:tcPr>
          <w:p w14:paraId="452878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w:t>
            </w:r>
          </w:p>
        </w:tc>
        <w:tc>
          <w:tcPr>
            <w:tcW w:w="1273" w:type="pct"/>
            <w:vAlign w:val="center"/>
          </w:tcPr>
          <w:p w14:paraId="730E706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±0.02°</w:t>
            </w:r>
          </w:p>
        </w:tc>
        <w:tc>
          <w:tcPr>
            <w:tcW w:w="1274" w:type="pct"/>
            <w:vAlign w:val="center"/>
          </w:tcPr>
          <w:p w14:paraId="2F6E09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r>
      <w:tr w14:paraId="07C41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0FD945A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主销后倾</w:t>
            </w:r>
          </w:p>
        </w:tc>
        <w:tc>
          <w:tcPr>
            <w:tcW w:w="1287" w:type="pct"/>
            <w:vAlign w:val="center"/>
          </w:tcPr>
          <w:p w14:paraId="2BB2C8E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±19°</w:t>
            </w:r>
          </w:p>
        </w:tc>
        <w:tc>
          <w:tcPr>
            <w:tcW w:w="1273" w:type="pct"/>
            <w:vAlign w:val="center"/>
          </w:tcPr>
          <w:p w14:paraId="443FB8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±0.05°</w:t>
            </w:r>
          </w:p>
        </w:tc>
        <w:tc>
          <w:tcPr>
            <w:tcW w:w="1274" w:type="pct"/>
            <w:vAlign w:val="center"/>
          </w:tcPr>
          <w:p w14:paraId="7247FAE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w:t>
            </w:r>
          </w:p>
        </w:tc>
      </w:tr>
      <w:tr w14:paraId="7E62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631CFD9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主销内倾</w:t>
            </w:r>
          </w:p>
        </w:tc>
        <w:tc>
          <w:tcPr>
            <w:tcW w:w="1287" w:type="pct"/>
            <w:vAlign w:val="center"/>
          </w:tcPr>
          <w:p w14:paraId="16B22D9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±19°</w:t>
            </w:r>
          </w:p>
        </w:tc>
        <w:tc>
          <w:tcPr>
            <w:tcW w:w="1273" w:type="pct"/>
            <w:vAlign w:val="center"/>
          </w:tcPr>
          <w:p w14:paraId="3950F9F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±0.05°</w:t>
            </w:r>
          </w:p>
        </w:tc>
        <w:tc>
          <w:tcPr>
            <w:tcW w:w="1274" w:type="pct"/>
            <w:vAlign w:val="center"/>
          </w:tcPr>
          <w:p w14:paraId="086FFCF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w:t>
            </w:r>
          </w:p>
        </w:tc>
      </w:tr>
      <w:tr w14:paraId="45CF0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79A8B06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推进角</w:t>
            </w:r>
          </w:p>
        </w:tc>
        <w:tc>
          <w:tcPr>
            <w:tcW w:w="1287" w:type="pct"/>
            <w:vAlign w:val="center"/>
          </w:tcPr>
          <w:p w14:paraId="049870C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1273" w:type="pct"/>
            <w:vAlign w:val="center"/>
          </w:tcPr>
          <w:p w14:paraId="1086C68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±0.02°</w:t>
            </w:r>
          </w:p>
        </w:tc>
        <w:tc>
          <w:tcPr>
            <w:tcW w:w="1274" w:type="pct"/>
            <w:vAlign w:val="center"/>
          </w:tcPr>
          <w:p w14:paraId="56A7CB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w:t>
            </w:r>
          </w:p>
        </w:tc>
      </w:tr>
      <w:tr w14:paraId="6F905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029C92C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最大转向角</w:t>
            </w:r>
          </w:p>
        </w:tc>
        <w:tc>
          <w:tcPr>
            <w:tcW w:w="1287" w:type="pct"/>
            <w:vAlign w:val="center"/>
          </w:tcPr>
          <w:p w14:paraId="7D26B03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±50°</w:t>
            </w:r>
          </w:p>
        </w:tc>
        <w:tc>
          <w:tcPr>
            <w:tcW w:w="1273" w:type="pct"/>
            <w:vAlign w:val="center"/>
          </w:tcPr>
          <w:p w14:paraId="29F30E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±0.08°</w:t>
            </w:r>
          </w:p>
        </w:tc>
        <w:tc>
          <w:tcPr>
            <w:tcW w:w="1274" w:type="pct"/>
            <w:vAlign w:val="center"/>
          </w:tcPr>
          <w:p w14:paraId="65507F3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44"/>
                <w:sz w:val="24"/>
                <w:szCs w:val="24"/>
              </w:rPr>
              <w:t>±1°</w:t>
            </w:r>
          </w:p>
        </w:tc>
      </w:tr>
      <w:tr w14:paraId="412D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4" w:type="pct"/>
            <w:vAlign w:val="center"/>
          </w:tcPr>
          <w:p w14:paraId="203930B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方向盘水平度</w:t>
            </w:r>
          </w:p>
        </w:tc>
        <w:tc>
          <w:tcPr>
            <w:tcW w:w="1287" w:type="pct"/>
            <w:vAlign w:val="center"/>
          </w:tcPr>
          <w:p w14:paraId="347B352B">
            <w:pPr>
              <w:keepNext w:val="0"/>
              <w:keepLines w:val="0"/>
              <w:pageBreakBefore w:val="0"/>
              <w:kinsoku/>
              <w:overflowPunct/>
              <w:topLinePunct w:val="0"/>
              <w:bidi w:val="0"/>
              <w:adjustRightInd w:val="0"/>
              <w:snapToGrid w:val="0"/>
              <w:spacing w:afterAutospacing="0" w:line="240" w:lineRule="auto"/>
              <w:ind w:firstLine="720" w:firstLineChars="300"/>
              <w:rPr>
                <w:rFonts w:ascii="宋体" w:hAnsi="宋体" w:eastAsia="宋体" w:cs="宋体"/>
                <w:sz w:val="24"/>
                <w:szCs w:val="24"/>
              </w:rPr>
            </w:pPr>
            <w:r>
              <w:rPr>
                <w:rFonts w:ascii="宋体" w:hAnsi="宋体" w:eastAsia="宋体" w:cs="宋体"/>
                <w:sz w:val="24"/>
                <w:szCs w:val="24"/>
              </w:rPr>
              <w:t>±10°</w:t>
            </w:r>
          </w:p>
        </w:tc>
        <w:tc>
          <w:tcPr>
            <w:tcW w:w="1273" w:type="pct"/>
            <w:vAlign w:val="center"/>
          </w:tcPr>
          <w:p w14:paraId="74B6AAA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±0.1°</w:t>
            </w:r>
          </w:p>
        </w:tc>
        <w:tc>
          <w:tcPr>
            <w:tcW w:w="1274" w:type="pct"/>
            <w:vAlign w:val="center"/>
          </w:tcPr>
          <w:p w14:paraId="0FFB7B2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w:t>
            </w:r>
          </w:p>
        </w:tc>
      </w:tr>
    </w:tbl>
    <w:p w14:paraId="4D7F03C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7B9D2C99">
      <w:pPr>
        <w:keepNext w:val="0"/>
        <w:keepLines w:val="0"/>
        <w:pageBreakBefore w:val="0"/>
        <w:widowControl w:val="0"/>
        <w:numPr>
          <w:ilvl w:val="0"/>
          <w:numId w:val="51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技术要求</w:t>
      </w:r>
    </w:p>
    <w:p w14:paraId="0D05E249">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满足上述3.5.3.4&amp;3.5.3.5各项测量和调整功能。</w:t>
      </w:r>
    </w:p>
    <w:p w14:paraId="04C2D315">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非接触式定位仪设备采用无夹具、目标板形式，不需要在车轮上安装或设置任何适配器；不需接触车辆；所采用的三维立体测量装置必须技术成熟、可靠和先进。</w:t>
      </w:r>
    </w:p>
    <w:p w14:paraId="6963DA7A">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定位仪设备采用前轴2个固定式立柱与后轴2个可运动测量传感器（主机系统及摄像头不外露），测量装置应不受周围环境自然光线及车间工作照明的影响，供货方需要提前评估工位光线对测量过程的影响程度，若有影响，相应的改进措施须包含在供货范围内，投标时需要提供详细技术方案描述。</w:t>
      </w:r>
    </w:p>
    <w:p w14:paraId="1918A228">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后轴传感器移动时，前轴传感器可以通过单独的侧面视觉传感器，通过算法，计算出后轴传感器到位后的实际位置姿态，具有自我校准功能，通过前后传感器之间的相互配合，提高四轮检测的精度（不允许单单通过后轴传感器移动或者大范围广角视觉的方式，以减少机械移动的直线度误差及视觉不能正视照射带来图像处理的误差影响）</w:t>
      </w:r>
      <w:r>
        <w:rPr>
          <w:rFonts w:hint="eastAsia" w:ascii="Times New Roman" w:hAnsi="Times New Roman" w:eastAsia="宋体" w:cs="Times New Roman"/>
          <w:sz w:val="24"/>
          <w:lang w:eastAsia="zh-CN"/>
        </w:rPr>
        <w:t>。</w:t>
      </w:r>
    </w:p>
    <w:p w14:paraId="7E790367">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方向盘水平仪：与试验台无线连接，适用现有车型方向盘并满足带安全气囊方向盘的安全要求；方向盘偏角被传输到试验台计算机用于前束调整补偿，确保汽车直线行驶时方向盘在水平位置；方向盘平衡器采用弹簧通过顶杆顶靠风挡玻璃，固定在方向盘上，方向盘偏角测量值采用单独的显示器显示，操作者观看方便，在显示器上也显示；其上有红/绿灯提示，转向盘偏角和蜂鸣器声音提示；配置1套方向盘平衡器固定和充电装置（位置符合人机工程学）及放置台；提供2块充电电池；提供2套电源电缆线，可以快速插接用于方向盘测量仪应急供电；配有1套方向盘平衡器校正装置及放置台。</w:t>
      </w:r>
    </w:p>
    <w:p w14:paraId="38B301A3">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前轴一对转角测量浮盘，浮动盘可实现自动锁紧和浮动功能，且单个浮盘X&amp;Y向浮动量不小于±50mm</w:t>
      </w:r>
      <w:r>
        <w:rPr>
          <w:rFonts w:hint="eastAsia" w:ascii="Times New Roman" w:hAnsi="Times New Roman" w:eastAsia="宋体" w:cs="Times New Roman"/>
          <w:sz w:val="24"/>
          <w:lang w:eastAsia="zh-CN"/>
        </w:rPr>
        <w:t>，</w:t>
      </w:r>
      <w:r>
        <w:rPr>
          <w:rFonts w:ascii="Times New Roman" w:hAnsi="Times New Roman" w:eastAsia="宋体" w:cs="Times New Roman"/>
          <w:sz w:val="24"/>
        </w:rPr>
        <w:t>转盘直径不小于600mm</w:t>
      </w:r>
      <w:r>
        <w:rPr>
          <w:rFonts w:hint="eastAsia" w:ascii="Times New Roman" w:hAnsi="Times New Roman" w:eastAsia="宋体" w:cs="Times New Roman"/>
          <w:sz w:val="24"/>
          <w:lang w:eastAsia="zh-CN"/>
        </w:rPr>
        <w:t>，</w:t>
      </w:r>
      <w:r>
        <w:rPr>
          <w:rFonts w:ascii="Times New Roman" w:hAnsi="Times New Roman" w:eastAsia="宋体" w:cs="Times New Roman"/>
          <w:sz w:val="24"/>
        </w:rPr>
        <w:t>投标时需要提供技术说明方案。</w:t>
      </w:r>
    </w:p>
    <w:p w14:paraId="6D046463">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前轴一对转角测量浮动盘可以自动调整轮距，采用伺服驱动机构，并对应设有安全传感器，防止移动机构对地坑操作人员的伤害。</w:t>
      </w:r>
    </w:p>
    <w:p w14:paraId="1F476BB9">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检测工位驶入区域安装成“V”字形侧向导向辊和地面导向辊，方便车辆驶入；车辆行驶通道承载能力≥1000kg/车轮，通道侧向装有导向辊，防止车辆在检测台上行驶偏离导向辊材料要求耐磨、不生锈且不损坏轮胎，导向辊安装精度高整齐美观，如下图所示：</w:t>
      </w:r>
    </w:p>
    <w:p w14:paraId="08286605">
      <w:pPr>
        <w:keepNext w:val="0"/>
        <w:keepLines w:val="0"/>
        <w:pageBreakBefore w:val="0"/>
        <w:numPr>
          <w:ilvl w:val="255"/>
          <w:numId w:val="0"/>
        </w:numPr>
        <w:kinsoku/>
        <w:overflowPunct/>
        <w:topLinePunct w:val="0"/>
        <w:bidi w:val="0"/>
        <w:adjustRightInd w:val="0"/>
        <w:snapToGrid w:val="0"/>
        <w:spacing w:afterAutospacing="0" w:line="360" w:lineRule="auto"/>
        <w:rPr>
          <w:rFonts w:ascii="宋体" w:hAnsi="宋体" w:eastAsia="宋体" w:cs="Times New Roman"/>
          <w:sz w:val="24"/>
          <w:szCs w:val="24"/>
        </w:rPr>
      </w:pPr>
      <w:r>
        <w:rPr>
          <w:rFonts w:ascii="宋体" w:hAnsi="宋体" w:eastAsia="宋体" w:cs="Times New Roman"/>
          <w:sz w:val="24"/>
          <w:szCs w:val="24"/>
        </w:rPr>
        <w:drawing>
          <wp:inline distT="0" distB="0" distL="114300" distR="114300">
            <wp:extent cx="5908040" cy="1441450"/>
            <wp:effectExtent l="0" t="0" r="5080" b="635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icPr>
                  <pic:blipFill>
                    <a:blip r:embed="rId56"/>
                    <a:stretch>
                      <a:fillRect/>
                    </a:stretch>
                  </pic:blipFill>
                  <pic:spPr>
                    <a:xfrm>
                      <a:off x="0" y="0"/>
                      <a:ext cx="5908040" cy="1441450"/>
                    </a:xfrm>
                    <a:prstGeom prst="rect">
                      <a:avLst/>
                    </a:prstGeom>
                    <a:noFill/>
                    <a:ln>
                      <a:noFill/>
                    </a:ln>
                  </pic:spPr>
                </pic:pic>
              </a:graphicData>
            </a:graphic>
          </wp:inline>
        </w:drawing>
      </w:r>
    </w:p>
    <w:p w14:paraId="065563F1">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设备安装需要的地坑基础等由供货方提供设计方案及提资，需方实施。</w:t>
      </w:r>
    </w:p>
    <w:p w14:paraId="38D61225">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根据最终使用现状及需求，提供定制的地坑内的操作</w:t>
      </w:r>
      <w:r>
        <w:rPr>
          <w:rFonts w:hint="eastAsia" w:ascii="Times New Roman" w:hAnsi="Times New Roman" w:eastAsia="宋体" w:cs="Times New Roman"/>
          <w:sz w:val="24"/>
          <w:lang w:eastAsia="zh-CN"/>
        </w:rPr>
        <w:t>踏</w:t>
      </w:r>
      <w:r>
        <w:rPr>
          <w:rFonts w:ascii="Times New Roman" w:hAnsi="Times New Roman" w:eastAsia="宋体" w:cs="Times New Roman"/>
          <w:sz w:val="24"/>
        </w:rPr>
        <w:t>台及工具台。</w:t>
      </w:r>
    </w:p>
    <w:p w14:paraId="16683C14">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一套地坑调整工作LED照明（考虑防爆要求，电压使用安全电压），照度不低于500lux，照明设备与操作员的调整动作无干涉，对操作者或者测量系统无眩目干扰。</w:t>
      </w:r>
    </w:p>
    <w:p w14:paraId="41E85A9F">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一套控制系统，配置知名品牌工业级PC计算机（配置不低于当前主流配置，十代及以上酷睿i7，内存32G， 1T固态硬盘2块，三网卡，带USB接口，工控机柜，键盘，鼠标，安装Windows10专业版64位中文操作系统与Office办公软件）；能储存至少10000辆汽车测试数据结果，测试数据结果数据库对用户开放。</w:t>
      </w:r>
    </w:p>
    <w:p w14:paraId="61ADAFE0">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UPS不间断电源：配置知名品牌，2000W</w:t>
      </w:r>
      <w:r>
        <w:rPr>
          <w:rFonts w:hint="eastAsia" w:ascii="Times New Roman" w:hAnsi="Times New Roman" w:eastAsia="宋体" w:cs="Times New Roman"/>
          <w:sz w:val="24"/>
          <w:lang w:eastAsia="zh-CN"/>
        </w:rPr>
        <w:t>，</w:t>
      </w:r>
      <w:r>
        <w:rPr>
          <w:rFonts w:ascii="Times New Roman" w:hAnsi="Times New Roman" w:eastAsia="宋体" w:cs="Times New Roman"/>
          <w:sz w:val="24"/>
        </w:rPr>
        <w:t>当设备外部电源中断时，能够提供不少于15分钟的电力供应，以保证操作者保存结果及关机等操作，确保数据、参数不丢失。</w:t>
      </w:r>
    </w:p>
    <w:p w14:paraId="4CE97927">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手持式无线扫码枪：支持条形码、二维条码录入，激光安全性符合GB7247.1-2012第2类要求；用于快速输入车辆VIN码，无条形码时采用键盘输入；输入VIN码后传递到主机进行车型匹配。</w:t>
      </w:r>
    </w:p>
    <w:p w14:paraId="4C85FB0A">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定位仪设备可自动预选择车辆数据，显示器逐步作业指导，保证人员操作便捷。</w:t>
      </w:r>
    </w:p>
    <w:p w14:paraId="72723F83">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测量数据能够和车辆信息（例如VIN）进行绑定，并且能够存储、查询、汇总、统计、输出Excel或Word格式文件。</w:t>
      </w:r>
    </w:p>
    <w:p w14:paraId="1D181DDD">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软件具有划分用户权限功能，并向需方提供管理权限；操作人员只能操作使用设备；维修人员可以进行诊断设备。</w:t>
      </w:r>
    </w:p>
    <w:p w14:paraId="32519E88">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配备标定和校准所需要的装置和软件，具备标定和校准功能；在需要校准的时候，安装标定装置，进入系统校准模式，按系统菜单提示完成标定，标定结果能显示和记录</w:t>
      </w:r>
      <w:r>
        <w:rPr>
          <w:rFonts w:hint="eastAsia" w:ascii="Times New Roman" w:hAnsi="Times New Roman" w:eastAsia="宋体" w:cs="Times New Roman"/>
          <w:sz w:val="24"/>
          <w:lang w:eastAsia="zh-CN"/>
        </w:rPr>
        <w:t>。</w:t>
      </w:r>
    </w:p>
    <w:p w14:paraId="52A8F662">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一套标定车架及标定安装工具：标定架为整体式，不易变形，标定架可以实现主销后倾和主销内倾标定功能，标定架需与设备台体有相对重复性定位装置，以保证标定时的重复性定位精度，投标时需提供技术方案描述。</w:t>
      </w:r>
    </w:p>
    <w:p w14:paraId="61382FEA">
      <w:pPr>
        <w:keepNext w:val="0"/>
        <w:keepLines w:val="0"/>
        <w:pageBreakBefore w:val="0"/>
        <w:widowControl w:val="0"/>
        <w:numPr>
          <w:ilvl w:val="0"/>
          <w:numId w:val="5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提供由第三方机构出具的带有尺寸和精度的检测合格报告；提供可自行使用三坐标来测量标定架的方法。</w:t>
      </w:r>
    </w:p>
    <w:p w14:paraId="5C96A072">
      <w:pPr>
        <w:keepNext w:val="0"/>
        <w:keepLines w:val="0"/>
        <w:pageBreakBefore w:val="0"/>
        <w:widowControl w:val="0"/>
        <w:numPr>
          <w:ilvl w:val="0"/>
          <w:numId w:val="514"/>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前照灯检测仪</w:t>
      </w:r>
    </w:p>
    <w:p w14:paraId="14506538">
      <w:pPr>
        <w:keepNext w:val="0"/>
        <w:keepLines w:val="0"/>
        <w:pageBreakBefore w:val="0"/>
        <w:widowControl w:val="0"/>
        <w:numPr>
          <w:ilvl w:val="0"/>
          <w:numId w:val="52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2" w:name="_Toc153178203"/>
      <w:r>
        <w:rPr>
          <w:rFonts w:ascii="Times New Roman" w:hAnsi="Times New Roman" w:eastAsia="宋体" w:cs="Times New Roman"/>
          <w:sz w:val="24"/>
        </w:rPr>
        <w:t>设备基本要求</w:t>
      </w:r>
      <w:bookmarkEnd w:id="322"/>
    </w:p>
    <w:p w14:paraId="1EA0CAA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前照灯检测仪与四轮定位仪集成在同一个工位</w:t>
      </w:r>
      <w:r>
        <w:rPr>
          <w:rFonts w:hint="eastAsia" w:ascii="Times New Roman" w:hAnsi="Times New Roman" w:eastAsia="宋体" w:cs="Times New Roman"/>
          <w:sz w:val="24"/>
          <w:lang w:eastAsia="zh-CN"/>
        </w:rPr>
        <w:t>。</w:t>
      </w:r>
    </w:p>
    <w:p w14:paraId="47115DB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设备检测参数满足《JJG745-2016机动车前照灯检测仪检定规程》</w:t>
      </w:r>
      <w:r>
        <w:rPr>
          <w:rFonts w:hint="eastAsia" w:ascii="Times New Roman" w:hAnsi="Times New Roman" w:eastAsia="宋体" w:cs="Times New Roman"/>
          <w:sz w:val="24"/>
          <w:lang w:eastAsia="zh-CN"/>
        </w:rPr>
        <w:t>。</w:t>
      </w:r>
    </w:p>
    <w:p w14:paraId="1DD73DC1">
      <w:pPr>
        <w:keepNext w:val="0"/>
        <w:keepLines w:val="0"/>
        <w:pageBreakBefore w:val="0"/>
        <w:widowControl w:val="0"/>
        <w:numPr>
          <w:ilvl w:val="0"/>
          <w:numId w:val="52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3" w:name="_Toc153178204"/>
      <w:r>
        <w:rPr>
          <w:rFonts w:ascii="Times New Roman" w:hAnsi="Times New Roman" w:eastAsia="宋体" w:cs="Times New Roman"/>
          <w:sz w:val="24"/>
        </w:rPr>
        <w:t>测量和调整内容</w:t>
      </w:r>
      <w:bookmarkEnd w:id="323"/>
    </w:p>
    <w:p w14:paraId="54D61009">
      <w:pPr>
        <w:keepNext w:val="0"/>
        <w:keepLines w:val="0"/>
        <w:pageBreakBefore w:val="0"/>
        <w:widowControl w:val="0"/>
        <w:numPr>
          <w:ilvl w:val="0"/>
          <w:numId w:val="5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近光灯光束照射位置测量和手动调整。</w:t>
      </w:r>
    </w:p>
    <w:p w14:paraId="1D461336">
      <w:pPr>
        <w:keepNext w:val="0"/>
        <w:keepLines w:val="0"/>
        <w:pageBreakBefore w:val="0"/>
        <w:widowControl w:val="0"/>
        <w:numPr>
          <w:ilvl w:val="0"/>
          <w:numId w:val="5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远光灯光束照射位置测量和手动调整。</w:t>
      </w:r>
    </w:p>
    <w:p w14:paraId="265021E4">
      <w:pPr>
        <w:keepNext w:val="0"/>
        <w:keepLines w:val="0"/>
        <w:pageBreakBefore w:val="0"/>
        <w:widowControl w:val="0"/>
        <w:numPr>
          <w:ilvl w:val="0"/>
          <w:numId w:val="5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远光灯光束发光强度测量。</w:t>
      </w:r>
    </w:p>
    <w:p w14:paraId="7868A523">
      <w:pPr>
        <w:keepNext w:val="0"/>
        <w:keepLines w:val="0"/>
        <w:pageBreakBefore w:val="0"/>
        <w:widowControl w:val="0"/>
        <w:numPr>
          <w:ilvl w:val="0"/>
          <w:numId w:val="52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4" w:name="_Toc153178205"/>
      <w:r>
        <w:rPr>
          <w:rFonts w:ascii="Times New Roman" w:hAnsi="Times New Roman" w:eastAsia="宋体" w:cs="Times New Roman"/>
          <w:sz w:val="24"/>
        </w:rPr>
        <w:t>测量范围及精度要求</w:t>
      </w:r>
      <w:bookmarkEnd w:id="324"/>
    </w:p>
    <w:p w14:paraId="3A66458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近光光束照射位置测量：</w:t>
      </w:r>
    </w:p>
    <w:p w14:paraId="2FA1941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测量范围：水平方向：左50cm/10m，右50cm/10m</w:t>
      </w:r>
      <w:r>
        <w:rPr>
          <w:rFonts w:hint="eastAsia" w:ascii="Times New Roman" w:hAnsi="Times New Roman" w:eastAsia="宋体" w:cs="Times New Roman"/>
          <w:sz w:val="24"/>
          <w:lang w:eastAsia="zh-CN"/>
        </w:rPr>
        <w:t>。</w:t>
      </w:r>
    </w:p>
    <w:p w14:paraId="0A06262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垂直方向：上50cm/10m，下50cm/10m</w:t>
      </w:r>
      <w:r>
        <w:rPr>
          <w:rFonts w:hint="eastAsia" w:ascii="Times New Roman" w:hAnsi="Times New Roman" w:eastAsia="宋体" w:cs="Times New Roman"/>
          <w:sz w:val="24"/>
          <w:lang w:eastAsia="zh-CN"/>
        </w:rPr>
        <w:t>。</w:t>
      </w:r>
    </w:p>
    <w:p w14:paraId="42E2F9F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测量精度：光轴角示值误差  ≤8mm/dam </w:t>
      </w:r>
      <w:r>
        <w:rPr>
          <w:rFonts w:hint="eastAsia" w:ascii="Times New Roman" w:hAnsi="Times New Roman" w:eastAsia="宋体" w:cs="Times New Roman"/>
          <w:sz w:val="24"/>
          <w:lang w:eastAsia="zh-CN"/>
        </w:rPr>
        <w:t>。</w:t>
      </w:r>
    </w:p>
    <w:p w14:paraId="11F73EA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远光光束照射位置测量：</w:t>
      </w:r>
    </w:p>
    <w:p w14:paraId="1DEBA26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测量范围：水平方向：左50cm/10m，右50cm/10m </w:t>
      </w:r>
      <w:r>
        <w:rPr>
          <w:rFonts w:hint="eastAsia" w:ascii="Times New Roman" w:hAnsi="Times New Roman" w:eastAsia="宋体" w:cs="Times New Roman"/>
          <w:sz w:val="24"/>
          <w:lang w:eastAsia="zh-CN"/>
        </w:rPr>
        <w:t>。</w:t>
      </w:r>
    </w:p>
    <w:p w14:paraId="3FD8BE9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垂直方向：上50cm/10m，下50cm/10m</w:t>
      </w:r>
      <w:r>
        <w:rPr>
          <w:rFonts w:hint="eastAsia" w:ascii="Times New Roman" w:hAnsi="Times New Roman" w:eastAsia="宋体" w:cs="Times New Roman"/>
          <w:sz w:val="24"/>
          <w:lang w:eastAsia="zh-CN"/>
        </w:rPr>
        <w:t>。</w:t>
      </w:r>
    </w:p>
    <w:p w14:paraId="7F152EC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测量精度：光轴角示值误差 ≤8mm/ dam</w:t>
      </w:r>
      <w:r>
        <w:rPr>
          <w:rFonts w:hint="eastAsia" w:ascii="Times New Roman" w:hAnsi="Times New Roman" w:eastAsia="宋体" w:cs="Times New Roman"/>
          <w:sz w:val="24"/>
          <w:lang w:eastAsia="zh-CN"/>
        </w:rPr>
        <w:t>。</w:t>
      </w:r>
    </w:p>
    <w:p w14:paraId="08D8E04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远光光束发光强度：</w:t>
      </w:r>
    </w:p>
    <w:p w14:paraId="19E70D3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测量范围：0～100000cd</w:t>
      </w:r>
      <w:r>
        <w:rPr>
          <w:rFonts w:hint="eastAsia" w:ascii="Times New Roman" w:hAnsi="Times New Roman" w:eastAsia="宋体" w:cs="Times New Roman"/>
          <w:sz w:val="24"/>
          <w:lang w:eastAsia="zh-CN"/>
        </w:rPr>
        <w:t>。</w:t>
      </w:r>
    </w:p>
    <w:p w14:paraId="6466A41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测量精度：发光强度示值误差≤10%（在5000～80000cd测量范围内）</w:t>
      </w:r>
      <w:r>
        <w:rPr>
          <w:rFonts w:hint="eastAsia" w:ascii="Times New Roman" w:hAnsi="Times New Roman" w:eastAsia="宋体" w:cs="Times New Roman"/>
          <w:sz w:val="24"/>
          <w:lang w:eastAsia="zh-CN"/>
        </w:rPr>
        <w:t>。</w:t>
      </w:r>
    </w:p>
    <w:p w14:paraId="75FCDF9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左右灯远光光强差异精度≤5%</w:t>
      </w:r>
      <w:r>
        <w:rPr>
          <w:rFonts w:hint="eastAsia" w:ascii="Times New Roman" w:hAnsi="Times New Roman" w:eastAsia="宋体" w:cs="Times New Roman"/>
          <w:sz w:val="24"/>
          <w:lang w:eastAsia="zh-CN"/>
        </w:rPr>
        <w:t>。</w:t>
      </w:r>
    </w:p>
    <w:p w14:paraId="42AFAE4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64A584EC">
      <w:pPr>
        <w:keepNext w:val="0"/>
        <w:keepLines w:val="0"/>
        <w:pageBreakBefore w:val="0"/>
        <w:widowControl w:val="0"/>
        <w:numPr>
          <w:ilvl w:val="0"/>
          <w:numId w:val="52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5" w:name="_Toc153178206"/>
      <w:r>
        <w:rPr>
          <w:rFonts w:ascii="Times New Roman" w:hAnsi="Times New Roman" w:eastAsia="宋体" w:cs="Times New Roman"/>
          <w:sz w:val="24"/>
        </w:rPr>
        <w:t>设备其他要求</w:t>
      </w:r>
      <w:bookmarkEnd w:id="325"/>
    </w:p>
    <w:p w14:paraId="72EA626D">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满足上述各项测量和调整及精度要求；必须可以测量LED光源。</w:t>
      </w:r>
    </w:p>
    <w:p w14:paraId="587BD568">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适合中国、欧洲、美国和日本配光标准的各种前照灯检测和调整；适合两灯制和四灯制和各种形状的白炽灯、卤素灯和气体（氙气）放电灯、LED灯、激光大灯等的检测和调整；适合左驾驶车灯。</w:t>
      </w:r>
    </w:p>
    <w:p w14:paraId="68D3674C">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前照灯测量和调整时，汽车停放于四轮定位仪上。</w:t>
      </w:r>
    </w:p>
    <w:p w14:paraId="0921E878">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前大灯测试仪集光箱安装距离应满足300mm</w:t>
      </w:r>
      <w:r>
        <w:rPr>
          <w:rFonts w:hint="eastAsia" w:ascii="Times New Roman" w:hAnsi="Times New Roman" w:eastAsia="宋体" w:cs="Times New Roman"/>
          <w:sz w:val="24"/>
          <w:lang w:eastAsia="zh-CN"/>
        </w:rPr>
        <w:t>～</w:t>
      </w:r>
      <w:r>
        <w:rPr>
          <w:rFonts w:ascii="Times New Roman" w:hAnsi="Times New Roman" w:eastAsia="宋体" w:cs="Times New Roman"/>
          <w:sz w:val="24"/>
        </w:rPr>
        <w:t>1000mm。</w:t>
      </w:r>
    </w:p>
    <w:p w14:paraId="7F1AFAFB">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集光箱采用地面轨道行走形式；可以沿Y向和Z向自动移动到前大灯测试位置；集光箱移动方式采用电机和变频器驱动，能实现平顺起动、加速和制动；同时操作轻便快捷，定位准确；水平方向移动速度≥250mm/s；垂直方向移动速度≥100mm/s，定位精度：≥±2mm。</w:t>
      </w:r>
    </w:p>
    <w:p w14:paraId="21156299">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集光箱采用CMOS照相机；照相机能够适应不同的灯光频率，能够通过修改程序中的参数调整照相机的频率。</w:t>
      </w:r>
    </w:p>
    <w:p w14:paraId="76A30E71">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具有标定系统，在使用一段时间之后可以进行灯光检测仪的标定（支持远光灯、近光灯的标定；包括光强和照射位置标定）；配备标准光源，标准光源要求带有第三方出具的检定合格证书。</w:t>
      </w:r>
    </w:p>
    <w:p w14:paraId="3E46C7DB">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前照灯仪的基准中心离地高度示值误差不大于±1mm；对带有高度比显示的前照灯仪，其高度比测量范围应为0.45～1.20；高度比示值误差不大于±0.05％。</w:t>
      </w:r>
    </w:p>
    <w:p w14:paraId="17CB8151">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前照灯检测仪轨道水平面度应在3mm/m（10′）范围内。</w:t>
      </w:r>
    </w:p>
    <w:p w14:paraId="0F037CF9">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显示设备应安装在操作人员可以调节大灯时能看到的位置；屏幕角度可调，易于操作；显示额定值，测量值和调整操作提示等。</w:t>
      </w:r>
    </w:p>
    <w:p w14:paraId="1A521FEE">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一套控制系统，配置知名品牌工业级PC计算机（配置不低于当前主流配置，十代及以上酷睿CPU，内存16G， 1T固态硬盘，网卡，带USB接口，工控机柜，键盘，鼠标，安装Windows10专业版64位中文操作系统与Office办公软件）；能储存至少100000辆汽车测试数据结果，测试数据结果数据库对用户开放。</w:t>
      </w:r>
    </w:p>
    <w:p w14:paraId="1B0531A9">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UPS不间断电源：配置知名品牌，2000W</w:t>
      </w:r>
      <w:r>
        <w:rPr>
          <w:rFonts w:hint="eastAsia" w:ascii="Times New Roman" w:hAnsi="Times New Roman" w:eastAsia="宋体" w:cs="Times New Roman"/>
          <w:sz w:val="24"/>
          <w:lang w:eastAsia="zh-CN"/>
        </w:rPr>
        <w:t>，</w:t>
      </w:r>
      <w:r>
        <w:rPr>
          <w:rFonts w:ascii="Times New Roman" w:hAnsi="Times New Roman" w:eastAsia="宋体" w:cs="Times New Roman"/>
          <w:sz w:val="24"/>
        </w:rPr>
        <w:t>当设备外部电源中断时，能够提供不少于15分钟的电力供应，以保证操作者保存结果及关机等操作，确保数据、参数不丢失。</w:t>
      </w:r>
    </w:p>
    <w:p w14:paraId="6BFFA5A4">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检测结果经大灯仪PC上传到检测线数据采集平台。</w:t>
      </w:r>
    </w:p>
    <w:p w14:paraId="745C26E8">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具有故障诊断功能。</w:t>
      </w:r>
    </w:p>
    <w:p w14:paraId="5DED1A00">
      <w:pPr>
        <w:keepNext w:val="0"/>
        <w:keepLines w:val="0"/>
        <w:pageBreakBefore w:val="0"/>
        <w:widowControl w:val="0"/>
        <w:numPr>
          <w:ilvl w:val="0"/>
          <w:numId w:val="5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标定单元用于标定，激光束指向汽车的理论行驶方向；大灯测试的中心标记通过该激光记录；通过标定系统，照相机安装位置被计算和检查。</w:t>
      </w:r>
    </w:p>
    <w:p w14:paraId="3AC51CD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bookmarkStart w:id="326" w:name="OLE_LINK18"/>
      <w:r>
        <w:rPr>
          <w:rFonts w:ascii="Times New Roman" w:hAnsi="Times New Roman" w:eastAsia="宋体" w:cs="Times New Roman"/>
          <w:sz w:val="24"/>
        </w:rPr>
        <w:t>注：以上仅作参考，具体以设计会签为准。</w:t>
      </w:r>
    </w:p>
    <w:bookmarkEnd w:id="326"/>
    <w:p w14:paraId="563BCF22">
      <w:pPr>
        <w:keepNext w:val="0"/>
        <w:keepLines w:val="0"/>
        <w:pageBreakBefore w:val="0"/>
        <w:widowControl w:val="0"/>
        <w:numPr>
          <w:ilvl w:val="0"/>
          <w:numId w:val="514"/>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侧滑试验台</w:t>
      </w:r>
    </w:p>
    <w:p w14:paraId="2FB3E012">
      <w:pPr>
        <w:keepNext w:val="0"/>
        <w:keepLines w:val="0"/>
        <w:pageBreakBefore w:val="0"/>
        <w:widowControl w:val="0"/>
        <w:numPr>
          <w:ilvl w:val="0"/>
          <w:numId w:val="52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测量内容</w:t>
      </w:r>
    </w:p>
    <w:p w14:paraId="034A9181">
      <w:pPr>
        <w:keepNext w:val="0"/>
        <w:keepLines w:val="0"/>
        <w:pageBreakBefore w:val="0"/>
        <w:widowControl w:val="0"/>
        <w:numPr>
          <w:ilvl w:val="0"/>
          <w:numId w:val="52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测量车辆前轮、后轮的侧滑量</w:t>
      </w:r>
      <w:r>
        <w:rPr>
          <w:rFonts w:hint="eastAsia" w:ascii="Times New Roman" w:hAnsi="Times New Roman" w:eastAsia="宋体" w:cs="Times New Roman"/>
          <w:sz w:val="24"/>
          <w:lang w:eastAsia="zh-CN"/>
        </w:rPr>
        <w:t>。</w:t>
      </w:r>
    </w:p>
    <w:p w14:paraId="4603381D">
      <w:pPr>
        <w:keepNext w:val="0"/>
        <w:keepLines w:val="0"/>
        <w:pageBreakBefore w:val="0"/>
        <w:widowControl w:val="0"/>
        <w:numPr>
          <w:ilvl w:val="0"/>
          <w:numId w:val="52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测量车辆的前轮、后轮通过速度</w:t>
      </w:r>
      <w:r>
        <w:rPr>
          <w:rFonts w:hint="eastAsia" w:ascii="Times New Roman" w:hAnsi="Times New Roman" w:eastAsia="宋体" w:cs="Times New Roman"/>
          <w:sz w:val="24"/>
          <w:lang w:eastAsia="zh-CN"/>
        </w:rPr>
        <w:t>。</w:t>
      </w:r>
    </w:p>
    <w:p w14:paraId="2600DB9E">
      <w:pPr>
        <w:keepNext w:val="0"/>
        <w:keepLines w:val="0"/>
        <w:pageBreakBefore w:val="0"/>
        <w:widowControl w:val="0"/>
        <w:numPr>
          <w:ilvl w:val="0"/>
          <w:numId w:val="52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测量范围及精度</w:t>
      </w:r>
    </w:p>
    <w:p w14:paraId="15D46967">
      <w:pPr>
        <w:keepNext w:val="0"/>
        <w:keepLines w:val="0"/>
        <w:pageBreakBefore w:val="0"/>
        <w:widowControl w:val="0"/>
        <w:numPr>
          <w:ilvl w:val="0"/>
          <w:numId w:val="5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侧滑量程：±10 m /km </w:t>
      </w:r>
      <w:r>
        <w:rPr>
          <w:rFonts w:hint="eastAsia" w:ascii="Times New Roman" w:hAnsi="Times New Roman" w:eastAsia="宋体" w:cs="Times New Roman"/>
          <w:sz w:val="24"/>
          <w:lang w:eastAsia="zh-CN"/>
        </w:rPr>
        <w:t>。</w:t>
      </w:r>
    </w:p>
    <w:p w14:paraId="0736209B">
      <w:pPr>
        <w:keepNext w:val="0"/>
        <w:keepLines w:val="0"/>
        <w:pageBreakBefore w:val="0"/>
        <w:widowControl w:val="0"/>
        <w:numPr>
          <w:ilvl w:val="0"/>
          <w:numId w:val="5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量侧滑精度：不超过±0.2m/km </w:t>
      </w:r>
      <w:r>
        <w:rPr>
          <w:rFonts w:hint="eastAsia" w:ascii="Times New Roman" w:hAnsi="Times New Roman" w:eastAsia="宋体" w:cs="Times New Roman"/>
          <w:sz w:val="24"/>
          <w:lang w:eastAsia="zh-CN"/>
        </w:rPr>
        <w:t>。</w:t>
      </w:r>
    </w:p>
    <w:p w14:paraId="41BFF948">
      <w:pPr>
        <w:keepNext w:val="0"/>
        <w:keepLines w:val="0"/>
        <w:pageBreakBefore w:val="0"/>
        <w:widowControl w:val="0"/>
        <w:numPr>
          <w:ilvl w:val="0"/>
          <w:numId w:val="5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测量重复性误差：不超过±0.2m/km </w:t>
      </w:r>
      <w:r>
        <w:rPr>
          <w:rFonts w:hint="eastAsia" w:ascii="Times New Roman" w:hAnsi="Times New Roman" w:eastAsia="宋体" w:cs="Times New Roman"/>
          <w:sz w:val="24"/>
          <w:lang w:eastAsia="zh-CN"/>
        </w:rPr>
        <w:t>。</w:t>
      </w:r>
    </w:p>
    <w:p w14:paraId="1AA2FF80">
      <w:pPr>
        <w:keepNext w:val="0"/>
        <w:keepLines w:val="0"/>
        <w:pageBreakBefore w:val="0"/>
        <w:widowControl w:val="0"/>
        <w:numPr>
          <w:ilvl w:val="0"/>
          <w:numId w:val="52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设备组成</w:t>
      </w:r>
    </w:p>
    <w:p w14:paraId="7202BBAE">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双侧滑板结构</w:t>
      </w:r>
      <w:r>
        <w:rPr>
          <w:rFonts w:hint="eastAsia" w:ascii="Times New Roman" w:hAnsi="Times New Roman" w:eastAsia="宋体" w:cs="Times New Roman"/>
          <w:sz w:val="24"/>
          <w:lang w:eastAsia="zh-CN"/>
        </w:rPr>
        <w:t>。</w:t>
      </w:r>
    </w:p>
    <w:p w14:paraId="2E7A2525">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基本结构一套，配有满足以上量程的水平调节装置</w:t>
      </w:r>
      <w:r>
        <w:rPr>
          <w:rFonts w:hint="eastAsia" w:ascii="Times New Roman" w:hAnsi="Times New Roman" w:eastAsia="宋体" w:cs="Times New Roman"/>
          <w:sz w:val="24"/>
          <w:lang w:eastAsia="zh-CN"/>
        </w:rPr>
        <w:t>。</w:t>
      </w:r>
    </w:p>
    <w:p w14:paraId="62792A34">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侧滑板：左右各一套，带放松板</w:t>
      </w:r>
      <w:r>
        <w:rPr>
          <w:rFonts w:hint="eastAsia" w:ascii="Times New Roman" w:hAnsi="Times New Roman" w:eastAsia="宋体" w:cs="Times New Roman"/>
          <w:sz w:val="24"/>
          <w:lang w:eastAsia="zh-CN"/>
        </w:rPr>
        <w:t>。</w:t>
      </w:r>
    </w:p>
    <w:p w14:paraId="485E2741">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配有侧滑量测量单元</w:t>
      </w:r>
      <w:r>
        <w:rPr>
          <w:rFonts w:hint="eastAsia" w:ascii="Times New Roman" w:hAnsi="Times New Roman" w:eastAsia="宋体" w:cs="Times New Roman"/>
          <w:sz w:val="24"/>
          <w:lang w:eastAsia="zh-CN"/>
        </w:rPr>
        <w:t>。</w:t>
      </w:r>
    </w:p>
    <w:p w14:paraId="641C3D92">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具有手动锁止功能</w:t>
      </w:r>
      <w:r>
        <w:rPr>
          <w:rFonts w:hint="eastAsia" w:ascii="Times New Roman" w:hAnsi="Times New Roman" w:eastAsia="宋体" w:cs="Times New Roman"/>
          <w:sz w:val="24"/>
          <w:lang w:eastAsia="zh-CN"/>
        </w:rPr>
        <w:t>。</w:t>
      </w:r>
    </w:p>
    <w:p w14:paraId="3FD2AB9C">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左、右侧滑板相互连结</w:t>
      </w:r>
      <w:r>
        <w:rPr>
          <w:rFonts w:hint="eastAsia" w:ascii="Times New Roman" w:hAnsi="Times New Roman" w:eastAsia="宋体" w:cs="Times New Roman"/>
          <w:sz w:val="24"/>
          <w:lang w:eastAsia="zh-CN"/>
        </w:rPr>
        <w:t>。</w:t>
      </w:r>
    </w:p>
    <w:p w14:paraId="1E30CDAD">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最小示值：0.2m/km</w:t>
      </w:r>
      <w:r>
        <w:rPr>
          <w:rFonts w:hint="eastAsia" w:ascii="Times New Roman" w:hAnsi="Times New Roman" w:eastAsia="宋体" w:cs="Times New Roman"/>
          <w:sz w:val="24"/>
          <w:lang w:eastAsia="zh-CN"/>
        </w:rPr>
        <w:t>。</w:t>
      </w:r>
    </w:p>
    <w:p w14:paraId="09734113">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具有两组光电开关以对应测量通过速度及防误操作功能</w:t>
      </w:r>
      <w:r>
        <w:rPr>
          <w:rFonts w:hint="eastAsia" w:ascii="Times New Roman" w:hAnsi="Times New Roman" w:eastAsia="宋体" w:cs="Times New Roman"/>
          <w:sz w:val="24"/>
          <w:lang w:eastAsia="zh-CN"/>
        </w:rPr>
        <w:t>。</w:t>
      </w:r>
    </w:p>
    <w:p w14:paraId="0DFB4083">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与灯光仪控制系统集成；配备声音报警装置；显示器一套：配有至少32英寸LCD显示器，能够指示偏移/侧滑最大量，显示器悬挂于试验台正前方</w:t>
      </w:r>
      <w:r>
        <w:rPr>
          <w:rFonts w:hint="eastAsia" w:ascii="Times New Roman" w:hAnsi="Times New Roman" w:eastAsia="宋体" w:cs="Times New Roman"/>
          <w:sz w:val="24"/>
          <w:lang w:eastAsia="zh-CN"/>
        </w:rPr>
        <w:t>。</w:t>
      </w:r>
    </w:p>
    <w:p w14:paraId="5477DDAF">
      <w:pPr>
        <w:keepNext w:val="0"/>
        <w:keepLines w:val="0"/>
        <w:pageBreakBefore w:val="0"/>
        <w:widowControl w:val="0"/>
        <w:numPr>
          <w:ilvl w:val="0"/>
          <w:numId w:val="5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一套标定装置及标定程序</w:t>
      </w:r>
      <w:r>
        <w:rPr>
          <w:rFonts w:hint="eastAsia" w:ascii="Times New Roman" w:hAnsi="Times New Roman" w:eastAsia="宋体" w:cs="Times New Roman"/>
          <w:sz w:val="24"/>
          <w:lang w:eastAsia="zh-CN"/>
        </w:rPr>
        <w:t>。</w:t>
      </w:r>
    </w:p>
    <w:p w14:paraId="2C7EB1D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503C321E">
      <w:pPr>
        <w:keepNext w:val="0"/>
        <w:keepLines w:val="0"/>
        <w:pageBreakBefore w:val="0"/>
        <w:widowControl w:val="0"/>
        <w:numPr>
          <w:ilvl w:val="0"/>
          <w:numId w:val="514"/>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综合转毂试验台技术要求</w:t>
      </w:r>
    </w:p>
    <w:p w14:paraId="3B221A3F">
      <w:pPr>
        <w:keepNext w:val="0"/>
        <w:keepLines w:val="0"/>
        <w:pageBreakBefore w:val="0"/>
        <w:widowControl w:val="0"/>
        <w:numPr>
          <w:ilvl w:val="0"/>
          <w:numId w:val="5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7" w:name="_Toc153178208"/>
      <w:r>
        <w:rPr>
          <w:rFonts w:ascii="Times New Roman" w:hAnsi="Times New Roman" w:eastAsia="宋体" w:cs="Times New Roman"/>
          <w:sz w:val="24"/>
        </w:rPr>
        <w:t>设备基本要求及节拍</w:t>
      </w:r>
      <w:bookmarkEnd w:id="327"/>
    </w:p>
    <w:p w14:paraId="2D1FC08D">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设备能够完成性能转毂、ABS测试、制动力测试</w:t>
      </w:r>
      <w:r>
        <w:rPr>
          <w:rFonts w:hint="eastAsia" w:ascii="Times New Roman" w:hAnsi="Times New Roman" w:eastAsia="宋体" w:cs="Times New Roman"/>
          <w:sz w:val="24"/>
          <w:lang w:eastAsia="zh-CN"/>
        </w:rPr>
        <w:t>。</w:t>
      </w:r>
    </w:p>
    <w:p w14:paraId="6628FC83">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双轴滚筒式：滚筒直径≥500mm</w:t>
      </w:r>
      <w:r>
        <w:rPr>
          <w:rFonts w:hint="eastAsia" w:ascii="Times New Roman" w:hAnsi="Times New Roman" w:eastAsia="宋体" w:cs="Times New Roman"/>
          <w:sz w:val="24"/>
          <w:lang w:eastAsia="zh-CN"/>
        </w:rPr>
        <w:t>。</w:t>
      </w:r>
    </w:p>
    <w:p w14:paraId="40D3DE28">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highlight w:val="none"/>
        </w:rPr>
      </w:pPr>
      <w:r>
        <w:rPr>
          <w:rFonts w:ascii="Times New Roman" w:hAnsi="Times New Roman" w:eastAsia="宋体" w:cs="Times New Roman"/>
          <w:sz w:val="24"/>
          <w:highlight w:val="none"/>
        </w:rPr>
        <w:t>轴距范围：2500~3</w:t>
      </w:r>
      <w:r>
        <w:rPr>
          <w:rFonts w:hint="eastAsia" w:ascii="Times New Roman" w:hAnsi="Times New Roman" w:eastAsia="宋体" w:cs="Times New Roman"/>
          <w:sz w:val="24"/>
          <w:highlight w:val="none"/>
          <w:lang w:val="en-US" w:eastAsia="zh-CN"/>
        </w:rPr>
        <w:t>800</w:t>
      </w:r>
      <w:r>
        <w:rPr>
          <w:rFonts w:ascii="Times New Roman" w:hAnsi="Times New Roman" w:eastAsia="宋体" w:cs="Times New Roman"/>
          <w:sz w:val="24"/>
          <w:highlight w:val="none"/>
        </w:rPr>
        <w:t xml:space="preserve"> mm可调</w:t>
      </w:r>
      <w:r>
        <w:rPr>
          <w:rFonts w:hint="eastAsia" w:ascii="Times New Roman" w:hAnsi="Times New Roman" w:eastAsia="宋体" w:cs="Times New Roman"/>
          <w:sz w:val="24"/>
          <w:highlight w:val="none"/>
          <w:lang w:eastAsia="zh-CN"/>
        </w:rPr>
        <w:t>。</w:t>
      </w:r>
    </w:p>
    <w:p w14:paraId="5C6BF6C2">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highlight w:val="yellow"/>
        </w:rPr>
      </w:pPr>
      <w:r>
        <w:rPr>
          <w:rFonts w:ascii="Times New Roman" w:hAnsi="Times New Roman" w:eastAsia="宋体" w:cs="Times New Roman"/>
          <w:sz w:val="24"/>
          <w:highlight w:val="none"/>
        </w:rPr>
        <w:t>轮距范围：1</w:t>
      </w:r>
      <w:r>
        <w:rPr>
          <w:rFonts w:hint="eastAsia" w:ascii="Times New Roman" w:hAnsi="Times New Roman" w:eastAsia="宋体" w:cs="Times New Roman"/>
          <w:sz w:val="24"/>
          <w:highlight w:val="none"/>
          <w:lang w:val="en-US" w:eastAsia="zh-CN"/>
        </w:rPr>
        <w:t>3</w:t>
      </w:r>
      <w:r>
        <w:rPr>
          <w:rFonts w:ascii="Times New Roman" w:hAnsi="Times New Roman" w:eastAsia="宋体" w:cs="Times New Roman"/>
          <w:sz w:val="24"/>
          <w:highlight w:val="none"/>
        </w:rPr>
        <w:t>00~1800 mm</w:t>
      </w:r>
      <w:r>
        <w:rPr>
          <w:rFonts w:ascii="Times New Roman" w:hAnsi="Times New Roman" w:eastAsia="宋体" w:cs="Times New Roman"/>
          <w:color w:val="auto"/>
          <w:sz w:val="24"/>
          <w:highlight w:val="none"/>
        </w:rPr>
        <w:t>可调</w:t>
      </w:r>
      <w:r>
        <w:rPr>
          <w:rFonts w:hint="eastAsia" w:ascii="Times New Roman" w:hAnsi="Times New Roman" w:eastAsia="宋体" w:cs="Times New Roman"/>
          <w:sz w:val="24"/>
          <w:highlight w:val="none"/>
          <w:lang w:eastAsia="zh-CN"/>
        </w:rPr>
        <w:t>。</w:t>
      </w:r>
    </w:p>
    <w:p w14:paraId="4B7E3F1E">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承重能力：≥1,000 kg /车轮</w:t>
      </w:r>
      <w:r>
        <w:rPr>
          <w:rFonts w:hint="eastAsia" w:ascii="Times New Roman" w:hAnsi="Times New Roman" w:eastAsia="宋体" w:cs="Times New Roman"/>
          <w:sz w:val="24"/>
          <w:lang w:eastAsia="zh-CN"/>
        </w:rPr>
        <w:t>。</w:t>
      </w:r>
    </w:p>
    <w:p w14:paraId="3052038D">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节拍时间：≤6min/辆车，完成全部检测内容应在此节拍时间内（包括操作时间如驶入、驶出试验台等）</w:t>
      </w:r>
      <w:r>
        <w:rPr>
          <w:rFonts w:hint="eastAsia" w:ascii="Times New Roman" w:hAnsi="Times New Roman" w:eastAsia="宋体" w:cs="Times New Roman"/>
          <w:sz w:val="24"/>
          <w:lang w:eastAsia="zh-CN"/>
        </w:rPr>
        <w:t>。</w:t>
      </w:r>
    </w:p>
    <w:p w14:paraId="14E17F35">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最大测试速度：120 km/h</w:t>
      </w:r>
      <w:r>
        <w:rPr>
          <w:rFonts w:hint="eastAsia" w:ascii="Times New Roman" w:hAnsi="Times New Roman" w:eastAsia="宋体" w:cs="Times New Roman"/>
          <w:sz w:val="24"/>
          <w:lang w:eastAsia="zh-CN"/>
        </w:rPr>
        <w:t>。</w:t>
      </w:r>
    </w:p>
    <w:p w14:paraId="37F88F00">
      <w:pPr>
        <w:keepNext w:val="0"/>
        <w:keepLines w:val="0"/>
        <w:pageBreakBefore w:val="0"/>
        <w:widowControl w:val="0"/>
        <w:numPr>
          <w:ilvl w:val="0"/>
          <w:numId w:val="5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试验台应满足最小离地间隙为100mm的整车的通过性</w:t>
      </w:r>
      <w:r>
        <w:rPr>
          <w:rFonts w:hint="eastAsia" w:ascii="Times New Roman" w:hAnsi="Times New Roman" w:eastAsia="宋体" w:cs="Times New Roman"/>
          <w:sz w:val="24"/>
          <w:lang w:eastAsia="zh-CN"/>
        </w:rPr>
        <w:t>。</w:t>
      </w:r>
    </w:p>
    <w:p w14:paraId="2620C701">
      <w:pPr>
        <w:keepNext w:val="0"/>
        <w:keepLines w:val="0"/>
        <w:pageBreakBefore w:val="0"/>
        <w:widowControl w:val="0"/>
        <w:numPr>
          <w:ilvl w:val="0"/>
          <w:numId w:val="5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8" w:name="_Toc153178209"/>
      <w:r>
        <w:rPr>
          <w:rFonts w:ascii="Times New Roman" w:hAnsi="Times New Roman" w:eastAsia="宋体" w:cs="Times New Roman"/>
          <w:sz w:val="24"/>
        </w:rPr>
        <w:t>检测内容</w:t>
      </w:r>
      <w:bookmarkEnd w:id="328"/>
    </w:p>
    <w:p w14:paraId="7DD12060">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检测内容满足GB7258—2017《机动车运行安全技术条件》中的相关规定</w:t>
      </w:r>
      <w:r>
        <w:rPr>
          <w:rFonts w:hint="eastAsia" w:ascii="Times New Roman" w:hAnsi="Times New Roman" w:eastAsia="宋体" w:cs="Times New Roman"/>
          <w:sz w:val="24"/>
          <w:lang w:eastAsia="zh-CN"/>
        </w:rPr>
        <w:t>。</w:t>
      </w:r>
    </w:p>
    <w:p w14:paraId="58468D1C">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检测内容满足GB21861-2014《机动车安全技术检验项目和方法》中的相关规定</w:t>
      </w:r>
      <w:r>
        <w:rPr>
          <w:rFonts w:hint="eastAsia" w:ascii="Times New Roman" w:hAnsi="Times New Roman" w:eastAsia="宋体" w:cs="Times New Roman"/>
          <w:sz w:val="24"/>
          <w:lang w:eastAsia="zh-CN"/>
        </w:rPr>
        <w:t>。</w:t>
      </w:r>
    </w:p>
    <w:p w14:paraId="3AE4CFEC">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轮速传感器测试：根据诊断工具的输入，将左前滚筒，右前滚筒，左后滚筒，右后滚筒的转速设定为3km/h、6km/h、9km/h、12km/h，滚筒带动车轮转动，诊断工具发送诊断命令读取相应车轮在测试循环中的最小、最大轮速</w:t>
      </w:r>
      <w:r>
        <w:rPr>
          <w:rFonts w:hint="eastAsia" w:ascii="Times New Roman" w:hAnsi="Times New Roman" w:eastAsia="宋体" w:cs="Times New Roman"/>
          <w:sz w:val="24"/>
          <w:lang w:eastAsia="zh-CN"/>
        </w:rPr>
        <w:t>。</w:t>
      </w:r>
    </w:p>
    <w:p w14:paraId="073C0A36">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车速表指示误差检验：当汽车车速表的指示值（V1）为40 km/h时，试验台速度测量值在32.8 km/h ~ 40 km/h范围内为合格，车轮驱动滚筒</w:t>
      </w:r>
      <w:r>
        <w:rPr>
          <w:rFonts w:hint="eastAsia" w:ascii="Times New Roman" w:hAnsi="Times New Roman" w:eastAsia="宋体" w:cs="Times New Roman"/>
          <w:sz w:val="24"/>
          <w:lang w:eastAsia="zh-CN"/>
        </w:rPr>
        <w:t>。</w:t>
      </w:r>
    </w:p>
    <w:p w14:paraId="36957E3E">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加速性能测试，车速加速到60km/h, 车轮驱动滚筒</w:t>
      </w:r>
      <w:r>
        <w:rPr>
          <w:rFonts w:hint="eastAsia" w:ascii="Times New Roman" w:hAnsi="Times New Roman" w:eastAsia="宋体" w:cs="Times New Roman"/>
          <w:sz w:val="24"/>
          <w:lang w:eastAsia="zh-CN"/>
        </w:rPr>
        <w:t>。</w:t>
      </w:r>
    </w:p>
    <w:p w14:paraId="61CE0078">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动态ABS/ESC/EPS/EBS等测试：按照测试规范进行</w:t>
      </w:r>
      <w:r>
        <w:rPr>
          <w:rFonts w:hint="eastAsia" w:ascii="Times New Roman" w:hAnsi="Times New Roman" w:eastAsia="宋体" w:cs="Times New Roman"/>
          <w:sz w:val="24"/>
          <w:lang w:eastAsia="zh-CN"/>
        </w:rPr>
        <w:t>。</w:t>
      </w:r>
    </w:p>
    <w:p w14:paraId="54DA7998">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倒车测试试验</w:t>
      </w:r>
      <w:r>
        <w:rPr>
          <w:rFonts w:hint="eastAsia" w:ascii="Times New Roman" w:hAnsi="Times New Roman" w:eastAsia="宋体" w:cs="Times New Roman"/>
          <w:sz w:val="24"/>
          <w:lang w:eastAsia="zh-CN"/>
        </w:rPr>
        <w:t>。</w:t>
      </w:r>
    </w:p>
    <w:p w14:paraId="3500FAA0">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行车制动性能测试：应按照国标GB7258-2004附录C 中C.2.1条规定的检验方法进行；检测时试验台滚筒启动并匀速驱动汽车，滚筒匀速度应在2~10 km/h范围内并由用户任意设定；应有制动踏板力测量（仅用于抽检，不计在节拍时间内）</w:t>
      </w:r>
      <w:r>
        <w:rPr>
          <w:rFonts w:hint="eastAsia" w:ascii="Times New Roman" w:hAnsi="Times New Roman" w:eastAsia="宋体" w:cs="Times New Roman"/>
          <w:sz w:val="24"/>
          <w:lang w:eastAsia="zh-CN"/>
        </w:rPr>
        <w:t>。</w:t>
      </w:r>
    </w:p>
    <w:p w14:paraId="613F235A">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驻车制动性能检测：应按照国标GB7258-2004附录C 中C.2.1条规定的检验方法进行</w:t>
      </w:r>
      <w:r>
        <w:rPr>
          <w:rFonts w:hint="eastAsia" w:ascii="Times New Roman" w:hAnsi="Times New Roman" w:eastAsia="宋体" w:cs="Times New Roman"/>
          <w:sz w:val="24"/>
          <w:lang w:eastAsia="zh-CN"/>
        </w:rPr>
        <w:t>。</w:t>
      </w:r>
    </w:p>
    <w:p w14:paraId="1A3B1F03">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应满足GB7258-2017中7.11条规定的台试检验制动性能要求</w:t>
      </w:r>
      <w:r>
        <w:rPr>
          <w:rFonts w:hint="eastAsia" w:ascii="Times New Roman" w:hAnsi="Times New Roman" w:eastAsia="宋体" w:cs="Times New Roman"/>
          <w:sz w:val="24"/>
          <w:lang w:eastAsia="zh-CN"/>
        </w:rPr>
        <w:t>。</w:t>
      </w:r>
    </w:p>
    <w:p w14:paraId="689263A5">
      <w:pPr>
        <w:keepNext w:val="0"/>
        <w:keepLines w:val="0"/>
        <w:pageBreakBefore w:val="0"/>
        <w:widowControl w:val="0"/>
        <w:numPr>
          <w:ilvl w:val="0"/>
          <w:numId w:val="5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检测线设备的控制，由检测线厂家全面实施；涉及到与车身ECU进行通讯的部分，均由检测线厂家进行程序开发和项目实施；检测数据存储在检测线厂家的服务器内。</w:t>
      </w:r>
    </w:p>
    <w:p w14:paraId="7DD842B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6491B7AE">
      <w:pPr>
        <w:keepNext w:val="0"/>
        <w:keepLines w:val="0"/>
        <w:pageBreakBefore w:val="0"/>
        <w:widowControl w:val="0"/>
        <w:numPr>
          <w:ilvl w:val="0"/>
          <w:numId w:val="5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29" w:name="_Toc153178210"/>
      <w:r>
        <w:rPr>
          <w:rFonts w:ascii="Times New Roman" w:hAnsi="Times New Roman" w:eastAsia="宋体" w:cs="Times New Roman"/>
          <w:sz w:val="24"/>
        </w:rPr>
        <w:t>测量范围及精度要求</w:t>
      </w:r>
      <w:bookmarkEnd w:id="329"/>
    </w:p>
    <w:p w14:paraId="23981D3C">
      <w:pPr>
        <w:keepNext w:val="0"/>
        <w:keepLines w:val="0"/>
        <w:pageBreakBefore w:val="0"/>
        <w:widowControl w:val="0"/>
        <w:kinsoku/>
        <w:wordWrap/>
        <w:overflowPunct/>
        <w:topLinePunct w:val="0"/>
        <w:autoSpaceDE/>
        <w:autoSpaceDN/>
        <w:bidi w:val="0"/>
        <w:adjustRightInd w:val="0"/>
        <w:snapToGrid w:val="0"/>
        <w:spacing w:afterAutospacing="0" w:line="360" w:lineRule="auto"/>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速度测量：测量范围：0~120 km/h；测量精度：±0.5％满量程</w:t>
      </w:r>
      <w:r>
        <w:rPr>
          <w:rFonts w:hint="eastAsia" w:ascii="Times New Roman" w:hAnsi="Times New Roman" w:eastAsia="宋体" w:cs="Times New Roman"/>
          <w:sz w:val="24"/>
          <w:lang w:eastAsia="zh-CN"/>
        </w:rPr>
        <w:t>。</w:t>
      </w:r>
    </w:p>
    <w:p w14:paraId="2F6F036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试验台前轴与后轴以及左轮和右轮的最大速度差：</w:t>
      </w:r>
    </w:p>
    <w:p w14:paraId="4256D0AD">
      <w:pPr>
        <w:keepNext w:val="0"/>
        <w:keepLines w:val="0"/>
        <w:pageBreakBefore w:val="0"/>
        <w:widowControl w:val="0"/>
        <w:numPr>
          <w:ilvl w:val="0"/>
          <w:numId w:val="5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匀速时，该速度差 ≤ ±0.1 km/h</w:t>
      </w:r>
      <w:r>
        <w:rPr>
          <w:rFonts w:hint="eastAsia" w:ascii="Times New Roman" w:hAnsi="Times New Roman" w:eastAsia="宋体" w:cs="Times New Roman"/>
          <w:sz w:val="24"/>
          <w:lang w:eastAsia="zh-CN"/>
        </w:rPr>
        <w:t>。</w:t>
      </w:r>
    </w:p>
    <w:p w14:paraId="5E00B24F">
      <w:pPr>
        <w:keepNext w:val="0"/>
        <w:keepLines w:val="0"/>
        <w:pageBreakBefore w:val="0"/>
        <w:widowControl w:val="0"/>
        <w:numPr>
          <w:ilvl w:val="0"/>
          <w:numId w:val="5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动态（加速或减速时），该速度差 ≤ 0.5 km/h</w:t>
      </w:r>
      <w:r>
        <w:rPr>
          <w:rFonts w:hint="eastAsia" w:ascii="Times New Roman" w:hAnsi="Times New Roman" w:eastAsia="宋体" w:cs="Times New Roman"/>
          <w:sz w:val="24"/>
          <w:lang w:eastAsia="zh-CN"/>
        </w:rPr>
        <w:t>。</w:t>
      </w:r>
    </w:p>
    <w:p w14:paraId="5A6F307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制动力测量：单轮测量范围：0~6500N；测量精度：±1.0％满量程</w:t>
      </w:r>
      <w:r>
        <w:rPr>
          <w:rFonts w:hint="eastAsia" w:ascii="Times New Roman" w:hAnsi="Times New Roman" w:eastAsia="宋体" w:cs="Times New Roman"/>
          <w:sz w:val="24"/>
          <w:lang w:eastAsia="zh-CN"/>
        </w:rPr>
        <w:t>。</w:t>
      </w:r>
    </w:p>
    <w:p w14:paraId="484F716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踏板力测量：测量范围：0~800N；测量精度：±1.0％满量程；</w:t>
      </w:r>
    </w:p>
    <w:p w14:paraId="244D321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驻车制动操纵力（手或脚）测量：测量范围：0~500N；测量精度：±1.0％满量程</w:t>
      </w:r>
      <w:r>
        <w:rPr>
          <w:rFonts w:hint="eastAsia" w:ascii="Times New Roman" w:hAnsi="Times New Roman" w:eastAsia="宋体" w:cs="Times New Roman"/>
          <w:sz w:val="24"/>
          <w:lang w:eastAsia="zh-CN"/>
        </w:rPr>
        <w:t>。</w:t>
      </w:r>
    </w:p>
    <w:p w14:paraId="332C0D5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注：具体参数以实际设计需求</w:t>
      </w:r>
      <w:r>
        <w:rPr>
          <w:rFonts w:hint="eastAsia" w:ascii="Times New Roman" w:hAnsi="Times New Roman" w:eastAsia="宋体" w:cs="Times New Roman"/>
          <w:sz w:val="24"/>
          <w:lang w:val="en-US" w:eastAsia="zh-CN"/>
        </w:rPr>
        <w:t>会签</w:t>
      </w:r>
      <w:r>
        <w:rPr>
          <w:rFonts w:ascii="Times New Roman" w:hAnsi="Times New Roman" w:eastAsia="宋体" w:cs="Times New Roman"/>
          <w:sz w:val="24"/>
        </w:rPr>
        <w:t>为准</w:t>
      </w:r>
    </w:p>
    <w:p w14:paraId="78CB577F">
      <w:pPr>
        <w:keepNext w:val="0"/>
        <w:keepLines w:val="0"/>
        <w:pageBreakBefore w:val="0"/>
        <w:widowControl w:val="0"/>
        <w:numPr>
          <w:ilvl w:val="0"/>
          <w:numId w:val="5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bookmarkStart w:id="330" w:name="_Toc153178211"/>
      <w:r>
        <w:rPr>
          <w:rFonts w:ascii="Times New Roman" w:hAnsi="Times New Roman" w:eastAsia="宋体" w:cs="Times New Roman"/>
          <w:sz w:val="24"/>
        </w:rPr>
        <w:t>设备其他要求</w:t>
      </w:r>
      <w:bookmarkEnd w:id="330"/>
    </w:p>
    <w:p w14:paraId="3047D36D">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一套完整的试验台支撑钢结构和地坑盖板，满足有关承重要求</w:t>
      </w:r>
      <w:r>
        <w:rPr>
          <w:rFonts w:hint="eastAsia" w:ascii="Times New Roman" w:hAnsi="Times New Roman" w:eastAsia="宋体" w:cs="Times New Roman"/>
          <w:sz w:val="24"/>
          <w:lang w:eastAsia="zh-CN"/>
        </w:rPr>
        <w:t>。</w:t>
      </w:r>
    </w:p>
    <w:p w14:paraId="649A9D3C">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电机驱动的轴距调整装置：轴距调整同时满足汽车未开上试验台进行和汽车开上试验台后进行；生产时根据车型轴距自动调整，满足不同车型混线生产；维修保养时可手动调整，在轴距调整范围内可根据车型设定任意轴距，左、右各安装一套钢米尺，便于地坑操作人员观察轴距变化；轴距调整速度≥60mm/s；轴距调整范围：2500～3500mm；轴距调整精度：±1mm</w:t>
      </w:r>
      <w:r>
        <w:rPr>
          <w:rFonts w:hint="eastAsia" w:ascii="Times New Roman" w:hAnsi="Times New Roman" w:eastAsia="宋体" w:cs="Times New Roman"/>
          <w:sz w:val="24"/>
          <w:lang w:eastAsia="zh-CN"/>
        </w:rPr>
        <w:t>。</w:t>
      </w:r>
    </w:p>
    <w:p w14:paraId="135DA94F">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两套前轴转毂组和两套后轴转毂组：采用双滚筒式转毂组；每套转毂组由两个滚筒组成；每个滚筒均有火焰喷射金属涂层或其他涂层，以增加摩擦系数，摩擦系数应≥0.7，涂层应不损坏轮胎；必须说明滚筒表面涂层及性能参数、滚筒尺寸、滚筒惯量满足的国际标准；每套转毂组均有停止</w:t>
      </w:r>
      <w:r>
        <w:rPr>
          <w:rFonts w:hint="eastAsia" w:ascii="Times New Roman" w:hAnsi="Times New Roman" w:eastAsia="宋体" w:cs="Times New Roman"/>
          <w:sz w:val="24"/>
          <w:lang w:eastAsia="zh-CN"/>
        </w:rPr>
        <w:t>监视</w:t>
      </w:r>
      <w:r>
        <w:rPr>
          <w:rFonts w:ascii="Times New Roman" w:hAnsi="Times New Roman" w:eastAsia="宋体" w:cs="Times New Roman"/>
          <w:sz w:val="24"/>
        </w:rPr>
        <w:t>功能</w:t>
      </w:r>
      <w:r>
        <w:rPr>
          <w:rFonts w:hint="eastAsia" w:ascii="Times New Roman" w:hAnsi="Times New Roman" w:eastAsia="宋体" w:cs="Times New Roman"/>
          <w:sz w:val="24"/>
          <w:lang w:eastAsia="zh-CN"/>
        </w:rPr>
        <w:t>。</w:t>
      </w:r>
    </w:p>
    <w:p w14:paraId="48D50B64">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综合转毂试验台前、后轴转毂组的所有转毂平衡品质应满足国标GB/T 9239.1/ISO1940-1规定的平衡品质级别G6.3；</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必须对所有转毂做动平衡测试，签发平衡品质测试报告，并在预验收时提供平衡品质测试报告</w:t>
      </w:r>
      <w:r>
        <w:rPr>
          <w:rFonts w:hint="eastAsia" w:ascii="Times New Roman" w:hAnsi="Times New Roman" w:eastAsia="宋体" w:cs="Times New Roman"/>
          <w:sz w:val="24"/>
          <w:lang w:eastAsia="zh-CN"/>
        </w:rPr>
        <w:t>。</w:t>
      </w:r>
    </w:p>
    <w:p w14:paraId="04F68DA0">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前、后轴转毂组的质量惯量应可根据汽车前、后轴重比例分别优化选择400、500、600、700、800、900、1000、1100或1200kg，如汽车前轴、后轴重比例为60％：40％时，可选前轴转毂组惯量400kg，后轴转毂组惯量600kg；并且应有无级变化电控模拟汽车质量的功能，适应前、后轴重比例不同的车型</w:t>
      </w:r>
      <w:r>
        <w:rPr>
          <w:rFonts w:hint="eastAsia" w:ascii="Times New Roman" w:hAnsi="Times New Roman" w:eastAsia="宋体" w:cs="Times New Roman"/>
          <w:sz w:val="24"/>
          <w:lang w:eastAsia="zh-CN"/>
        </w:rPr>
        <w:t>。</w:t>
      </w:r>
    </w:p>
    <w:p w14:paraId="49CCA32E">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四套交流向量控制电机：每套转毂组与一套交流向量控制电机由齿形皮带连接；应提供一套皮带张紧测量装置；交流向量电机能实现每套转毂组的电控离合、制动和加速；在试验时交流电机可带动转毂组驱动汽车。</w:t>
      </w:r>
    </w:p>
    <w:p w14:paraId="6366F0C9">
      <w:pPr>
        <w:keepNext w:val="0"/>
        <w:keepLines w:val="0"/>
        <w:pageBreakBefore w:val="0"/>
        <w:widowControl/>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集成轮重称量功能（含标定程序和标定装置），称量内容包括左、右车轮的重量；前、后轴的重量。轮重测量：测试范围：0-1500kg（单轮），测试精度：±0.5％满量程，称重分辨率：1kg；设备可以识别错误称重方式，即对明显超出误差范围的称重结果，提示重新称重，</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投标时必须提供转毂集成称重功能的三维设计方案或实物照片</w:t>
      </w:r>
      <w:r>
        <w:rPr>
          <w:rFonts w:hint="eastAsia" w:ascii="Times New Roman" w:hAnsi="Times New Roman" w:eastAsia="宋体" w:cs="Times New Roman"/>
          <w:sz w:val="24"/>
          <w:lang w:eastAsia="zh-CN"/>
        </w:rPr>
        <w:t>。</w:t>
      </w:r>
    </w:p>
    <w:p w14:paraId="663CEB9F">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转毂之间设有举升杆：举升杆当汽车开上或开下试验台时升起，在各汽车车轮定位在每套转毂组两个滚筒之间试验时降下以使车轮落在滚筒上</w:t>
      </w:r>
      <w:r>
        <w:rPr>
          <w:rFonts w:hint="eastAsia" w:ascii="Times New Roman" w:hAnsi="Times New Roman" w:eastAsia="宋体" w:cs="Times New Roman"/>
          <w:sz w:val="24"/>
          <w:lang w:eastAsia="zh-CN"/>
        </w:rPr>
        <w:t>。</w:t>
      </w:r>
    </w:p>
    <w:p w14:paraId="28172366">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一套制动踏板力测量装置、一套驻车制动手拉力计：与试验台无线通信，有标定功能和标定显示</w:t>
      </w:r>
      <w:r>
        <w:rPr>
          <w:rFonts w:hint="eastAsia" w:ascii="Times New Roman" w:hAnsi="Times New Roman" w:eastAsia="宋体" w:cs="Times New Roman"/>
          <w:sz w:val="24"/>
          <w:lang w:eastAsia="zh-CN"/>
        </w:rPr>
        <w:t>。</w:t>
      </w:r>
    </w:p>
    <w:p w14:paraId="276A8F7B">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一套单独速度标定装置和软件：用于GB7258-2017规定的速度测量的标定</w:t>
      </w:r>
      <w:r>
        <w:rPr>
          <w:rFonts w:hint="eastAsia" w:ascii="Times New Roman" w:hAnsi="Times New Roman" w:eastAsia="宋体" w:cs="Times New Roman"/>
          <w:sz w:val="24"/>
          <w:lang w:eastAsia="zh-CN"/>
        </w:rPr>
        <w:t>。</w:t>
      </w:r>
    </w:p>
    <w:p w14:paraId="2A12269B">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提供前/后收集盘用于收集空调冷凝水、液体废气冷凝物，防冻液等，使其不滴落在试验台盖板上；调整轴距时，后轴收集盘可以随后轴转毂组一起移动</w:t>
      </w:r>
      <w:r>
        <w:rPr>
          <w:rFonts w:hint="eastAsia" w:ascii="Times New Roman" w:hAnsi="Times New Roman" w:eastAsia="宋体" w:cs="Times New Roman"/>
          <w:sz w:val="24"/>
          <w:lang w:eastAsia="zh-CN"/>
        </w:rPr>
        <w:t>。</w:t>
      </w:r>
    </w:p>
    <w:p w14:paraId="6422A826">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全设施：试验台应具备所有必要的安全设备和安全功能以保护操作者的安全和避免车辆和试验台的损坏：四套皮带传动安全罩（带吸音降噪材料）、急停电路、各种软件安全功能、四套标定盖罩（提供一组用于所有转鼓试验台）；一旦在试验过程中紧急停机，所有转毂将被释放以便操作者能够顺利制动并且车辆不会冲出试验台</w:t>
      </w:r>
      <w:r>
        <w:rPr>
          <w:rFonts w:hint="eastAsia" w:ascii="Times New Roman" w:hAnsi="Times New Roman" w:eastAsia="宋体" w:cs="Times New Roman"/>
          <w:sz w:val="24"/>
          <w:lang w:eastAsia="zh-CN"/>
        </w:rPr>
        <w:t>。</w:t>
      </w:r>
    </w:p>
    <w:p w14:paraId="087AAD5F">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汽车位置辨识系统，用于监视汽车在试验台的正确位置，并通过显示器实时动态显示车辆在滚筒上的位置，协助驾驶员校正车辆位置；位置监视包括：1套模拟超声波传感器，在前轴处；1套数字超声波传感器，在后轴处</w:t>
      </w:r>
      <w:r>
        <w:rPr>
          <w:rFonts w:hint="eastAsia" w:ascii="Times New Roman" w:hAnsi="Times New Roman" w:eastAsia="宋体" w:cs="Times New Roman"/>
          <w:sz w:val="24"/>
          <w:lang w:eastAsia="zh-CN"/>
        </w:rPr>
        <w:t>。</w:t>
      </w:r>
    </w:p>
    <w:p w14:paraId="4C275333">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两套后轴处的限制转辊，采用翻板结构，车辆驶入试验台时，翻板落下，与试验台齐平；车辆停稳及测试过程中翻板升起，防止汽车向后退出试验台；可随轴距调整移动</w:t>
      </w:r>
      <w:r>
        <w:rPr>
          <w:rFonts w:hint="eastAsia" w:ascii="Times New Roman" w:hAnsi="Times New Roman" w:eastAsia="宋体" w:cs="Times New Roman"/>
          <w:sz w:val="24"/>
          <w:lang w:eastAsia="zh-CN"/>
        </w:rPr>
        <w:t>。</w:t>
      </w:r>
    </w:p>
    <w:p w14:paraId="47BCDA93">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一套操作者操作面板：在地面上位于左侧前轴附近，支撑高度可调节</w:t>
      </w:r>
      <w:r>
        <w:rPr>
          <w:rFonts w:hint="eastAsia" w:ascii="Times New Roman" w:hAnsi="Times New Roman" w:eastAsia="宋体" w:cs="Times New Roman"/>
          <w:sz w:val="24"/>
          <w:lang w:eastAsia="zh-CN"/>
        </w:rPr>
        <w:t>。</w:t>
      </w:r>
    </w:p>
    <w:p w14:paraId="08FF53B4">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一套32英寸液晶彩色工业显示器，悬挂在转毂隔音室的墙上，便于操作者观察的位置，用于操作提示</w:t>
      </w:r>
      <w:r>
        <w:rPr>
          <w:rFonts w:hint="eastAsia" w:ascii="Times New Roman" w:hAnsi="Times New Roman" w:eastAsia="宋体" w:cs="Times New Roman"/>
          <w:sz w:val="24"/>
          <w:lang w:eastAsia="zh-CN"/>
        </w:rPr>
        <w:t>。</w:t>
      </w:r>
    </w:p>
    <w:p w14:paraId="795C4F5F">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转毂组相关的折算质量、速度测量、电流力矩/曲线、摩擦力、制动力等，出厂前需要有检定报告</w:t>
      </w:r>
      <w:r>
        <w:rPr>
          <w:rFonts w:hint="eastAsia" w:ascii="Times New Roman" w:hAnsi="Times New Roman" w:eastAsia="宋体" w:cs="Times New Roman"/>
          <w:sz w:val="24"/>
          <w:lang w:eastAsia="zh-CN"/>
        </w:rPr>
        <w:t>。</w:t>
      </w:r>
    </w:p>
    <w:p w14:paraId="25D23232">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控制系统，配置知名品牌工业级PC计算机（配置不低于当前主流配置，十代及以上酷睿CPU，内存32G，1T固态硬盘1块，网卡，带USB接口，工控机柜，键盘，鼠标，安装Windows10专业版64位中文操作系统与Office办公软件）；能储存至少100000辆汽车测试数据结果，测试数据结果数据库对用户开放</w:t>
      </w:r>
      <w:r>
        <w:rPr>
          <w:rFonts w:hint="eastAsia" w:ascii="Times New Roman" w:hAnsi="Times New Roman" w:eastAsia="宋体" w:cs="Times New Roman"/>
          <w:sz w:val="24"/>
          <w:lang w:eastAsia="zh-CN"/>
        </w:rPr>
        <w:t>。</w:t>
      </w:r>
    </w:p>
    <w:p w14:paraId="2E576AC5">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UPS不间断电源：</w:t>
      </w:r>
      <w:r>
        <w:rPr>
          <w:rFonts w:hint="eastAsia" w:ascii="Times New Roman" w:hAnsi="Times New Roman" w:eastAsia="宋体" w:cs="Times New Roman"/>
          <w:sz w:val="24"/>
          <w:lang w:val="en-US" w:eastAsia="zh-CN"/>
        </w:rPr>
        <w:t>配置知名</w:t>
      </w:r>
      <w:r>
        <w:rPr>
          <w:rFonts w:ascii="Times New Roman" w:hAnsi="Times New Roman" w:eastAsia="宋体" w:cs="Times New Roman"/>
          <w:sz w:val="24"/>
        </w:rPr>
        <w:t>品牌，当设备外部电源中断时，能够提供不少于15分钟的电力供应，以保证操作者保存结果及关机等操作，确保数据、参数不丢失</w:t>
      </w:r>
      <w:r>
        <w:rPr>
          <w:rFonts w:hint="eastAsia" w:ascii="Times New Roman" w:hAnsi="Times New Roman" w:eastAsia="宋体" w:cs="Times New Roman"/>
          <w:sz w:val="24"/>
          <w:lang w:eastAsia="zh-CN"/>
        </w:rPr>
        <w:t>。</w:t>
      </w:r>
    </w:p>
    <w:p w14:paraId="056905A5">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电控柜操作面板：应有紧急停机按钮，紧急停机指示灯，故障指示灯，操作模式选择开关 </w:t>
      </w:r>
      <w:r>
        <w:rPr>
          <w:rFonts w:hint="eastAsia" w:ascii="Times New Roman" w:hAnsi="Times New Roman" w:eastAsia="宋体" w:cs="Times New Roman"/>
          <w:sz w:val="24"/>
          <w:lang w:eastAsia="zh-CN"/>
        </w:rPr>
        <w:t>（</w:t>
      </w:r>
      <w:r>
        <w:rPr>
          <w:rFonts w:ascii="Times New Roman" w:hAnsi="Times New Roman" w:eastAsia="宋体" w:cs="Times New Roman"/>
          <w:sz w:val="24"/>
        </w:rPr>
        <w:t>自动模式，标定模式和手动模式等</w:t>
      </w:r>
      <w:r>
        <w:rPr>
          <w:rFonts w:hint="eastAsia" w:ascii="Times New Roman" w:hAnsi="Times New Roman" w:eastAsia="宋体" w:cs="Times New Roman"/>
          <w:sz w:val="24"/>
          <w:lang w:eastAsia="zh-CN"/>
        </w:rPr>
        <w:t>）。</w:t>
      </w:r>
    </w:p>
    <w:p w14:paraId="3057F61D">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电控柜配置彩色液晶工业显示器；显示支持英文和简体中文的切换；应显示系统配置、操作模式、参数设置、故障诊断、故障信息、 额定值、测量值、标定值提示、测试步骤和动作等</w:t>
      </w:r>
      <w:r>
        <w:rPr>
          <w:rFonts w:hint="eastAsia" w:ascii="Times New Roman" w:hAnsi="Times New Roman" w:eastAsia="宋体" w:cs="Times New Roman"/>
          <w:sz w:val="24"/>
          <w:lang w:eastAsia="zh-CN"/>
        </w:rPr>
        <w:t>。</w:t>
      </w:r>
    </w:p>
    <w:p w14:paraId="655BC8D3">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操作面板在显示器每侧各5个按钮；按钮和显示器组成一个功能单元；转鼓试验台内的运动被组合成多达4种运动组合；最低的2个按键可以使操作人员上/下移动显示页</w:t>
      </w:r>
      <w:r>
        <w:rPr>
          <w:rFonts w:hint="eastAsia" w:ascii="Times New Roman" w:hAnsi="Times New Roman" w:eastAsia="宋体" w:cs="Times New Roman"/>
          <w:sz w:val="24"/>
          <w:lang w:eastAsia="zh-CN"/>
        </w:rPr>
        <w:t>。</w:t>
      </w:r>
    </w:p>
    <w:p w14:paraId="7746EDA6">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转毂测试数据通过网络自动传送到服务器保存，并且测试结果可在本机查阅和备份</w:t>
      </w:r>
      <w:r>
        <w:rPr>
          <w:rFonts w:hint="eastAsia" w:ascii="Times New Roman" w:hAnsi="Times New Roman" w:eastAsia="宋体" w:cs="Times New Roman"/>
          <w:sz w:val="24"/>
          <w:lang w:eastAsia="zh-CN"/>
        </w:rPr>
        <w:t>。</w:t>
      </w:r>
    </w:p>
    <w:p w14:paraId="0A2E4DAE">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设备带有自诊断功能，有手动、自动和标定三种模式</w:t>
      </w:r>
      <w:r>
        <w:rPr>
          <w:rFonts w:hint="eastAsia" w:ascii="Times New Roman" w:hAnsi="Times New Roman" w:eastAsia="宋体" w:cs="Times New Roman"/>
          <w:sz w:val="24"/>
          <w:lang w:eastAsia="zh-CN"/>
        </w:rPr>
        <w:t>。</w:t>
      </w:r>
    </w:p>
    <w:p w14:paraId="11587A18">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气动单元安装附着在易接近的基本框架上；气动单元与工厂压缩空气网并配置压力开关；在阀门前安装一个油雾器和一个带压力表和压力控制装置的过滤调节器（标准气动三联件组合过滤/调节和润滑）；带必需的螺纹连接的软管被提供并用做阀门和气缸之间的连接管线；软管有保护；出于安全考虑在急停后气动系统被快速泄气和缓慢充气</w:t>
      </w:r>
      <w:r>
        <w:rPr>
          <w:rFonts w:hint="eastAsia" w:ascii="Times New Roman" w:hAnsi="Times New Roman" w:eastAsia="宋体" w:cs="Times New Roman"/>
          <w:sz w:val="24"/>
          <w:lang w:eastAsia="zh-CN"/>
        </w:rPr>
        <w:t>。</w:t>
      </w:r>
    </w:p>
    <w:p w14:paraId="472C1221">
      <w:pPr>
        <w:keepNext w:val="0"/>
        <w:keepLines w:val="0"/>
        <w:pageBreakBefore w:val="0"/>
        <w:widowControl w:val="0"/>
        <w:numPr>
          <w:ilvl w:val="0"/>
          <w:numId w:val="5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一套到第三方EOL诊断设备系统的接口</w:t>
      </w:r>
      <w:r>
        <w:rPr>
          <w:rFonts w:hint="eastAsia" w:ascii="Times New Roman" w:hAnsi="Times New Roman" w:eastAsia="宋体" w:cs="Times New Roman"/>
          <w:sz w:val="24"/>
          <w:lang w:eastAsia="zh-CN"/>
        </w:rPr>
        <w:t>。</w:t>
      </w:r>
    </w:p>
    <w:p w14:paraId="5E3ECC9A">
      <w:pPr>
        <w:keepNext w:val="0"/>
        <w:keepLines w:val="0"/>
        <w:pageBreakBefore w:val="0"/>
        <w:widowControl w:val="0"/>
        <w:numPr>
          <w:ilvl w:val="0"/>
          <w:numId w:val="514"/>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bookmarkStart w:id="331" w:name="_Toc153178212"/>
      <w:r>
        <w:rPr>
          <w:rFonts w:ascii="Times New Roman" w:hAnsi="Times New Roman" w:eastAsia="宋体" w:cs="Times New Roman"/>
          <w:b/>
          <w:sz w:val="24"/>
        </w:rPr>
        <w:t>声级计技术要求</w:t>
      </w:r>
      <w:bookmarkEnd w:id="331"/>
    </w:p>
    <w:p w14:paraId="5EF34124">
      <w:pPr>
        <w:keepNext w:val="0"/>
        <w:keepLines w:val="0"/>
        <w:pageBreakBefore w:val="0"/>
        <w:widowControl w:val="0"/>
        <w:numPr>
          <w:ilvl w:val="0"/>
          <w:numId w:val="5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测量范围35~130 dB（A）；要求将声音信号转换成电信号在表头输出，并能自动输入计算机进行存储；测量精度：±0.1dB；与转毂试验集成一个工位，安装位置由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设计，</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确认</w:t>
      </w:r>
      <w:r>
        <w:rPr>
          <w:rFonts w:hint="eastAsia" w:ascii="Times New Roman" w:hAnsi="Times New Roman" w:eastAsia="宋体" w:cs="Times New Roman"/>
          <w:sz w:val="24"/>
          <w:lang w:eastAsia="zh-CN"/>
        </w:rPr>
        <w:t>。</w:t>
      </w:r>
    </w:p>
    <w:p w14:paraId="1889D82E">
      <w:pPr>
        <w:keepNext w:val="0"/>
        <w:keepLines w:val="0"/>
        <w:pageBreakBefore w:val="0"/>
        <w:widowControl w:val="0"/>
        <w:numPr>
          <w:ilvl w:val="0"/>
          <w:numId w:val="5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声级计电源使用的是交流电源，避免充电</w:t>
      </w:r>
      <w:r>
        <w:rPr>
          <w:rFonts w:hint="eastAsia" w:ascii="Times New Roman" w:hAnsi="Times New Roman" w:eastAsia="宋体" w:cs="Times New Roman"/>
          <w:sz w:val="24"/>
          <w:lang w:eastAsia="zh-CN"/>
        </w:rPr>
        <w:t>。</w:t>
      </w:r>
    </w:p>
    <w:p w14:paraId="7A31A66E">
      <w:pPr>
        <w:keepNext w:val="0"/>
        <w:keepLines w:val="0"/>
        <w:pageBreakBefore w:val="0"/>
        <w:widowControl w:val="0"/>
        <w:numPr>
          <w:ilvl w:val="0"/>
          <w:numId w:val="5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声级计连接到转毂试验台控制系统，有独立测试界面，操作者可按界面提示完成操作</w:t>
      </w:r>
      <w:r>
        <w:rPr>
          <w:rFonts w:hint="eastAsia" w:ascii="Times New Roman" w:hAnsi="Times New Roman" w:eastAsia="宋体" w:cs="Times New Roman"/>
          <w:sz w:val="24"/>
          <w:lang w:eastAsia="zh-CN"/>
        </w:rPr>
        <w:t>。</w:t>
      </w:r>
    </w:p>
    <w:p w14:paraId="08016003">
      <w:pPr>
        <w:keepNext w:val="0"/>
        <w:keepLines w:val="0"/>
        <w:pageBreakBefore w:val="0"/>
        <w:widowControl w:val="0"/>
        <w:numPr>
          <w:ilvl w:val="0"/>
          <w:numId w:val="5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测试数据保存在转毂试验台控制计算机中，并且和灯光测试数据统一上传到检测线数据收集服务器</w:t>
      </w:r>
      <w:r>
        <w:rPr>
          <w:rFonts w:hint="eastAsia" w:ascii="Times New Roman" w:hAnsi="Times New Roman" w:eastAsia="宋体" w:cs="Times New Roman"/>
          <w:sz w:val="24"/>
          <w:lang w:eastAsia="zh-CN"/>
        </w:rPr>
        <w:t>。</w:t>
      </w:r>
    </w:p>
    <w:p w14:paraId="5B6D6A9C">
      <w:pPr>
        <w:keepNext w:val="0"/>
        <w:keepLines w:val="0"/>
        <w:pageBreakBefore w:val="0"/>
        <w:widowControl w:val="0"/>
        <w:numPr>
          <w:ilvl w:val="0"/>
          <w:numId w:val="45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吹水线设备技术要求</w:t>
      </w:r>
    </w:p>
    <w:p w14:paraId="43633FE3">
      <w:pPr>
        <w:keepNext w:val="0"/>
        <w:keepLines w:val="0"/>
        <w:pageBreakBefore w:val="0"/>
        <w:widowControl w:val="0"/>
        <w:numPr>
          <w:ilvl w:val="0"/>
          <w:numId w:val="538"/>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主题和供货范围</w:t>
      </w:r>
    </w:p>
    <w:tbl>
      <w:tblPr>
        <w:tblStyle w:val="44"/>
        <w:tblpPr w:leftFromText="180" w:rightFromText="180" w:vertAnchor="text" w:horzAnchor="page" w:tblpX="1337" w:tblpY="468"/>
        <w:tblOverlap w:val="never"/>
        <w:tblW w:w="4997" w:type="pct"/>
        <w:tblInd w:w="0" w:type="dxa"/>
        <w:tblLayout w:type="autofit"/>
        <w:tblCellMar>
          <w:top w:w="0" w:type="dxa"/>
          <w:left w:w="108" w:type="dxa"/>
          <w:bottom w:w="0" w:type="dxa"/>
          <w:right w:w="108" w:type="dxa"/>
        </w:tblCellMar>
      </w:tblPr>
      <w:tblGrid>
        <w:gridCol w:w="1067"/>
        <w:gridCol w:w="2455"/>
        <w:gridCol w:w="1687"/>
        <w:gridCol w:w="4439"/>
      </w:tblGrid>
      <w:tr w14:paraId="7F0AE2E3">
        <w:tblPrEx>
          <w:tblCellMar>
            <w:top w:w="0" w:type="dxa"/>
            <w:left w:w="108" w:type="dxa"/>
            <w:bottom w:w="0" w:type="dxa"/>
            <w:right w:w="108" w:type="dxa"/>
          </w:tblCellMar>
        </w:tblPrEx>
        <w:trPr>
          <w:trHeight w:val="480" w:hRule="atLeast"/>
        </w:trPr>
        <w:tc>
          <w:tcPr>
            <w:tcW w:w="553" w:type="pct"/>
            <w:tcBorders>
              <w:top w:val="single" w:color="auto" w:sz="4" w:space="0"/>
              <w:left w:val="single" w:color="auto" w:sz="4" w:space="0"/>
              <w:bottom w:val="single" w:color="auto" w:sz="4" w:space="0"/>
              <w:right w:val="single" w:color="auto" w:sz="4" w:space="0"/>
            </w:tcBorders>
            <w:vAlign w:val="center"/>
          </w:tcPr>
          <w:p w14:paraId="3572321B">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数量</w:t>
            </w:r>
          </w:p>
        </w:tc>
        <w:tc>
          <w:tcPr>
            <w:tcW w:w="1272" w:type="pct"/>
            <w:tcBorders>
              <w:top w:val="single" w:color="auto" w:sz="4" w:space="0"/>
              <w:left w:val="single" w:color="auto" w:sz="4" w:space="0"/>
              <w:bottom w:val="single" w:color="auto" w:sz="4" w:space="0"/>
              <w:right w:val="single" w:color="auto" w:sz="4" w:space="0"/>
            </w:tcBorders>
            <w:vAlign w:val="center"/>
          </w:tcPr>
          <w:p w14:paraId="448080EA">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设备名称</w:t>
            </w:r>
          </w:p>
        </w:tc>
        <w:tc>
          <w:tcPr>
            <w:tcW w:w="874" w:type="pct"/>
            <w:tcBorders>
              <w:top w:val="single" w:color="auto" w:sz="4" w:space="0"/>
              <w:left w:val="nil"/>
              <w:bottom w:val="single" w:color="auto" w:sz="4" w:space="0"/>
              <w:right w:val="single" w:color="auto" w:sz="4" w:space="0"/>
            </w:tcBorders>
            <w:noWrap/>
            <w:vAlign w:val="center"/>
          </w:tcPr>
          <w:p w14:paraId="7082A83D">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数量</w:t>
            </w:r>
          </w:p>
        </w:tc>
        <w:tc>
          <w:tcPr>
            <w:tcW w:w="2300" w:type="pct"/>
            <w:tcBorders>
              <w:top w:val="single" w:color="auto" w:sz="4" w:space="0"/>
              <w:left w:val="nil"/>
              <w:bottom w:val="single" w:color="auto" w:sz="4" w:space="0"/>
              <w:right w:val="single" w:color="auto" w:sz="4" w:space="0"/>
            </w:tcBorders>
            <w:noWrap/>
            <w:vAlign w:val="center"/>
          </w:tcPr>
          <w:p w14:paraId="3E9B363F">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备注</w:t>
            </w:r>
          </w:p>
        </w:tc>
      </w:tr>
      <w:tr w14:paraId="53CEA3E4">
        <w:tblPrEx>
          <w:tblCellMar>
            <w:top w:w="0" w:type="dxa"/>
            <w:left w:w="108" w:type="dxa"/>
            <w:bottom w:w="0" w:type="dxa"/>
            <w:right w:w="108" w:type="dxa"/>
          </w:tblCellMar>
        </w:tblPrEx>
        <w:trPr>
          <w:trHeight w:val="398" w:hRule="atLeast"/>
        </w:trPr>
        <w:tc>
          <w:tcPr>
            <w:tcW w:w="553" w:type="pct"/>
            <w:tcBorders>
              <w:top w:val="nil"/>
              <w:left w:val="single" w:color="auto" w:sz="4" w:space="0"/>
              <w:bottom w:val="single" w:color="auto" w:sz="4" w:space="0"/>
              <w:right w:val="single" w:color="auto" w:sz="4" w:space="0"/>
            </w:tcBorders>
            <w:vAlign w:val="center"/>
          </w:tcPr>
          <w:p w14:paraId="748C326C">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w:t>
            </w:r>
          </w:p>
        </w:tc>
        <w:tc>
          <w:tcPr>
            <w:tcW w:w="1272" w:type="pct"/>
            <w:tcBorders>
              <w:top w:val="nil"/>
              <w:left w:val="single" w:color="auto" w:sz="4" w:space="0"/>
              <w:bottom w:val="single" w:color="auto" w:sz="4" w:space="0"/>
              <w:right w:val="single" w:color="auto" w:sz="4" w:space="0"/>
            </w:tcBorders>
            <w:vAlign w:val="center"/>
          </w:tcPr>
          <w:p w14:paraId="5AC5FA90">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淋雨及烘干设备</w:t>
            </w:r>
          </w:p>
        </w:tc>
        <w:tc>
          <w:tcPr>
            <w:tcW w:w="874" w:type="pct"/>
            <w:tcBorders>
              <w:top w:val="nil"/>
              <w:left w:val="nil"/>
              <w:bottom w:val="single" w:color="auto" w:sz="4" w:space="0"/>
              <w:right w:val="single" w:color="auto" w:sz="4" w:space="0"/>
            </w:tcBorders>
            <w:noWrap/>
            <w:vAlign w:val="center"/>
          </w:tcPr>
          <w:p w14:paraId="36D648C0">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1套</w:t>
            </w:r>
          </w:p>
        </w:tc>
        <w:tc>
          <w:tcPr>
            <w:tcW w:w="2300" w:type="pct"/>
            <w:tcBorders>
              <w:top w:val="nil"/>
              <w:left w:val="nil"/>
              <w:bottom w:val="single" w:color="auto" w:sz="4" w:space="0"/>
              <w:right w:val="single" w:color="auto" w:sz="4" w:space="0"/>
            </w:tcBorders>
            <w:noWrap/>
            <w:vAlign w:val="center"/>
          </w:tcPr>
          <w:p w14:paraId="1A5A0CEE">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7000×5500×5000mm*2</w:t>
            </w:r>
            <w:r>
              <w:rPr>
                <w:rFonts w:hint="eastAsia" w:ascii="宋体" w:hAnsi="宋体" w:eastAsia="宋体" w:cs="Arial"/>
                <w:sz w:val="24"/>
                <w:szCs w:val="24"/>
                <w:lang w:eastAsia="zh-CN"/>
              </w:rPr>
              <w:t>（</w:t>
            </w:r>
            <w:r>
              <w:rPr>
                <w:rFonts w:ascii="宋体" w:hAnsi="宋体" w:eastAsia="宋体" w:cs="Arial"/>
                <w:sz w:val="24"/>
                <w:szCs w:val="24"/>
              </w:rPr>
              <w:t>长×宽×高</w:t>
            </w:r>
            <w:r>
              <w:rPr>
                <w:rFonts w:hint="eastAsia" w:ascii="宋体" w:hAnsi="宋体" w:eastAsia="宋体" w:cs="Arial"/>
                <w:sz w:val="24"/>
                <w:szCs w:val="24"/>
                <w:lang w:eastAsia="zh-CN"/>
              </w:rPr>
              <w:t>）</w:t>
            </w:r>
          </w:p>
        </w:tc>
      </w:tr>
      <w:tr w14:paraId="017E15DF">
        <w:tblPrEx>
          <w:tblCellMar>
            <w:top w:w="0" w:type="dxa"/>
            <w:left w:w="108" w:type="dxa"/>
            <w:bottom w:w="0" w:type="dxa"/>
            <w:right w:w="108" w:type="dxa"/>
          </w:tblCellMar>
        </w:tblPrEx>
        <w:trPr>
          <w:trHeight w:val="90" w:hRule="atLeast"/>
        </w:trPr>
        <w:tc>
          <w:tcPr>
            <w:tcW w:w="553" w:type="pct"/>
            <w:tcBorders>
              <w:top w:val="nil"/>
              <w:left w:val="single" w:color="auto" w:sz="4" w:space="0"/>
              <w:bottom w:val="single" w:color="auto" w:sz="4" w:space="0"/>
              <w:right w:val="single" w:color="auto" w:sz="4" w:space="0"/>
            </w:tcBorders>
            <w:vAlign w:val="center"/>
          </w:tcPr>
          <w:p w14:paraId="6410C4F7">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2</w:t>
            </w:r>
          </w:p>
        </w:tc>
        <w:tc>
          <w:tcPr>
            <w:tcW w:w="1272" w:type="pct"/>
            <w:tcBorders>
              <w:top w:val="nil"/>
              <w:left w:val="single" w:color="auto" w:sz="4" w:space="0"/>
              <w:bottom w:val="single" w:color="auto" w:sz="4" w:space="0"/>
              <w:right w:val="single" w:color="auto" w:sz="4" w:space="0"/>
            </w:tcBorders>
            <w:vAlign w:val="center"/>
          </w:tcPr>
          <w:p w14:paraId="778EA500">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双板带</w:t>
            </w:r>
          </w:p>
        </w:tc>
        <w:tc>
          <w:tcPr>
            <w:tcW w:w="874" w:type="pct"/>
            <w:tcBorders>
              <w:top w:val="nil"/>
              <w:left w:val="nil"/>
              <w:bottom w:val="single" w:color="auto" w:sz="4" w:space="0"/>
              <w:right w:val="single" w:color="auto" w:sz="4" w:space="0"/>
            </w:tcBorders>
            <w:noWrap/>
            <w:vAlign w:val="center"/>
          </w:tcPr>
          <w:p w14:paraId="6139271C">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1套</w:t>
            </w:r>
          </w:p>
        </w:tc>
        <w:tc>
          <w:tcPr>
            <w:tcW w:w="2300" w:type="pct"/>
            <w:tcBorders>
              <w:top w:val="nil"/>
              <w:left w:val="nil"/>
              <w:bottom w:val="single" w:color="auto" w:sz="4" w:space="0"/>
              <w:right w:val="single" w:color="auto" w:sz="4" w:space="0"/>
            </w:tcBorders>
            <w:noWrap/>
            <w:vAlign w:val="center"/>
          </w:tcPr>
          <w:p w14:paraId="48160ADC">
            <w:pPr>
              <w:keepNext w:val="0"/>
              <w:keepLines w:val="0"/>
              <w:pageBreakBefore w:val="0"/>
              <w:kinsoku/>
              <w:wordWrap w:val="0"/>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利旧原有单板带</w:t>
            </w:r>
          </w:p>
        </w:tc>
      </w:tr>
    </w:tbl>
    <w:p w14:paraId="7BDB96C7">
      <w:pPr>
        <w:keepNext w:val="0"/>
        <w:keepLines w:val="0"/>
        <w:pageBreakBefore w:val="0"/>
        <w:widowControl w:val="0"/>
        <w:numPr>
          <w:ilvl w:val="0"/>
          <w:numId w:val="539"/>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主要构成</w:t>
      </w:r>
    </w:p>
    <w:p w14:paraId="4FE0551C">
      <w:pPr>
        <w:keepNext w:val="0"/>
        <w:keepLines w:val="0"/>
        <w:pageBreakBefore w:val="0"/>
        <w:widowControl w:val="0"/>
        <w:numPr>
          <w:ilvl w:val="0"/>
          <w:numId w:val="53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设备主要参数</w:t>
      </w:r>
    </w:p>
    <w:p w14:paraId="3556BE12">
      <w:pPr>
        <w:keepNext w:val="0"/>
        <w:keepLines w:val="0"/>
        <w:pageBreakBefore w:val="0"/>
        <w:widowControl w:val="0"/>
        <w:numPr>
          <w:ilvl w:val="0"/>
          <w:numId w:val="54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淋雨强度：顶部12±1mm/min，侧部、底部8±1mm/min</w:t>
      </w:r>
      <w:r>
        <w:rPr>
          <w:rFonts w:hint="eastAsia" w:ascii="Times New Roman" w:hAnsi="Times New Roman" w:eastAsia="宋体" w:cs="Times New Roman"/>
          <w:sz w:val="24"/>
          <w:lang w:eastAsia="zh-CN"/>
        </w:rPr>
        <w:t>。</w:t>
      </w:r>
    </w:p>
    <w:p w14:paraId="636A3784">
      <w:pPr>
        <w:keepNext w:val="0"/>
        <w:keepLines w:val="0"/>
        <w:pageBreakBefore w:val="0"/>
        <w:widowControl w:val="0"/>
        <w:numPr>
          <w:ilvl w:val="0"/>
          <w:numId w:val="54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喷嘴喷射压力：（150-250）±10kpa</w:t>
      </w:r>
      <w:r>
        <w:rPr>
          <w:rFonts w:hint="eastAsia" w:ascii="Times New Roman" w:hAnsi="Times New Roman" w:eastAsia="宋体" w:cs="Times New Roman"/>
          <w:sz w:val="24"/>
          <w:lang w:eastAsia="zh-CN"/>
        </w:rPr>
        <w:t>。</w:t>
      </w:r>
    </w:p>
    <w:p w14:paraId="35D65AB0">
      <w:pPr>
        <w:keepNext w:val="0"/>
        <w:keepLines w:val="0"/>
        <w:pageBreakBefore w:val="0"/>
        <w:widowControl w:val="0"/>
        <w:numPr>
          <w:ilvl w:val="0"/>
          <w:numId w:val="54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淋雨室&amp;吹干室外形尺寸：7000×5500×5000mm*2</w:t>
      </w:r>
      <w:r>
        <w:rPr>
          <w:rFonts w:hint="eastAsia" w:ascii="Times New Roman" w:hAnsi="Times New Roman" w:eastAsia="宋体" w:cs="Times New Roman"/>
          <w:sz w:val="24"/>
          <w:lang w:eastAsia="zh-CN"/>
        </w:rPr>
        <w:t>（</w:t>
      </w:r>
      <w:r>
        <w:rPr>
          <w:rFonts w:ascii="Times New Roman" w:hAnsi="Times New Roman" w:eastAsia="宋体" w:cs="Times New Roman"/>
          <w:sz w:val="24"/>
        </w:rPr>
        <w:t>长×宽×高</w:t>
      </w:r>
      <w:r>
        <w:rPr>
          <w:rFonts w:hint="eastAsia" w:ascii="Times New Roman" w:hAnsi="Times New Roman" w:eastAsia="宋体" w:cs="Times New Roman"/>
          <w:sz w:val="24"/>
          <w:lang w:eastAsia="zh-CN"/>
        </w:rPr>
        <w:t>）</w:t>
      </w:r>
      <w:r>
        <w:rPr>
          <w:rFonts w:ascii="Times New Roman" w:hAnsi="Times New Roman" w:eastAsia="宋体" w:cs="Times New Roman"/>
          <w:sz w:val="24"/>
        </w:rPr>
        <w:t>（以实际设计会签为准）</w:t>
      </w:r>
      <w:r>
        <w:rPr>
          <w:rFonts w:hint="eastAsia" w:ascii="Times New Roman" w:hAnsi="Times New Roman" w:eastAsia="宋体" w:cs="Times New Roman"/>
          <w:sz w:val="24"/>
          <w:lang w:eastAsia="zh-CN"/>
        </w:rPr>
        <w:t>。</w:t>
      </w:r>
    </w:p>
    <w:p w14:paraId="75656BA8">
      <w:pPr>
        <w:keepNext w:val="0"/>
        <w:keepLines w:val="0"/>
        <w:pageBreakBefore w:val="0"/>
        <w:widowControl w:val="0"/>
        <w:numPr>
          <w:ilvl w:val="0"/>
          <w:numId w:val="538"/>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工艺技术要求</w:t>
      </w:r>
    </w:p>
    <w:p w14:paraId="71A3F03F">
      <w:pPr>
        <w:keepNext w:val="0"/>
        <w:keepLines w:val="0"/>
        <w:pageBreakBefore w:val="0"/>
        <w:widowControl w:val="0"/>
        <w:numPr>
          <w:ilvl w:val="0"/>
          <w:numId w:val="541"/>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被加工零件描述</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20"/>
        <w:gridCol w:w="4532"/>
      </w:tblGrid>
      <w:tr w14:paraId="4B6F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52" w:type="pct"/>
            <w:shd w:val="clear" w:color="auto" w:fill="auto"/>
            <w:vAlign w:val="center"/>
          </w:tcPr>
          <w:p w14:paraId="34D92E0B">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项目</w:t>
            </w:r>
          </w:p>
        </w:tc>
        <w:tc>
          <w:tcPr>
            <w:tcW w:w="2347" w:type="pct"/>
            <w:shd w:val="clear" w:color="auto" w:fill="auto"/>
            <w:vAlign w:val="center"/>
          </w:tcPr>
          <w:p w14:paraId="34332E36">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参数</w:t>
            </w:r>
          </w:p>
        </w:tc>
      </w:tr>
      <w:tr w14:paraId="62CBC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52" w:type="pct"/>
            <w:shd w:val="clear" w:color="auto" w:fill="auto"/>
            <w:vAlign w:val="center"/>
          </w:tcPr>
          <w:p w14:paraId="5FFFE6DB">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产品车最大尺寸（长×宽×高）</w:t>
            </w:r>
          </w:p>
        </w:tc>
        <w:tc>
          <w:tcPr>
            <w:tcW w:w="2347" w:type="pct"/>
            <w:shd w:val="clear" w:color="auto" w:fill="auto"/>
            <w:vAlign w:val="center"/>
          </w:tcPr>
          <w:p w14:paraId="6F4C0438">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Times New Roman"/>
                <w:kern w:val="2"/>
                <w:sz w:val="24"/>
                <w:szCs w:val="24"/>
                <w:lang w:val="en-US" w:eastAsia="zh-CN" w:bidi="ar-SA"/>
              </w:rPr>
            </w:pPr>
            <w:r>
              <w:rPr>
                <w:rFonts w:hint="eastAsia" w:ascii="宋体" w:hAnsi="宋体" w:eastAsia="宋体" w:cs="宋体"/>
                <w:kern w:val="2"/>
                <w:sz w:val="24"/>
                <w:szCs w:val="24"/>
                <w:highlight w:val="none"/>
                <w:lang w:val="en-US" w:eastAsia="zh-CN" w:bidi="ar-SA"/>
              </w:rPr>
              <w:t>5417ⅹ1750ⅹ</w:t>
            </w:r>
            <w:r>
              <w:rPr>
                <w:rFonts w:ascii="宋体" w:hAnsi="宋体" w:eastAsia="宋体" w:cs="宋体"/>
                <w:kern w:val="2"/>
                <w:sz w:val="24"/>
                <w:szCs w:val="24"/>
                <w:highlight w:val="none"/>
                <w:lang w:val="en-US" w:eastAsia="zh-CN" w:bidi="ar-SA"/>
              </w:rPr>
              <w:t>2</w:t>
            </w:r>
            <w:r>
              <w:rPr>
                <w:rFonts w:hint="eastAsia" w:ascii="宋体" w:hAnsi="宋体" w:eastAsia="宋体" w:cs="宋体"/>
                <w:kern w:val="2"/>
                <w:sz w:val="24"/>
                <w:szCs w:val="24"/>
                <w:highlight w:val="none"/>
                <w:lang w:val="en-US" w:eastAsia="zh-CN" w:bidi="ar-SA"/>
              </w:rPr>
              <w:t>093</w:t>
            </w:r>
            <w:r>
              <w:rPr>
                <w:rFonts w:ascii="宋体" w:hAnsi="宋体" w:eastAsia="宋体" w:cs="宋体"/>
                <w:kern w:val="2"/>
                <w:sz w:val="24"/>
                <w:szCs w:val="24"/>
                <w:highlight w:val="none"/>
                <w:lang w:val="en-US" w:eastAsia="zh-CN" w:bidi="ar-SA"/>
              </w:rPr>
              <w:t>mm</w:t>
            </w:r>
          </w:p>
        </w:tc>
      </w:tr>
      <w:tr w14:paraId="0D5D7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652" w:type="pct"/>
            <w:shd w:val="clear" w:color="auto" w:fill="auto"/>
            <w:vAlign w:val="center"/>
          </w:tcPr>
          <w:p w14:paraId="544150AF">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产品车最大重量</w:t>
            </w:r>
          </w:p>
        </w:tc>
        <w:tc>
          <w:tcPr>
            <w:tcW w:w="2347" w:type="pct"/>
            <w:shd w:val="clear" w:color="auto" w:fill="auto"/>
            <w:vAlign w:val="center"/>
          </w:tcPr>
          <w:p w14:paraId="56ADFD3B">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3000</w:t>
            </w:r>
            <w:r>
              <w:rPr>
                <w:rFonts w:ascii="宋体" w:hAnsi="宋体" w:eastAsia="宋体" w:cs="Times New Roman"/>
                <w:kern w:val="2"/>
                <w:sz w:val="24"/>
                <w:szCs w:val="24"/>
                <w:lang w:val="en-US" w:eastAsia="zh-CN" w:bidi="ar-SA"/>
              </w:rPr>
              <w:t>kg</w:t>
            </w:r>
          </w:p>
        </w:tc>
      </w:tr>
    </w:tbl>
    <w:p w14:paraId="10B4FB10">
      <w:pPr>
        <w:keepNext w:val="0"/>
        <w:keepLines w:val="0"/>
        <w:pageBreakBefore w:val="0"/>
        <w:widowControl w:val="0"/>
        <w:numPr>
          <w:ilvl w:val="0"/>
          <w:numId w:val="541"/>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工艺流程或工序内容</w:t>
      </w:r>
    </w:p>
    <w:p w14:paraId="232121AC">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hint="eastAsia" w:ascii="Times New Roman" w:hAnsi="Times New Roman" w:eastAsia="宋体" w:cs="Times New Roman"/>
          <w:b/>
          <w:sz w:val="24"/>
          <w:lang w:eastAsia="zh-CN"/>
        </w:rPr>
      </w:pPr>
      <w:r>
        <w:rPr>
          <w:rFonts w:ascii="Times New Roman" w:hAnsi="Times New Roman" w:eastAsia="宋体" w:cs="Times New Roman"/>
          <w:sz w:val="24"/>
        </w:rPr>
        <w:t>司机驾驶关闭车门、车窗的产品行驶到双板带上→司机操作整车上高压电，确认仪表无故障显示→司机下车离开→淋雨试验→吹干→司机将产品车开出烘干室体</w:t>
      </w:r>
      <w:r>
        <w:rPr>
          <w:rFonts w:hint="eastAsia" w:ascii="Times New Roman" w:hAnsi="Times New Roman" w:eastAsia="宋体" w:cs="Times New Roman"/>
          <w:sz w:val="24"/>
          <w:lang w:eastAsia="zh-CN"/>
        </w:rPr>
        <w:t>。</w:t>
      </w:r>
    </w:p>
    <w:p w14:paraId="0FAC46E1">
      <w:pPr>
        <w:keepNext w:val="0"/>
        <w:keepLines w:val="0"/>
        <w:pageBreakBefore w:val="0"/>
        <w:widowControl w:val="0"/>
        <w:numPr>
          <w:ilvl w:val="0"/>
          <w:numId w:val="541"/>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其它技术要求</w:t>
      </w:r>
    </w:p>
    <w:tbl>
      <w:tblPr>
        <w:tblStyle w:val="44"/>
        <w:tblpPr w:leftFromText="180" w:rightFromText="180" w:vertAnchor="text" w:horzAnchor="page" w:tblpX="1333" w:tblpY="1535"/>
        <w:tblOverlap w:val="never"/>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159"/>
        <w:gridCol w:w="5489"/>
      </w:tblGrid>
      <w:tr w14:paraId="1622E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vMerge w:val="restart"/>
            <w:shd w:val="clear" w:color="auto" w:fill="auto"/>
            <w:tcMar>
              <w:left w:w="108" w:type="dxa"/>
              <w:right w:w="108" w:type="dxa"/>
            </w:tcMar>
            <w:vAlign w:val="center"/>
          </w:tcPr>
          <w:p w14:paraId="3115A71F">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淋雨部位</w:t>
            </w:r>
          </w:p>
        </w:tc>
        <w:tc>
          <w:tcPr>
            <w:tcW w:w="2844" w:type="pct"/>
            <w:shd w:val="clear" w:color="auto" w:fill="auto"/>
            <w:tcMar>
              <w:left w:w="108" w:type="dxa"/>
              <w:right w:w="108" w:type="dxa"/>
            </w:tcMar>
            <w:vAlign w:val="center"/>
          </w:tcPr>
          <w:p w14:paraId="69D43A56">
            <w:pPr>
              <w:keepNext w:val="0"/>
              <w:keepLines w:val="0"/>
              <w:pageBreakBefore w:val="0"/>
              <w:widowControl w:val="0"/>
              <w:kinsoku/>
              <w:overflowPunct/>
              <w:topLinePunct w:val="0"/>
              <w:bidi w:val="0"/>
              <w:adjustRightInd w:val="0"/>
              <w:snapToGrid w:val="0"/>
              <w:spacing w:afterAutospacing="0" w:line="240" w:lineRule="auto"/>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试验类型</w:t>
            </w:r>
          </w:p>
        </w:tc>
      </w:tr>
      <w:tr w14:paraId="67CC7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vMerge w:val="continue"/>
            <w:shd w:val="clear" w:color="auto" w:fill="auto"/>
            <w:tcMar>
              <w:left w:w="108" w:type="dxa"/>
              <w:right w:w="108" w:type="dxa"/>
            </w:tcMar>
            <w:vAlign w:val="center"/>
          </w:tcPr>
          <w:p w14:paraId="3D1ECA50">
            <w:pPr>
              <w:keepNext w:val="0"/>
              <w:keepLines w:val="0"/>
              <w:pageBreakBefore w:val="0"/>
              <w:widowControl w:val="0"/>
              <w:kinsoku/>
              <w:overflowPunct/>
              <w:topLinePunct w:val="0"/>
              <w:bidi w:val="0"/>
              <w:adjustRightInd w:val="0"/>
              <w:snapToGrid w:val="0"/>
              <w:spacing w:afterAutospacing="0" w:line="240" w:lineRule="auto"/>
              <w:ind w:left="735" w:firstLine="0" w:firstLineChars="0"/>
              <w:jc w:val="center"/>
              <w:rPr>
                <w:rFonts w:ascii="宋体" w:hAnsi="宋体" w:eastAsia="宋体" w:cs="宋体"/>
                <w:b w:val="0"/>
                <w:bCs w:val="0"/>
                <w:kern w:val="2"/>
                <w:sz w:val="24"/>
                <w:szCs w:val="24"/>
                <w:lang w:val="en-US" w:eastAsia="zh-CN" w:bidi="ar-SA"/>
              </w:rPr>
            </w:pPr>
          </w:p>
        </w:tc>
        <w:tc>
          <w:tcPr>
            <w:tcW w:w="2844" w:type="pct"/>
            <w:shd w:val="clear" w:color="auto" w:fill="auto"/>
            <w:tcMar>
              <w:left w:w="108" w:type="dxa"/>
              <w:right w:w="108" w:type="dxa"/>
            </w:tcMar>
            <w:vAlign w:val="center"/>
          </w:tcPr>
          <w:p w14:paraId="02B35BAF">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强雨试验</w:t>
            </w:r>
            <w:r>
              <w:rPr>
                <w:rFonts w:ascii="宋体" w:hAnsi="宋体" w:eastAsia="宋体" w:cs="宋体"/>
                <w:b w:val="0"/>
                <w:bCs w:val="0"/>
                <w:kern w:val="2"/>
                <w:sz w:val="24"/>
                <w:szCs w:val="24"/>
                <w:lang w:val="en-US" w:eastAsia="zh-CN" w:bidi="ar-SA"/>
              </w:rPr>
              <w:t>mm/min</w:t>
            </w:r>
          </w:p>
        </w:tc>
      </w:tr>
      <w:tr w14:paraId="6E02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shd w:val="clear" w:color="auto" w:fill="auto"/>
            <w:tcMar>
              <w:left w:w="108" w:type="dxa"/>
              <w:right w:w="108" w:type="dxa"/>
            </w:tcMar>
            <w:vAlign w:val="center"/>
          </w:tcPr>
          <w:p w14:paraId="1FDC81DC">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汽车前部、顶部（全车架范围）</w:t>
            </w:r>
          </w:p>
        </w:tc>
        <w:tc>
          <w:tcPr>
            <w:tcW w:w="2844" w:type="pct"/>
            <w:shd w:val="clear" w:color="auto" w:fill="auto"/>
            <w:tcMar>
              <w:left w:w="108" w:type="dxa"/>
              <w:right w:w="108" w:type="dxa"/>
            </w:tcMar>
            <w:vAlign w:val="center"/>
          </w:tcPr>
          <w:p w14:paraId="2AD410AE">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ascii="宋体" w:hAnsi="宋体" w:eastAsia="宋体" w:cs="宋体"/>
                <w:b w:val="0"/>
                <w:bCs w:val="0"/>
                <w:kern w:val="2"/>
                <w:sz w:val="24"/>
                <w:szCs w:val="24"/>
                <w:lang w:val="en-US" w:eastAsia="zh-CN" w:bidi="ar-SA"/>
              </w:rPr>
              <w:t>12±1</w:t>
            </w:r>
          </w:p>
        </w:tc>
      </w:tr>
      <w:tr w14:paraId="4063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shd w:val="clear" w:color="auto" w:fill="auto"/>
            <w:tcMar>
              <w:left w:w="108" w:type="dxa"/>
              <w:right w:w="108" w:type="dxa"/>
            </w:tcMar>
            <w:vAlign w:val="center"/>
          </w:tcPr>
          <w:p w14:paraId="22334850">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左右侧面（全车架范围）</w:t>
            </w:r>
          </w:p>
        </w:tc>
        <w:tc>
          <w:tcPr>
            <w:tcW w:w="2844" w:type="pct"/>
            <w:shd w:val="clear" w:color="auto" w:fill="auto"/>
            <w:tcMar>
              <w:left w:w="108" w:type="dxa"/>
              <w:right w:w="108" w:type="dxa"/>
            </w:tcMar>
            <w:vAlign w:val="center"/>
          </w:tcPr>
          <w:p w14:paraId="20FF4D11">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ascii="宋体" w:hAnsi="宋体" w:eastAsia="宋体" w:cs="宋体"/>
                <w:b w:val="0"/>
                <w:bCs w:val="0"/>
                <w:kern w:val="2"/>
                <w:sz w:val="24"/>
                <w:szCs w:val="24"/>
                <w:lang w:val="en-US" w:eastAsia="zh-CN" w:bidi="ar-SA"/>
              </w:rPr>
              <w:t>8±1</w:t>
            </w:r>
          </w:p>
        </w:tc>
      </w:tr>
      <w:tr w14:paraId="18EF7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shd w:val="clear" w:color="auto" w:fill="auto"/>
            <w:tcMar>
              <w:left w:w="108" w:type="dxa"/>
              <w:right w:w="108" w:type="dxa"/>
            </w:tcMar>
            <w:vAlign w:val="center"/>
          </w:tcPr>
          <w:p w14:paraId="4569C90D">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后部（驾驶室后窗、后围、车架尾部）</w:t>
            </w:r>
          </w:p>
        </w:tc>
        <w:tc>
          <w:tcPr>
            <w:tcW w:w="2844" w:type="pct"/>
            <w:shd w:val="clear" w:color="auto" w:fill="auto"/>
            <w:tcMar>
              <w:left w:w="108" w:type="dxa"/>
              <w:right w:w="108" w:type="dxa"/>
            </w:tcMar>
            <w:vAlign w:val="center"/>
          </w:tcPr>
          <w:p w14:paraId="0DB7DD4D">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ascii="宋体" w:hAnsi="宋体" w:eastAsia="宋体" w:cs="宋体"/>
                <w:b w:val="0"/>
                <w:bCs w:val="0"/>
                <w:kern w:val="2"/>
                <w:sz w:val="24"/>
                <w:szCs w:val="24"/>
                <w:lang w:val="en-US" w:eastAsia="zh-CN" w:bidi="ar-SA"/>
              </w:rPr>
              <w:t>8±1</w:t>
            </w:r>
          </w:p>
        </w:tc>
      </w:tr>
      <w:tr w14:paraId="0B63A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shd w:val="clear" w:color="auto" w:fill="auto"/>
            <w:tcMar>
              <w:left w:w="108" w:type="dxa"/>
              <w:right w:w="108" w:type="dxa"/>
            </w:tcMar>
            <w:vAlign w:val="center"/>
          </w:tcPr>
          <w:p w14:paraId="78C208A6">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底部（全车架范围）</w:t>
            </w:r>
          </w:p>
        </w:tc>
        <w:tc>
          <w:tcPr>
            <w:tcW w:w="2844" w:type="pct"/>
            <w:shd w:val="clear" w:color="auto" w:fill="auto"/>
            <w:tcMar>
              <w:left w:w="108" w:type="dxa"/>
              <w:right w:w="108" w:type="dxa"/>
            </w:tcMar>
            <w:vAlign w:val="center"/>
          </w:tcPr>
          <w:p w14:paraId="2093692B">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ascii="宋体" w:hAnsi="宋体" w:eastAsia="宋体" w:cs="宋体"/>
                <w:b w:val="0"/>
                <w:bCs w:val="0"/>
                <w:kern w:val="2"/>
                <w:sz w:val="24"/>
                <w:szCs w:val="24"/>
                <w:lang w:val="en-US" w:eastAsia="zh-CN" w:bidi="ar-SA"/>
              </w:rPr>
              <w:t>8±1</w:t>
            </w:r>
          </w:p>
        </w:tc>
      </w:tr>
      <w:tr w14:paraId="37513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shd w:val="clear" w:color="auto" w:fill="auto"/>
            <w:tcMar>
              <w:left w:w="108" w:type="dxa"/>
              <w:right w:w="108" w:type="dxa"/>
            </w:tcMar>
            <w:vAlign w:val="center"/>
          </w:tcPr>
          <w:p w14:paraId="2D39DAB6">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管路系统压力</w:t>
            </w:r>
            <w:r>
              <w:rPr>
                <w:rFonts w:ascii="宋体" w:hAnsi="宋体" w:eastAsia="宋体" w:cs="宋体"/>
                <w:b w:val="0"/>
                <w:bCs w:val="0"/>
                <w:kern w:val="2"/>
                <w:sz w:val="24"/>
                <w:szCs w:val="24"/>
                <w:lang w:val="en-US" w:eastAsia="zh-CN" w:bidi="ar-SA"/>
              </w:rPr>
              <w:t>kpa</w:t>
            </w:r>
          </w:p>
        </w:tc>
        <w:tc>
          <w:tcPr>
            <w:tcW w:w="2844" w:type="pct"/>
            <w:shd w:val="clear" w:color="auto" w:fill="auto"/>
            <w:tcMar>
              <w:left w:w="108" w:type="dxa"/>
              <w:right w:w="108" w:type="dxa"/>
            </w:tcMar>
            <w:vAlign w:val="center"/>
          </w:tcPr>
          <w:p w14:paraId="0A128F5F">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w:t>
            </w:r>
            <w:r>
              <w:rPr>
                <w:rFonts w:ascii="宋体" w:hAnsi="宋体" w:eastAsia="宋体" w:cs="宋体"/>
                <w:b w:val="0"/>
                <w:bCs w:val="0"/>
                <w:kern w:val="2"/>
                <w:sz w:val="24"/>
                <w:szCs w:val="24"/>
                <w:lang w:val="en-US" w:eastAsia="zh-CN" w:bidi="ar-SA"/>
              </w:rPr>
              <w:t>150-200</w:t>
            </w:r>
            <w:r>
              <w:rPr>
                <w:rFonts w:hint="eastAsia" w:ascii="宋体" w:hAnsi="宋体" w:eastAsia="宋体" w:cs="宋体"/>
                <w:b w:val="0"/>
                <w:bCs w:val="0"/>
                <w:kern w:val="2"/>
                <w:sz w:val="24"/>
                <w:szCs w:val="24"/>
                <w:lang w:val="en-US" w:eastAsia="zh-CN" w:bidi="ar-SA"/>
              </w:rPr>
              <w:t>)</w:t>
            </w:r>
            <w:r>
              <w:rPr>
                <w:rFonts w:ascii="宋体" w:hAnsi="宋体" w:eastAsia="宋体" w:cs="宋体"/>
                <w:b w:val="0"/>
                <w:bCs w:val="0"/>
                <w:kern w:val="2"/>
                <w:sz w:val="24"/>
                <w:szCs w:val="24"/>
                <w:lang w:val="en-US" w:eastAsia="zh-CN" w:bidi="ar-SA"/>
              </w:rPr>
              <w:t>±10</w:t>
            </w:r>
          </w:p>
        </w:tc>
      </w:tr>
      <w:tr w14:paraId="6637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2155" w:type="pct"/>
            <w:shd w:val="clear" w:color="auto" w:fill="auto"/>
            <w:tcMar>
              <w:left w:w="108" w:type="dxa"/>
              <w:right w:w="108" w:type="dxa"/>
            </w:tcMar>
            <w:vAlign w:val="center"/>
          </w:tcPr>
          <w:p w14:paraId="64C022BA">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淋雨时间</w:t>
            </w:r>
            <w:r>
              <w:rPr>
                <w:rFonts w:ascii="宋体" w:hAnsi="宋体" w:eastAsia="宋体" w:cs="宋体"/>
                <w:b w:val="0"/>
                <w:bCs w:val="0"/>
                <w:kern w:val="2"/>
                <w:sz w:val="24"/>
                <w:szCs w:val="24"/>
                <w:lang w:val="en-US" w:eastAsia="zh-CN" w:bidi="ar-SA"/>
              </w:rPr>
              <w:t>min</w:t>
            </w:r>
          </w:p>
        </w:tc>
        <w:tc>
          <w:tcPr>
            <w:tcW w:w="2844" w:type="pct"/>
            <w:shd w:val="clear" w:color="auto" w:fill="auto"/>
            <w:tcMar>
              <w:left w:w="108" w:type="dxa"/>
              <w:right w:w="108" w:type="dxa"/>
            </w:tcMar>
            <w:vAlign w:val="center"/>
          </w:tcPr>
          <w:p w14:paraId="661878A3">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w:t>
            </w:r>
            <w:r>
              <w:rPr>
                <w:rFonts w:hint="eastAsia" w:ascii="宋体" w:hAnsi="宋体" w:cs="宋体"/>
                <w:b w:val="0"/>
                <w:bCs w:val="0"/>
                <w:kern w:val="2"/>
                <w:sz w:val="24"/>
                <w:szCs w:val="24"/>
                <w:lang w:val="en-US" w:eastAsia="zh-CN" w:bidi="ar-SA"/>
              </w:rPr>
              <w:t>8</w:t>
            </w:r>
            <w:r>
              <w:rPr>
                <w:rFonts w:ascii="宋体" w:hAnsi="宋体" w:eastAsia="宋体" w:cs="宋体"/>
                <w:b w:val="0"/>
                <w:bCs w:val="0"/>
                <w:kern w:val="2"/>
                <w:sz w:val="24"/>
                <w:szCs w:val="24"/>
                <w:lang w:val="en-US" w:eastAsia="zh-CN" w:bidi="ar-SA"/>
              </w:rPr>
              <w:t>-60</w:t>
            </w:r>
            <w:r>
              <w:rPr>
                <w:rFonts w:hint="eastAsia" w:ascii="宋体" w:hAnsi="宋体" w:eastAsia="宋体" w:cs="宋体"/>
                <w:b w:val="0"/>
                <w:bCs w:val="0"/>
                <w:kern w:val="2"/>
                <w:sz w:val="24"/>
                <w:szCs w:val="24"/>
                <w:lang w:val="en-US" w:eastAsia="zh-CN" w:bidi="ar-SA"/>
              </w:rPr>
              <w:t>可调）（可通过手持机扫码选择档位）</w:t>
            </w:r>
          </w:p>
        </w:tc>
      </w:tr>
    </w:tbl>
    <w:p w14:paraId="698F095D">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淋雨试验强度、管路系统压力和淋雨时间见下表，淋雨装置应符合QC/T476的规定，淋雨强度的调节方法按照QC/T476的规定。</w:t>
      </w:r>
    </w:p>
    <w:p w14:paraId="07F5F46E">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淋雨试验室主体及内部部件应推荐选用防水、防腐材料。</w:t>
      </w:r>
    </w:p>
    <w:p w14:paraId="47A42C2C">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淋雨间进出口地面设计排水装置，防止室内水流出道路及室外雨水流入淋雨间。淋雨间污水需按照安技环保要求进行处理。</w:t>
      </w:r>
    </w:p>
    <w:p w14:paraId="2DB271C4">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淋雨时车身停在淋雨线中间位置，要求淋雨线地面</w:t>
      </w:r>
      <w:r>
        <w:rPr>
          <w:rFonts w:hint="eastAsia" w:ascii="Times New Roman" w:hAnsi="Times New Roman" w:eastAsia="宋体" w:cs="Times New Roman"/>
          <w:sz w:val="24"/>
          <w:lang w:eastAsia="zh-CN"/>
        </w:rPr>
        <w:t>制作</w:t>
      </w:r>
      <w:r>
        <w:rPr>
          <w:rFonts w:ascii="Times New Roman" w:hAnsi="Times New Roman" w:eastAsia="宋体" w:cs="Times New Roman"/>
          <w:sz w:val="24"/>
        </w:rPr>
        <w:t>定位装置，方便司机能够将车停放在指定位置。</w:t>
      </w:r>
    </w:p>
    <w:p w14:paraId="64E9A3ED">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淋雨系统采用循环水装置，水泵出口处设置卸荷阀，该卸荷阀在整个系统压力异常过高时，自动开启进行排水，以保证系统安全。</w:t>
      </w:r>
    </w:p>
    <w:p w14:paraId="085596FD">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在各喷淋面支管路上均匀安装淋雨喷嘴，喷嘴数量确保对应车体外表面各受检部位处于淋雨区域内。</w:t>
      </w:r>
    </w:p>
    <w:p w14:paraId="41DAED64">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要求过滤系统对循环水进行过滤，淋雨用水不得含杂质堵塞喷嘴。同时满足杂质和油污的过滤需求，确保淋雨用水不含悬浮杂质颗粒及油污。</w:t>
      </w:r>
    </w:p>
    <w:p w14:paraId="06F8C3EA">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过滤装置便于日后使用过程中进行定期清理。</w:t>
      </w:r>
    </w:p>
    <w:p w14:paraId="1745E600">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电控系统同时具备调整功能，通过按钮控制淋雨间内淋雨及停止淋雨等功能，电控系统具备延时喷水、定时断水的功能。</w:t>
      </w:r>
    </w:p>
    <w:p w14:paraId="7CCC9044">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间出口处需安装声光闪烁警报，警报灯安装在厂房大门外侧，警报灯的尺寸要求至少在30m内可视。警报灯的报警信号由淋雨间出口大门的动作提供，警报灯发出声光报警信号，警示淋雨间外侧的行人和车辆淋雨间内即将驶出车辆，注意避让；车辆驶出后，同时报警停止。</w:t>
      </w:r>
    </w:p>
    <w:p w14:paraId="5F026D3F">
      <w:pPr>
        <w:keepNext w:val="0"/>
        <w:keepLines w:val="0"/>
        <w:pageBreakBefore w:val="0"/>
        <w:widowControl w:val="0"/>
        <w:numPr>
          <w:ilvl w:val="0"/>
          <w:numId w:val="54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淋雨间出口设置沥水装置，减少产品车废水带出。</w:t>
      </w:r>
    </w:p>
    <w:p w14:paraId="2B96F2FE">
      <w:pPr>
        <w:keepNext w:val="0"/>
        <w:keepLines w:val="0"/>
        <w:pageBreakBefore w:val="0"/>
        <w:widowControl w:val="0"/>
        <w:numPr>
          <w:ilvl w:val="0"/>
          <w:numId w:val="538"/>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设备功能及结构技术要求</w:t>
      </w:r>
    </w:p>
    <w:p w14:paraId="6E3475ED">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设备主要功能及技术要求</w:t>
      </w:r>
    </w:p>
    <w:p w14:paraId="49043E2A">
      <w:pPr>
        <w:keepNext w:val="0"/>
        <w:keepLines w:val="0"/>
        <w:pageBreakBefore w:val="0"/>
        <w:widowControl w:val="0"/>
        <w:numPr>
          <w:ilvl w:val="0"/>
          <w:numId w:val="5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该项目包含淋雨系统、吹干系统及双板带。</w:t>
      </w:r>
    </w:p>
    <w:p w14:paraId="41CA149D">
      <w:pPr>
        <w:keepNext w:val="0"/>
        <w:keepLines w:val="0"/>
        <w:pageBreakBefore w:val="0"/>
        <w:widowControl w:val="0"/>
        <w:numPr>
          <w:ilvl w:val="0"/>
          <w:numId w:val="5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顶部、侧部、底部淋水管路均分段控制，独立运行。</w:t>
      </w:r>
    </w:p>
    <w:p w14:paraId="783C27AE">
      <w:pPr>
        <w:keepNext w:val="0"/>
        <w:keepLines w:val="0"/>
        <w:pageBreakBefore w:val="0"/>
        <w:widowControl w:val="0"/>
        <w:numPr>
          <w:ilvl w:val="0"/>
          <w:numId w:val="5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淋雨时车身停在淋雨线合适位置，要求淋雨线地面制作定位装置，方便司机能够将车停放在指定位置。</w:t>
      </w:r>
    </w:p>
    <w:p w14:paraId="4A40C8FB">
      <w:pPr>
        <w:keepNext w:val="0"/>
        <w:keepLines w:val="0"/>
        <w:pageBreakBefore w:val="0"/>
        <w:widowControl w:val="0"/>
        <w:numPr>
          <w:ilvl w:val="0"/>
          <w:numId w:val="5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淋雨系统采用循环水装置，水泵出口处设置卸荷阀，该卸荷阀在整个系统压力异常过高时，自动开启进行排水，以保证系统安全。</w:t>
      </w:r>
    </w:p>
    <w:p w14:paraId="75F0A1AC">
      <w:pPr>
        <w:keepNext w:val="0"/>
        <w:keepLines w:val="0"/>
        <w:pageBreakBefore w:val="0"/>
        <w:widowControl w:val="0"/>
        <w:numPr>
          <w:ilvl w:val="0"/>
          <w:numId w:val="54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要求过滤系统对循环水进行过滤，淋雨用水不得含杂质堵塞喷嘴。同时满足杂质和油污的过滤需求，确保车身淋雨用水不含悬浮杂质颗粒及油污。</w:t>
      </w:r>
    </w:p>
    <w:p w14:paraId="73AE819F">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淋雨室的技术要求</w:t>
      </w:r>
    </w:p>
    <w:p w14:paraId="232D119C">
      <w:pPr>
        <w:keepNext w:val="0"/>
        <w:keepLines w:val="0"/>
        <w:pageBreakBefore w:val="0"/>
        <w:widowControl w:val="0"/>
        <w:numPr>
          <w:ilvl w:val="0"/>
          <w:numId w:val="5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单间淋雨室体外形尺寸：7</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 xml:space="preserve">00×5500×5000mm </w:t>
      </w:r>
      <w:r>
        <w:rPr>
          <w:rFonts w:hint="eastAsia" w:ascii="Times New Roman" w:hAnsi="Times New Roman" w:eastAsia="宋体" w:cs="Times New Roman"/>
          <w:sz w:val="24"/>
          <w:lang w:eastAsia="zh-CN"/>
        </w:rPr>
        <w:t>（</w:t>
      </w:r>
      <w:r>
        <w:rPr>
          <w:rFonts w:ascii="Times New Roman" w:hAnsi="Times New Roman" w:eastAsia="宋体" w:cs="Times New Roman"/>
          <w:sz w:val="24"/>
        </w:rPr>
        <w:t>长×宽×高</w:t>
      </w:r>
      <w:r>
        <w:rPr>
          <w:rFonts w:hint="eastAsia" w:ascii="Times New Roman" w:hAnsi="Times New Roman" w:eastAsia="宋体" w:cs="Times New Roman"/>
          <w:sz w:val="24"/>
          <w:lang w:eastAsia="zh-CN"/>
        </w:rPr>
        <w:t>）</w:t>
      </w:r>
      <w:r>
        <w:rPr>
          <w:rFonts w:ascii="Times New Roman" w:hAnsi="Times New Roman" w:eastAsia="宋体" w:cs="Times New Roman"/>
          <w:sz w:val="24"/>
        </w:rPr>
        <w:t>。</w:t>
      </w:r>
    </w:p>
    <w:p w14:paraId="3A70FA84">
      <w:pPr>
        <w:keepNext w:val="0"/>
        <w:keepLines w:val="0"/>
        <w:pageBreakBefore w:val="0"/>
        <w:widowControl w:val="0"/>
        <w:numPr>
          <w:ilvl w:val="0"/>
          <w:numId w:val="5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确保房顶局部能承载100Kg/㎡以上，各接缝处加涂建筑专用密封胶，确保不渗漏。整个室体表面无任何变形、损坏、腐蚀或锈蚀，达到外形美观。</w:t>
      </w:r>
    </w:p>
    <w:p w14:paraId="33B146C8">
      <w:pPr>
        <w:keepNext w:val="0"/>
        <w:keepLines w:val="0"/>
        <w:pageBreakBefore w:val="0"/>
        <w:widowControl w:val="0"/>
        <w:numPr>
          <w:ilvl w:val="0"/>
          <w:numId w:val="5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val="en-US" w:eastAsia="zh-CN"/>
        </w:rPr>
        <w:t>固</w:t>
      </w:r>
      <w:r>
        <w:rPr>
          <w:rFonts w:ascii="Times New Roman" w:hAnsi="Times New Roman" w:eastAsia="宋体" w:cs="Times New Roman"/>
          <w:sz w:val="24"/>
        </w:rPr>
        <w:t>定牢固可靠</w:t>
      </w:r>
      <w:r>
        <w:rPr>
          <w:rFonts w:hint="eastAsia" w:ascii="Times New Roman" w:hAnsi="Times New Roman" w:eastAsia="宋体" w:cs="Times New Roman"/>
          <w:sz w:val="24"/>
          <w:lang w:eastAsia="zh-CN"/>
        </w:rPr>
        <w:t>，</w:t>
      </w:r>
      <w:r>
        <w:rPr>
          <w:rFonts w:ascii="Times New Roman" w:hAnsi="Times New Roman" w:eastAsia="宋体" w:cs="Times New Roman"/>
          <w:sz w:val="24"/>
        </w:rPr>
        <w:t>涂建筑专用密封胶</w:t>
      </w:r>
      <w:r>
        <w:rPr>
          <w:rFonts w:hint="eastAsia" w:ascii="Times New Roman" w:hAnsi="Times New Roman" w:eastAsia="宋体" w:cs="Times New Roman"/>
          <w:sz w:val="24"/>
          <w:lang w:eastAsia="zh-CN"/>
        </w:rPr>
        <w:t>，</w:t>
      </w:r>
      <w:r>
        <w:rPr>
          <w:rFonts w:ascii="Times New Roman" w:hAnsi="Times New Roman" w:eastAsia="宋体" w:cs="Times New Roman"/>
          <w:sz w:val="24"/>
        </w:rPr>
        <w:t>确保不渗漏。</w:t>
      </w:r>
    </w:p>
    <w:p w14:paraId="62DFACF2">
      <w:pPr>
        <w:keepNext w:val="0"/>
        <w:keepLines w:val="0"/>
        <w:pageBreakBefore w:val="0"/>
        <w:widowControl w:val="0"/>
        <w:numPr>
          <w:ilvl w:val="0"/>
          <w:numId w:val="5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室体四周设置围堰，防止室体底部渗水外泄。</w:t>
      </w:r>
    </w:p>
    <w:p w14:paraId="65971611">
      <w:pPr>
        <w:keepNext w:val="0"/>
        <w:keepLines w:val="0"/>
        <w:pageBreakBefore w:val="0"/>
        <w:widowControl w:val="0"/>
        <w:numPr>
          <w:ilvl w:val="0"/>
          <w:numId w:val="5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室体底部安装漏水格栅，漏水格栅及下部支架全部采用碳钢并整体镀锌防腐处理</w:t>
      </w:r>
      <w:r>
        <w:rPr>
          <w:rFonts w:hint="eastAsia" w:ascii="Times New Roman" w:hAnsi="Times New Roman" w:eastAsia="宋体" w:cs="Times New Roman"/>
          <w:sz w:val="24"/>
          <w:lang w:eastAsia="zh-CN"/>
        </w:rPr>
        <w:t>。</w:t>
      </w:r>
      <w:r>
        <w:rPr>
          <w:rFonts w:ascii="Times New Roman" w:hAnsi="Times New Roman" w:eastAsia="宋体" w:cs="Times New Roman"/>
          <w:sz w:val="24"/>
        </w:rPr>
        <w:t>漏水格栅上表面为防滑扭纹钢条及齿形扁钢，厚度≥50mm；采用网格尺寸100×30mm。</w:t>
      </w:r>
    </w:p>
    <w:p w14:paraId="2A3BBD3B">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喷淋系统的技术要求</w:t>
      </w:r>
    </w:p>
    <w:p w14:paraId="5C1E989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喷淋系统是将多级过滤的循环水，通过水泵打压送入喷淋管路，通过喷嘴喷向被检测车辆表面，喷淋系统是淋雨</w:t>
      </w:r>
      <w:r>
        <w:rPr>
          <w:rFonts w:hint="eastAsia" w:ascii="Times New Roman" w:hAnsi="Times New Roman" w:eastAsia="宋体" w:cs="Times New Roman"/>
          <w:sz w:val="24"/>
          <w:lang w:eastAsia="zh-CN"/>
        </w:rPr>
        <w:t>试验</w:t>
      </w:r>
      <w:r>
        <w:rPr>
          <w:rFonts w:ascii="Times New Roman" w:hAnsi="Times New Roman" w:eastAsia="宋体" w:cs="Times New Roman"/>
          <w:sz w:val="24"/>
        </w:rPr>
        <w:t>的主要系统。</w:t>
      </w:r>
    </w:p>
    <w:p w14:paraId="344867BD">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循环水池的技术要求</w:t>
      </w:r>
    </w:p>
    <w:p w14:paraId="10F6C9F3">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循环水池主要</w:t>
      </w:r>
      <w:r>
        <w:rPr>
          <w:rFonts w:hint="eastAsia" w:ascii="Times New Roman" w:hAnsi="Times New Roman" w:eastAsia="宋体" w:cs="Times New Roman"/>
          <w:sz w:val="24"/>
          <w:lang w:eastAsia="zh-CN"/>
        </w:rPr>
        <w:t>由</w:t>
      </w:r>
      <w:r>
        <w:rPr>
          <w:rFonts w:ascii="Times New Roman" w:hAnsi="Times New Roman" w:eastAsia="宋体" w:cs="Times New Roman"/>
          <w:sz w:val="24"/>
        </w:rPr>
        <w:t>沉淀池（回水池）、过滤池、清水池组成。</w:t>
      </w:r>
    </w:p>
    <w:p w14:paraId="43C22657">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循环水池设置在地面下，便于循环水回流、过滤和保温，且不占用地面空间，循环水池容量不小于40立方米。</w:t>
      </w:r>
    </w:p>
    <w:p w14:paraId="55029650">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循环水池采用二级沉淀池对循环水进行过滤，过滤网采用便捷插入式安装结构，便于拆卸和清洗，并设置人行竖梯，方便池内清理和检修。</w:t>
      </w:r>
    </w:p>
    <w:p w14:paraId="050ECCA4">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过滤池中一级过滤采用16目板式过滤器、二级过滤采用20目板式过滤器，过滤网采用不锈钢过滤网。</w:t>
      </w:r>
    </w:p>
    <w:p w14:paraId="1F744BF7">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水池检查口处设5mm厚的花纹盖板，盖板的打开与关闭状态同水池中的照明装置和排风装置（照明灯及接线保证防水）进行联动。</w:t>
      </w:r>
    </w:p>
    <w:p w14:paraId="29F63C1F">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淋雨室通长设回流槽，保证淋雨室喷淋水全部自然回流循环使用。回流槽入循环水池处设16目板式过滤器。</w:t>
      </w:r>
    </w:p>
    <w:p w14:paraId="30E3FBA3">
      <w:pPr>
        <w:keepNext w:val="0"/>
        <w:keepLines w:val="0"/>
        <w:pageBreakBefore w:val="0"/>
        <w:widowControl w:val="0"/>
        <w:numPr>
          <w:ilvl w:val="0"/>
          <w:numId w:val="5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沉淀池设积水坑</w:t>
      </w:r>
      <w:r>
        <w:rPr>
          <w:rFonts w:hint="eastAsia" w:ascii="Times New Roman" w:hAnsi="Times New Roman" w:eastAsia="宋体" w:cs="Times New Roman"/>
          <w:sz w:val="24"/>
          <w:lang w:eastAsia="zh-CN"/>
        </w:rPr>
        <w:t>，</w:t>
      </w:r>
      <w:r>
        <w:rPr>
          <w:rFonts w:ascii="Times New Roman" w:hAnsi="Times New Roman" w:eastAsia="宋体" w:cs="Times New Roman"/>
          <w:sz w:val="24"/>
        </w:rPr>
        <w:t>方便排除池中污泥。</w:t>
      </w:r>
    </w:p>
    <w:p w14:paraId="77E7D5D4">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水泵和负压罐的技术要求</w:t>
      </w:r>
    </w:p>
    <w:p w14:paraId="5540EC9C">
      <w:pPr>
        <w:keepNext w:val="0"/>
        <w:keepLines w:val="0"/>
        <w:pageBreakBefore w:val="0"/>
        <w:widowControl w:val="0"/>
        <w:numPr>
          <w:ilvl w:val="0"/>
          <w:numId w:val="5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根据淋雨强度和受雨面积，计算水泵流量，水泵额定流量应比实际所需最大流量大5%～10%，其扬程不小于40m。</w:t>
      </w:r>
    </w:p>
    <w:p w14:paraId="05464AA3">
      <w:pPr>
        <w:keepNext w:val="0"/>
        <w:keepLines w:val="0"/>
        <w:pageBreakBefore w:val="0"/>
        <w:widowControl w:val="0"/>
        <w:numPr>
          <w:ilvl w:val="0"/>
          <w:numId w:val="5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设置1套水泵，采用卧式水泵。</w:t>
      </w:r>
    </w:p>
    <w:p w14:paraId="62439227">
      <w:pPr>
        <w:keepNext w:val="0"/>
        <w:keepLines w:val="0"/>
        <w:pageBreakBefore w:val="0"/>
        <w:widowControl w:val="0"/>
        <w:numPr>
          <w:ilvl w:val="0"/>
          <w:numId w:val="5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水泵出水管上必须要安装法兰及橡胶软接头，防止水泵振动对管路的影响。</w:t>
      </w:r>
    </w:p>
    <w:p w14:paraId="103E2FD6">
      <w:pPr>
        <w:keepNext w:val="0"/>
        <w:keepLines w:val="0"/>
        <w:pageBreakBefore w:val="0"/>
        <w:widowControl w:val="0"/>
        <w:numPr>
          <w:ilvl w:val="0"/>
          <w:numId w:val="5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离心泵引水端安装前置负压罐，主要起到自动补水作用（替代引水用止回阀/底阀）。</w:t>
      </w:r>
    </w:p>
    <w:p w14:paraId="687D4204">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管道和阀门的技术要求</w:t>
      </w:r>
    </w:p>
    <w:p w14:paraId="1ABE2919">
      <w:pPr>
        <w:keepNext w:val="0"/>
        <w:keepLines w:val="0"/>
        <w:pageBreakBefore w:val="0"/>
        <w:widowControl w:val="0"/>
        <w:numPr>
          <w:ilvl w:val="0"/>
          <w:numId w:val="5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喷淋管道材质均采用热镀锌材质。</w:t>
      </w:r>
    </w:p>
    <w:p w14:paraId="57A6C659">
      <w:pPr>
        <w:keepNext w:val="0"/>
        <w:keepLines w:val="0"/>
        <w:pageBreakBefore w:val="0"/>
        <w:widowControl w:val="0"/>
        <w:numPr>
          <w:ilvl w:val="0"/>
          <w:numId w:val="5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管路各接口保证密封良好，不出现漏水现象，同时尽量减少弯头的数量从而减少管路和压力损失</w:t>
      </w:r>
    </w:p>
    <w:p w14:paraId="3E39FD6B">
      <w:pPr>
        <w:keepNext w:val="0"/>
        <w:keepLines w:val="0"/>
        <w:pageBreakBefore w:val="0"/>
        <w:widowControl w:val="0"/>
        <w:numPr>
          <w:ilvl w:val="0"/>
          <w:numId w:val="5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阀门包括底阀、闸阀、球阀、单向阀、排污阀，补水阀，压力调节阀、节流阀、截止阀等。还分为手动阀和电动阀。各分管路节流阀开度可独立调节。</w:t>
      </w:r>
    </w:p>
    <w:p w14:paraId="00EC2F71">
      <w:pPr>
        <w:keepNext w:val="0"/>
        <w:keepLines w:val="0"/>
        <w:pageBreakBefore w:val="0"/>
        <w:widowControl w:val="0"/>
        <w:numPr>
          <w:ilvl w:val="0"/>
          <w:numId w:val="5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在水泵的出水口处设置单向阀/止回阀，防止水泵吸水后压力变小时回水，从而保证系统的正常工作</w:t>
      </w:r>
      <w:r>
        <w:rPr>
          <w:rFonts w:hint="eastAsia" w:ascii="Times New Roman" w:hAnsi="Times New Roman" w:eastAsia="宋体" w:cs="Times New Roman"/>
          <w:sz w:val="24"/>
          <w:lang w:eastAsia="zh-CN"/>
        </w:rPr>
        <w:t>。</w:t>
      </w:r>
    </w:p>
    <w:p w14:paraId="7E466A1B">
      <w:pPr>
        <w:keepNext w:val="0"/>
        <w:keepLines w:val="0"/>
        <w:pageBreakBefore w:val="0"/>
        <w:widowControl w:val="0"/>
        <w:numPr>
          <w:ilvl w:val="0"/>
          <w:numId w:val="54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在喷淋管道的未端和底部均设置排污Y型排污阀，用来排出管道末端聚集的沉淀物从而保护喷嘴的正常使用</w:t>
      </w:r>
      <w:r>
        <w:rPr>
          <w:rFonts w:hint="eastAsia" w:ascii="Times New Roman" w:hAnsi="Times New Roman" w:eastAsia="宋体" w:cs="Times New Roman"/>
          <w:sz w:val="24"/>
          <w:lang w:eastAsia="zh-CN"/>
        </w:rPr>
        <w:t>。</w:t>
      </w:r>
    </w:p>
    <w:p w14:paraId="58ACA67D">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喷嘴的技术要求</w:t>
      </w:r>
    </w:p>
    <w:p w14:paraId="493ECF29">
      <w:pPr>
        <w:keepNext w:val="0"/>
        <w:keepLines w:val="0"/>
        <w:pageBreakBefore w:val="0"/>
        <w:widowControl w:val="0"/>
        <w:numPr>
          <w:ilvl w:val="0"/>
          <w:numId w:val="5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喷嘴采用不锈钢或PP可调球形喷嘴，喷射状态为6530C扇形或BT实心锥形，所有喷嘴的尺寸及内部结构应相同，喷嘴出水应呈60°圆锥体形状，角度可调。</w:t>
      </w:r>
    </w:p>
    <w:p w14:paraId="169933E9">
      <w:pPr>
        <w:keepNext w:val="0"/>
        <w:keepLines w:val="0"/>
        <w:pageBreakBefore w:val="0"/>
        <w:widowControl w:val="0"/>
        <w:numPr>
          <w:ilvl w:val="0"/>
          <w:numId w:val="5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喷嘴采用卡箍26988型夹扣结构，易于清理和更换。</w:t>
      </w:r>
    </w:p>
    <w:p w14:paraId="32531AD2">
      <w:pPr>
        <w:keepNext w:val="0"/>
        <w:keepLines w:val="0"/>
        <w:pageBreakBefore w:val="0"/>
        <w:widowControl w:val="0"/>
        <w:numPr>
          <w:ilvl w:val="0"/>
          <w:numId w:val="5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喷射孔径为2.5～3mm，喷射压力0～200kPa。</w:t>
      </w:r>
    </w:p>
    <w:p w14:paraId="5A1706A3">
      <w:pPr>
        <w:keepNext w:val="0"/>
        <w:keepLines w:val="0"/>
        <w:pageBreakBefore w:val="0"/>
        <w:widowControl w:val="0"/>
        <w:numPr>
          <w:ilvl w:val="0"/>
          <w:numId w:val="5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喷嘴布置和数量应保证车体外表面均能被人工雨均匀覆盖，确保各部位降雨强度符合相应位置要求，无死区。</w:t>
      </w:r>
    </w:p>
    <w:p w14:paraId="7C452ED2">
      <w:pPr>
        <w:keepNext w:val="0"/>
        <w:keepLines w:val="0"/>
        <w:pageBreakBefore w:val="0"/>
        <w:widowControl w:val="0"/>
        <w:numPr>
          <w:ilvl w:val="0"/>
          <w:numId w:val="54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在各喷淋面支管路上均匀安装淋雨喷嘴，喷嘴横向及纵向间距为0.4m</w:t>
      </w:r>
      <w:r>
        <w:rPr>
          <w:rFonts w:hint="eastAsia" w:ascii="Times New Roman" w:hAnsi="Times New Roman" w:eastAsia="宋体" w:cs="Times New Roman"/>
          <w:sz w:val="24"/>
          <w:lang w:eastAsia="zh-CN"/>
        </w:rPr>
        <w:t>，</w:t>
      </w:r>
      <w:r>
        <w:rPr>
          <w:rFonts w:ascii="Times New Roman" w:hAnsi="Times New Roman" w:eastAsia="宋体" w:cs="Times New Roman"/>
          <w:sz w:val="24"/>
        </w:rPr>
        <w:t>喷嘴数量应保证对应车体外表面各受检部位处于淋雨区域内。顶部及底部喷嘴的轴线与水平面垂直，前部及后部喷嘴的轴线与车体纵向对称面平行，侧面喷嘴的轴线与垂直于车体纵向对称面的铅垂面平行。喷嘴垂直朝向对应车体。底部喷嘴位于地面以下0.3m，其余喷嘴与车体外表面的距离为（0.7±0.2m）。</w:t>
      </w:r>
    </w:p>
    <w:p w14:paraId="249F8DD2">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过滤系统的技术要求</w:t>
      </w:r>
    </w:p>
    <w:p w14:paraId="7835BC03">
      <w:pPr>
        <w:keepNext w:val="0"/>
        <w:keepLines w:val="0"/>
        <w:pageBreakBefore w:val="0"/>
        <w:widowControl w:val="0"/>
        <w:numPr>
          <w:ilvl w:val="0"/>
          <w:numId w:val="550"/>
        </w:numPr>
        <w:kinsoku/>
        <w:wordWrap/>
        <w:overflowPunct/>
        <w:topLinePunct w:val="0"/>
        <w:autoSpaceDE/>
        <w:autoSpaceDN/>
        <w:bidi w:val="0"/>
        <w:adjustRightInd w:val="0"/>
        <w:snapToGrid w:val="0"/>
        <w:spacing w:afterAutospacing="0" w:line="360" w:lineRule="auto"/>
        <w:ind w:left="425"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过滤系统为两级过滤，第一级为循环水池内过滤网过滤，第二级为主管道过滤器过滤。</w:t>
      </w:r>
    </w:p>
    <w:p w14:paraId="1EA20B59">
      <w:pPr>
        <w:keepNext w:val="0"/>
        <w:keepLines w:val="0"/>
        <w:pageBreakBefore w:val="0"/>
        <w:widowControl w:val="0"/>
        <w:numPr>
          <w:ilvl w:val="0"/>
          <w:numId w:val="550"/>
        </w:numPr>
        <w:kinsoku/>
        <w:wordWrap/>
        <w:overflowPunct/>
        <w:topLinePunct w:val="0"/>
        <w:autoSpaceDE/>
        <w:autoSpaceDN/>
        <w:bidi w:val="0"/>
        <w:adjustRightInd w:val="0"/>
        <w:snapToGrid w:val="0"/>
        <w:spacing w:afterAutospacing="0" w:line="360" w:lineRule="auto"/>
        <w:ind w:left="425"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在池外主管道设有2套大流量</w:t>
      </w:r>
      <w:r>
        <w:rPr>
          <w:rFonts w:hint="eastAsia" w:ascii="Times New Roman" w:hAnsi="Times New Roman" w:eastAsia="宋体" w:cs="Times New Roman"/>
          <w:sz w:val="24"/>
          <w:lang w:eastAsia="zh-CN"/>
        </w:rPr>
        <w:t>袋式</w:t>
      </w:r>
      <w:r>
        <w:rPr>
          <w:rFonts w:ascii="Times New Roman" w:hAnsi="Times New Roman" w:eastAsia="宋体" w:cs="Times New Roman"/>
          <w:sz w:val="24"/>
        </w:rPr>
        <w:t>过滤器，并联布置1用1备。</w:t>
      </w:r>
    </w:p>
    <w:p w14:paraId="2DF394FE">
      <w:pPr>
        <w:keepNext w:val="0"/>
        <w:keepLines w:val="0"/>
        <w:pageBreakBefore w:val="0"/>
        <w:widowControl w:val="0"/>
        <w:numPr>
          <w:ilvl w:val="0"/>
          <w:numId w:val="550"/>
        </w:numPr>
        <w:kinsoku/>
        <w:wordWrap/>
        <w:overflowPunct/>
        <w:topLinePunct w:val="0"/>
        <w:autoSpaceDE/>
        <w:autoSpaceDN/>
        <w:bidi w:val="0"/>
        <w:adjustRightInd w:val="0"/>
        <w:snapToGrid w:val="0"/>
        <w:spacing w:afterAutospacing="0" w:line="360" w:lineRule="auto"/>
        <w:ind w:left="0" w:firstLine="0" w:firstLineChars="0"/>
        <w:textAlignment w:val="auto"/>
        <w:rPr>
          <w:rFonts w:ascii="Times New Roman" w:hAnsi="Times New Roman" w:eastAsia="宋体" w:cs="Times New Roman"/>
          <w:sz w:val="24"/>
        </w:rPr>
      </w:pPr>
      <w:r>
        <w:rPr>
          <w:rFonts w:hint="eastAsia" w:ascii="Times New Roman" w:hAnsi="Times New Roman" w:eastAsia="宋体" w:cs="Times New Roman"/>
          <w:sz w:val="24"/>
          <w:lang w:eastAsia="zh-CN"/>
        </w:rPr>
        <w:t>袋式</w:t>
      </w:r>
      <w:r>
        <w:rPr>
          <w:rFonts w:ascii="Times New Roman" w:hAnsi="Times New Roman" w:eastAsia="宋体" w:cs="Times New Roman"/>
          <w:sz w:val="24"/>
        </w:rPr>
        <w:t>过滤器配有相应的管道阀门，可有效地过滤循环水池循环水中的杂质，减少喷嘴的堵塞，保证系统的正常工作。并在过滤器两端分别设置球阀从而方便维修。</w:t>
      </w:r>
    </w:p>
    <w:p w14:paraId="66596559">
      <w:pPr>
        <w:keepNext w:val="0"/>
        <w:keepLines w:val="0"/>
        <w:pageBreakBefore w:val="0"/>
        <w:widowControl w:val="0"/>
        <w:numPr>
          <w:ilvl w:val="0"/>
          <w:numId w:val="550"/>
        </w:numPr>
        <w:kinsoku/>
        <w:wordWrap/>
        <w:overflowPunct/>
        <w:topLinePunct w:val="0"/>
        <w:autoSpaceDE/>
        <w:autoSpaceDN/>
        <w:bidi w:val="0"/>
        <w:adjustRightInd w:val="0"/>
        <w:snapToGrid w:val="0"/>
        <w:spacing w:afterAutospacing="0" w:line="360" w:lineRule="auto"/>
        <w:ind w:left="425"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管道过滤采用带式过滤器，过滤精度150μm（进水压力：1-10Bar）。</w:t>
      </w:r>
    </w:p>
    <w:p w14:paraId="464E757C">
      <w:pPr>
        <w:keepNext w:val="0"/>
        <w:keepLines w:val="0"/>
        <w:pageBreakBefore w:val="0"/>
        <w:widowControl w:val="0"/>
        <w:numPr>
          <w:ilvl w:val="0"/>
          <w:numId w:val="550"/>
        </w:numPr>
        <w:kinsoku/>
        <w:wordWrap/>
        <w:overflowPunct/>
        <w:topLinePunct w:val="0"/>
        <w:autoSpaceDE/>
        <w:autoSpaceDN/>
        <w:bidi w:val="0"/>
        <w:adjustRightInd w:val="0"/>
        <w:snapToGrid w:val="0"/>
        <w:spacing w:afterAutospacing="0" w:line="360" w:lineRule="auto"/>
        <w:ind w:left="425"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过滤器底部设排污管接水池。</w:t>
      </w:r>
    </w:p>
    <w:p w14:paraId="53A9A992">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补水系统的技术要求</w:t>
      </w:r>
    </w:p>
    <w:p w14:paraId="1DCB8CA7">
      <w:pPr>
        <w:keepNext w:val="0"/>
        <w:keepLines w:val="0"/>
        <w:pageBreakBefore w:val="0"/>
        <w:widowControl w:val="0"/>
        <w:numPr>
          <w:ilvl w:val="0"/>
          <w:numId w:val="5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补水系统由进水管、闸阀、电磁阀及手动旁通阀、液位计等组成。循环水池补水自动操作，减少工作量，加强系统运行的稳定性。</w:t>
      </w:r>
    </w:p>
    <w:p w14:paraId="37D60012">
      <w:pPr>
        <w:keepNext w:val="0"/>
        <w:keepLines w:val="0"/>
        <w:pageBreakBefore w:val="0"/>
        <w:widowControl w:val="0"/>
        <w:numPr>
          <w:ilvl w:val="0"/>
          <w:numId w:val="5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进水管采用DN150镀锌管，保证供水量为60m3/h。</w:t>
      </w:r>
    </w:p>
    <w:p w14:paraId="41B017B5">
      <w:pPr>
        <w:keepNext w:val="0"/>
        <w:keepLines w:val="0"/>
        <w:pageBreakBefore w:val="0"/>
        <w:widowControl w:val="0"/>
        <w:numPr>
          <w:ilvl w:val="0"/>
          <w:numId w:val="5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液位计控制液面的补水高度，当达到设定的补水高度时，补水电磁阀立即关闭，以保证水槽的液面高度。</w:t>
      </w:r>
    </w:p>
    <w:p w14:paraId="055B66FA">
      <w:pPr>
        <w:keepNext w:val="0"/>
        <w:keepLines w:val="0"/>
        <w:pageBreakBefore w:val="0"/>
        <w:widowControl w:val="0"/>
        <w:numPr>
          <w:ilvl w:val="0"/>
          <w:numId w:val="5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在补水管末端设置浮球式机械开关装置，在补水电磁阀出现故障后，补水达到设定的最高液面时，机械装置关闭补水管。</w:t>
      </w:r>
    </w:p>
    <w:p w14:paraId="61DB10F1">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排污系统的技术要求</w:t>
      </w:r>
    </w:p>
    <w:p w14:paraId="1F58CA9E">
      <w:pPr>
        <w:keepNext w:val="0"/>
        <w:keepLines w:val="0"/>
        <w:pageBreakBefore w:val="0"/>
        <w:widowControl w:val="0"/>
        <w:numPr>
          <w:ilvl w:val="0"/>
          <w:numId w:val="5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排污系统用于将试验废水排入废水网路，主要由潜污泵、止回阀和镀锌钢管等构成。排水系统能自动快速排净水池内的废水。同时也可在设备运行一定时间后（不多于1个月），人工开启污水泵排水清污。</w:t>
      </w:r>
    </w:p>
    <w:p w14:paraId="52CA78AC">
      <w:pPr>
        <w:keepNext w:val="0"/>
        <w:keepLines w:val="0"/>
        <w:pageBreakBefore w:val="0"/>
        <w:widowControl w:val="0"/>
        <w:numPr>
          <w:ilvl w:val="0"/>
          <w:numId w:val="5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排污能力保证2小时排空整个水池，排污泵扬程不小于20m。</w:t>
      </w:r>
    </w:p>
    <w:p w14:paraId="50A26D33">
      <w:pPr>
        <w:keepNext w:val="0"/>
        <w:keepLines w:val="0"/>
        <w:pageBreakBefore w:val="0"/>
        <w:widowControl w:val="0"/>
        <w:numPr>
          <w:ilvl w:val="0"/>
          <w:numId w:val="5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污水泵采用潜水泵，排污管道采用DN50镀锌管和与之配套的单向阀。</w:t>
      </w:r>
    </w:p>
    <w:p w14:paraId="2587BA17">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吹干室体的技术要求</w:t>
      </w:r>
    </w:p>
    <w:p w14:paraId="473C36B6">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单间淋雨室体外形尺寸：7</w:t>
      </w:r>
      <w:r>
        <w:rPr>
          <w:rFonts w:hint="eastAsia" w:ascii="Times New Roman" w:hAnsi="Times New Roman" w:eastAsia="宋体" w:cs="Times New Roman"/>
          <w:sz w:val="24"/>
          <w:lang w:val="en-US" w:eastAsia="zh-CN"/>
        </w:rPr>
        <w:t>2</w:t>
      </w:r>
      <w:r>
        <w:rPr>
          <w:rFonts w:ascii="Times New Roman" w:hAnsi="Times New Roman" w:eastAsia="宋体" w:cs="Times New Roman"/>
          <w:sz w:val="24"/>
        </w:rPr>
        <w:t xml:space="preserve">00×5500×5000mm </w:t>
      </w:r>
      <w:r>
        <w:rPr>
          <w:rFonts w:hint="eastAsia" w:ascii="Times New Roman" w:hAnsi="Times New Roman" w:eastAsia="宋体" w:cs="Times New Roman"/>
          <w:sz w:val="24"/>
          <w:lang w:eastAsia="zh-CN"/>
        </w:rPr>
        <w:t>（</w:t>
      </w:r>
      <w:r>
        <w:rPr>
          <w:rFonts w:ascii="Times New Roman" w:hAnsi="Times New Roman" w:eastAsia="宋体" w:cs="Times New Roman"/>
          <w:sz w:val="24"/>
        </w:rPr>
        <w:t>长×宽×高</w:t>
      </w:r>
      <w:r>
        <w:rPr>
          <w:rFonts w:hint="eastAsia" w:ascii="Times New Roman" w:hAnsi="Times New Roman" w:eastAsia="宋体" w:cs="Times New Roman"/>
          <w:sz w:val="24"/>
          <w:lang w:eastAsia="zh-CN"/>
        </w:rPr>
        <w:t>）</w:t>
      </w:r>
      <w:r>
        <w:rPr>
          <w:rFonts w:ascii="Times New Roman" w:hAnsi="Times New Roman" w:eastAsia="宋体" w:cs="Times New Roman"/>
          <w:sz w:val="24"/>
        </w:rPr>
        <w:t>。</w:t>
      </w:r>
    </w:p>
    <w:p w14:paraId="1298B4C4">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确保房顶局部能承载100Kg/㎡以上，各接缝处加涂建筑专用密封胶，确保不渗漏。整个室体表面无任何变形、损坏、腐蚀或锈蚀，达到外形美观。</w:t>
      </w:r>
    </w:p>
    <w:p w14:paraId="1C7885BA">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定牢固可靠。涂建筑专用密封胶</w:t>
      </w:r>
      <w:r>
        <w:rPr>
          <w:rFonts w:hint="eastAsia" w:ascii="Times New Roman" w:hAnsi="Times New Roman" w:eastAsia="宋体" w:cs="Times New Roman"/>
          <w:sz w:val="24"/>
          <w:lang w:eastAsia="zh-CN"/>
        </w:rPr>
        <w:t>，</w:t>
      </w:r>
      <w:r>
        <w:rPr>
          <w:rFonts w:ascii="Times New Roman" w:hAnsi="Times New Roman" w:eastAsia="宋体" w:cs="Times New Roman"/>
          <w:sz w:val="24"/>
        </w:rPr>
        <w:t>确保不渗漏。</w:t>
      </w:r>
    </w:p>
    <w:p w14:paraId="17F8DD88">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室体四周设置围堰，防止室体底部渗水外泄。</w:t>
      </w:r>
    </w:p>
    <w:p w14:paraId="1B4DEB59">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室体底部安装漏水格栅，漏水格栅及下部支架全部采用碳钢并整体镀锌防腐处理；漏水格栅上表面为防滑扭纹钢条及齿形扁钢，厚度≥50mm；采用网格尺寸100×30mm。</w:t>
      </w:r>
    </w:p>
    <w:p w14:paraId="532F4839">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室体出口设一段长约10m的颠簸振动区，便于车辆抖动沥水。</w:t>
      </w:r>
    </w:p>
    <w:p w14:paraId="10079D3B">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淋雨室入口</w:t>
      </w:r>
      <w:r>
        <w:rPr>
          <w:rFonts w:hint="eastAsia" w:ascii="Times New Roman" w:hAnsi="Times New Roman" w:eastAsia="宋体" w:cs="Times New Roman"/>
          <w:sz w:val="24"/>
          <w:lang w:val="en-US" w:eastAsia="zh-CN"/>
        </w:rPr>
        <w:t>及</w:t>
      </w:r>
      <w:r>
        <w:rPr>
          <w:rFonts w:ascii="Times New Roman" w:hAnsi="Times New Roman" w:eastAsia="宋体" w:cs="Times New Roman"/>
          <w:sz w:val="24"/>
        </w:rPr>
        <w:t>吹干室出口设置塑胶帘。</w:t>
      </w:r>
    </w:p>
    <w:p w14:paraId="54074F04">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吹干系统由室体，风机、过滤网等组成。</w:t>
      </w:r>
    </w:p>
    <w:p w14:paraId="0D7A6AA3">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室体两侧为封闭钢板，顶部设有照明。</w:t>
      </w:r>
    </w:p>
    <w:p w14:paraId="18250D23">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吹干系统送风由风机和送风管路所组成。风机取车间风通过风箱（或风管）上的条缝送出，以高速吹向车身，使其水滴滑落。</w:t>
      </w:r>
    </w:p>
    <w:p w14:paraId="462BC302">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吹干系统只设送风不设排风，气体从门洞溢出，回到车间。吹干系统具有避障行走功能。</w:t>
      </w:r>
    </w:p>
    <w:p w14:paraId="64F9AFA0">
      <w:pPr>
        <w:keepNext w:val="0"/>
        <w:keepLines w:val="0"/>
        <w:pageBreakBefore w:val="0"/>
        <w:widowControl w:val="0"/>
        <w:numPr>
          <w:ilvl w:val="0"/>
          <w:numId w:val="5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吹干系统动力设备置于平台上，平台设在室体内。采用型钢做横梁及立柱，顶部铺设花纹钢板。平台周围设有安全护栏及梯子。</w:t>
      </w:r>
    </w:p>
    <w:p w14:paraId="7D24AC63">
      <w:pPr>
        <w:keepNext w:val="0"/>
        <w:keepLines w:val="0"/>
        <w:pageBreakBefore w:val="0"/>
        <w:widowControl w:val="0"/>
        <w:numPr>
          <w:ilvl w:val="0"/>
          <w:numId w:val="54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双板带技术要求</w:t>
      </w:r>
    </w:p>
    <w:p w14:paraId="0CC09A53">
      <w:pPr>
        <w:keepNext w:val="0"/>
        <w:keepLines w:val="0"/>
        <w:pageBreakBefore w:val="0"/>
        <w:widowControl w:val="0"/>
        <w:numPr>
          <w:ilvl w:val="0"/>
          <w:numId w:val="5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利旧情况</w:t>
      </w:r>
    </w:p>
    <w:p w14:paraId="5482B4D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本章节双板带利旧厂房原有单板带，参照利旧改造方案。</w:t>
      </w:r>
    </w:p>
    <w:p w14:paraId="7C30C7AE">
      <w:pPr>
        <w:keepNext w:val="0"/>
        <w:keepLines w:val="0"/>
        <w:pageBreakBefore w:val="0"/>
        <w:widowControl w:val="0"/>
        <w:numPr>
          <w:ilvl w:val="0"/>
          <w:numId w:val="5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双板式带部分的技术参数</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792"/>
        <w:gridCol w:w="1554"/>
        <w:gridCol w:w="4520"/>
      </w:tblGrid>
      <w:tr w14:paraId="75D5C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6" w:type="pct"/>
            <w:vAlign w:val="center"/>
          </w:tcPr>
          <w:p w14:paraId="4CA405EE">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序号</w:t>
            </w:r>
          </w:p>
        </w:tc>
        <w:tc>
          <w:tcPr>
            <w:tcW w:w="1446" w:type="pct"/>
            <w:vAlign w:val="center"/>
          </w:tcPr>
          <w:p w14:paraId="2E5010C2">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项目</w:t>
            </w:r>
          </w:p>
        </w:tc>
        <w:tc>
          <w:tcPr>
            <w:tcW w:w="805" w:type="pct"/>
            <w:vAlign w:val="center"/>
          </w:tcPr>
          <w:p w14:paraId="102B85F5">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单位</w:t>
            </w:r>
          </w:p>
        </w:tc>
        <w:tc>
          <w:tcPr>
            <w:tcW w:w="2341" w:type="pct"/>
            <w:vAlign w:val="center"/>
          </w:tcPr>
          <w:p w14:paraId="023BB00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参数（最终以图纸会签为准）</w:t>
            </w:r>
          </w:p>
        </w:tc>
      </w:tr>
      <w:tr w14:paraId="4E28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6" w:type="pct"/>
            <w:vAlign w:val="center"/>
          </w:tcPr>
          <w:p w14:paraId="5BD78787">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1</w:t>
            </w:r>
          </w:p>
        </w:tc>
        <w:tc>
          <w:tcPr>
            <w:tcW w:w="1446" w:type="pct"/>
            <w:vAlign w:val="center"/>
          </w:tcPr>
          <w:p w14:paraId="36338A28">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线体</w:t>
            </w:r>
            <w:r>
              <w:rPr>
                <w:rFonts w:ascii="宋体" w:hAnsi="宋体" w:eastAsia="宋体" w:cs="宋体"/>
                <w:kern w:val="0"/>
                <w:sz w:val="24"/>
                <w:szCs w:val="24"/>
                <w:lang w:val="zh-CN"/>
              </w:rPr>
              <w:t>长度</w:t>
            </w:r>
          </w:p>
        </w:tc>
        <w:tc>
          <w:tcPr>
            <w:tcW w:w="805" w:type="pct"/>
            <w:vAlign w:val="center"/>
          </w:tcPr>
          <w:p w14:paraId="68FF8AB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m</w:t>
            </w:r>
          </w:p>
        </w:tc>
        <w:tc>
          <w:tcPr>
            <w:tcW w:w="2341" w:type="pct"/>
            <w:vAlign w:val="center"/>
          </w:tcPr>
          <w:p w14:paraId="57F06732">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约</w:t>
            </w:r>
            <w:r>
              <w:rPr>
                <w:rFonts w:ascii="宋体" w:hAnsi="宋体" w:eastAsia="宋体" w:cs="宋体"/>
                <w:kern w:val="0"/>
                <w:sz w:val="24"/>
                <w:szCs w:val="24"/>
              </w:rPr>
              <w:t>21</w:t>
            </w:r>
          </w:p>
        </w:tc>
      </w:tr>
      <w:tr w14:paraId="05E4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6" w:type="pct"/>
            <w:vAlign w:val="center"/>
          </w:tcPr>
          <w:p w14:paraId="4B5FDA0B">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2</w:t>
            </w:r>
          </w:p>
        </w:tc>
        <w:tc>
          <w:tcPr>
            <w:tcW w:w="1446" w:type="pct"/>
            <w:vAlign w:val="center"/>
          </w:tcPr>
          <w:p w14:paraId="5ABEC9AD">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工位间距</w:t>
            </w:r>
          </w:p>
        </w:tc>
        <w:tc>
          <w:tcPr>
            <w:tcW w:w="805" w:type="pct"/>
            <w:vAlign w:val="center"/>
          </w:tcPr>
          <w:p w14:paraId="25B9DE11">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m</w:t>
            </w:r>
          </w:p>
        </w:tc>
        <w:tc>
          <w:tcPr>
            <w:tcW w:w="2341" w:type="pct"/>
            <w:vAlign w:val="center"/>
          </w:tcPr>
          <w:p w14:paraId="3EA78E13">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7</w:t>
            </w:r>
            <w:r>
              <w:rPr>
                <w:rFonts w:hint="eastAsia" w:ascii="宋体" w:hAnsi="宋体" w:eastAsia="宋体" w:cs="宋体"/>
                <w:kern w:val="0"/>
                <w:sz w:val="24"/>
                <w:szCs w:val="24"/>
              </w:rPr>
              <w:t>.2</w:t>
            </w:r>
          </w:p>
        </w:tc>
      </w:tr>
      <w:tr w14:paraId="1A833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6" w:type="pct"/>
            <w:vAlign w:val="center"/>
          </w:tcPr>
          <w:p w14:paraId="6F8E8ACA">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3</w:t>
            </w:r>
          </w:p>
        </w:tc>
        <w:tc>
          <w:tcPr>
            <w:tcW w:w="1446" w:type="pct"/>
            <w:vAlign w:val="center"/>
          </w:tcPr>
          <w:p w14:paraId="4B99EF9D">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有效工位数</w:t>
            </w:r>
          </w:p>
        </w:tc>
        <w:tc>
          <w:tcPr>
            <w:tcW w:w="805" w:type="pct"/>
            <w:vAlign w:val="center"/>
          </w:tcPr>
          <w:p w14:paraId="7A27BC25">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个</w:t>
            </w:r>
          </w:p>
        </w:tc>
        <w:tc>
          <w:tcPr>
            <w:tcW w:w="2341" w:type="pct"/>
            <w:vAlign w:val="center"/>
          </w:tcPr>
          <w:p w14:paraId="5991AB20">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3</w:t>
            </w:r>
          </w:p>
        </w:tc>
      </w:tr>
      <w:tr w14:paraId="45F9B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6" w:type="pct"/>
            <w:vAlign w:val="center"/>
          </w:tcPr>
          <w:p w14:paraId="629DCFC6">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4</w:t>
            </w:r>
          </w:p>
        </w:tc>
        <w:tc>
          <w:tcPr>
            <w:tcW w:w="1446" w:type="pct"/>
            <w:vAlign w:val="center"/>
          </w:tcPr>
          <w:p w14:paraId="577840B8">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运动方式</w:t>
            </w:r>
          </w:p>
        </w:tc>
        <w:tc>
          <w:tcPr>
            <w:tcW w:w="805" w:type="pct"/>
            <w:vAlign w:val="center"/>
          </w:tcPr>
          <w:p w14:paraId="2122E922">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p>
        </w:tc>
        <w:tc>
          <w:tcPr>
            <w:tcW w:w="2341" w:type="pct"/>
            <w:vAlign w:val="center"/>
          </w:tcPr>
          <w:p w14:paraId="05337DF1">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lang w:val="zh-CN"/>
              </w:rPr>
              <w:t>走停</w:t>
            </w:r>
          </w:p>
        </w:tc>
      </w:tr>
      <w:tr w14:paraId="775F5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06" w:type="pct"/>
            <w:vAlign w:val="center"/>
          </w:tcPr>
          <w:p w14:paraId="07045B41">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5</w:t>
            </w:r>
          </w:p>
        </w:tc>
        <w:tc>
          <w:tcPr>
            <w:tcW w:w="1446" w:type="pct"/>
            <w:vAlign w:val="center"/>
          </w:tcPr>
          <w:p w14:paraId="3670AB52">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hint="eastAsia" w:ascii="宋体" w:hAnsi="宋体" w:eastAsia="宋体" w:cs="宋体"/>
                <w:kern w:val="0"/>
                <w:sz w:val="24"/>
                <w:szCs w:val="24"/>
                <w:lang w:val="zh-CN"/>
              </w:rPr>
              <w:t>线体速度</w:t>
            </w:r>
          </w:p>
        </w:tc>
        <w:tc>
          <w:tcPr>
            <w:tcW w:w="805" w:type="pct"/>
            <w:vAlign w:val="center"/>
          </w:tcPr>
          <w:p w14:paraId="1D1CD529">
            <w:pPr>
              <w:keepNext w:val="0"/>
              <w:keepLines w:val="0"/>
              <w:pageBreakBefore w:val="0"/>
              <w:kinsoku/>
              <w:overflowPunct/>
              <w:topLinePunct w:val="0"/>
              <w:autoSpaceDE w:val="0"/>
              <w:autoSpaceDN w:val="0"/>
              <w:bidi w:val="0"/>
              <w:adjustRightInd w:val="0"/>
              <w:snapToGrid w:val="0"/>
              <w:spacing w:afterAutospacing="0" w:line="240" w:lineRule="auto"/>
              <w:jc w:val="center"/>
              <w:rPr>
                <w:rFonts w:ascii="宋体" w:hAnsi="宋体" w:eastAsia="宋体" w:cs="宋体"/>
                <w:kern w:val="0"/>
                <w:sz w:val="24"/>
                <w:szCs w:val="24"/>
                <w:lang w:val="zh-CN"/>
              </w:rPr>
            </w:pPr>
            <w:r>
              <w:rPr>
                <w:rFonts w:ascii="宋体" w:hAnsi="宋体" w:eastAsia="宋体" w:cs="宋体"/>
                <w:kern w:val="0"/>
                <w:sz w:val="24"/>
                <w:szCs w:val="24"/>
                <w:lang w:val="zh-CN"/>
              </w:rPr>
              <w:t>m/min</w:t>
            </w:r>
          </w:p>
        </w:tc>
        <w:tc>
          <w:tcPr>
            <w:tcW w:w="2341" w:type="pct"/>
            <w:vAlign w:val="center"/>
          </w:tcPr>
          <w:p w14:paraId="58F4FDD3">
            <w:pPr>
              <w:keepNext w:val="0"/>
              <w:keepLines w:val="0"/>
              <w:pageBreakBefore w:val="0"/>
              <w:kinsoku/>
              <w:overflowPunct/>
              <w:topLinePunct w:val="0"/>
              <w:autoSpaceDE w:val="0"/>
              <w:autoSpaceDN w:val="0"/>
              <w:bidi w:val="0"/>
              <w:adjustRightInd w:val="0"/>
              <w:snapToGrid w:val="0"/>
              <w:spacing w:afterAutospacing="0" w:line="240" w:lineRule="auto"/>
              <w:rPr>
                <w:rFonts w:ascii="宋体" w:hAnsi="宋体" w:eastAsia="宋体" w:cs="宋体"/>
                <w:kern w:val="0"/>
                <w:sz w:val="24"/>
                <w:szCs w:val="24"/>
                <w:lang w:val="zh-CN"/>
              </w:rPr>
            </w:pPr>
            <w:r>
              <w:rPr>
                <w:rFonts w:hint="eastAsia" w:ascii="宋体" w:hAnsi="宋体" w:eastAsia="宋体" w:cs="宋体"/>
                <w:kern w:val="0"/>
                <w:sz w:val="24"/>
                <w:szCs w:val="24"/>
                <w:lang w:val="zh-CN"/>
              </w:rPr>
              <w:t>最快可达</w:t>
            </w:r>
            <w:r>
              <w:rPr>
                <w:rFonts w:ascii="宋体" w:hAnsi="宋体" w:eastAsia="宋体" w:cs="宋体"/>
                <w:kern w:val="0"/>
                <w:sz w:val="24"/>
                <w:szCs w:val="24"/>
                <w:lang w:val="zh-CN"/>
              </w:rPr>
              <w:t>6m/min并满足负荷要求和长时间使用</w:t>
            </w:r>
            <w:r>
              <w:rPr>
                <w:rFonts w:hint="eastAsia" w:ascii="宋体" w:hAnsi="宋体" w:eastAsia="宋体" w:cs="宋体"/>
                <w:kern w:val="0"/>
                <w:sz w:val="24"/>
                <w:szCs w:val="24"/>
                <w:lang w:val="zh-CN"/>
              </w:rPr>
              <w:t>，</w:t>
            </w:r>
            <w:r>
              <w:rPr>
                <w:rFonts w:hint="eastAsia" w:ascii="宋体" w:hAnsi="宋体" w:eastAsia="宋体" w:cs="宋体"/>
                <w:kern w:val="0"/>
                <w:sz w:val="24"/>
                <w:szCs w:val="24"/>
                <w:lang w:val="en-US" w:eastAsia="zh-CN"/>
              </w:rPr>
              <w:t>1</w:t>
            </w:r>
            <w:r>
              <w:rPr>
                <w:rFonts w:ascii="宋体" w:hAnsi="宋体" w:eastAsia="宋体" w:cs="宋体"/>
                <w:kern w:val="0"/>
                <w:sz w:val="24"/>
                <w:szCs w:val="24"/>
                <w:lang w:val="zh-CN"/>
              </w:rPr>
              <w:t>-6</w:t>
            </w:r>
            <w:r>
              <w:rPr>
                <w:rFonts w:hint="eastAsia" w:ascii="宋体" w:hAnsi="宋体" w:eastAsia="宋体" w:cs="宋体"/>
                <w:kern w:val="0"/>
                <w:sz w:val="24"/>
                <w:szCs w:val="24"/>
                <w:lang w:val="zh-CN"/>
              </w:rPr>
              <w:t>变频调速，以设计</w:t>
            </w:r>
            <w:r>
              <w:rPr>
                <w:rFonts w:ascii="宋体" w:hAnsi="宋体" w:eastAsia="宋体" w:cs="宋体"/>
                <w:kern w:val="0"/>
                <w:sz w:val="24"/>
                <w:szCs w:val="24"/>
                <w:lang w:val="zh-CN"/>
              </w:rPr>
              <w:t>为准</w:t>
            </w:r>
          </w:p>
        </w:tc>
      </w:tr>
    </w:tbl>
    <w:p w14:paraId="526AA91B">
      <w:pPr>
        <w:keepNext w:val="0"/>
        <w:keepLines w:val="0"/>
        <w:pageBreakBefore w:val="0"/>
        <w:widowControl w:val="0"/>
        <w:numPr>
          <w:ilvl w:val="0"/>
          <w:numId w:val="554"/>
        </w:numPr>
        <w:kinsoku/>
        <w:overflowPunct/>
        <w:topLinePunct w:val="0"/>
        <w:bidi w:val="0"/>
        <w:adjustRightInd w:val="0"/>
        <w:snapToGrid w:val="0"/>
        <w:spacing w:beforeAutospacing="0" w:afterAutospacing="0" w:line="360" w:lineRule="auto"/>
        <w:ind w:left="0" w:leftChars="0" w:firstLine="0" w:firstLineChars="0"/>
        <w:jc w:val="left"/>
        <w:outlineLvl w:val="5"/>
        <w:rPr>
          <w:rFonts w:ascii="Times New Roman" w:hAnsi="Times New Roman" w:eastAsia="宋体" w:cs="Times New Roman"/>
          <w:b w:val="0"/>
          <w:sz w:val="24"/>
        </w:rPr>
      </w:pPr>
      <w:r>
        <w:rPr>
          <w:rFonts w:ascii="Times New Roman" w:hAnsi="Times New Roman" w:eastAsia="宋体" w:cs="Times New Roman"/>
          <w:sz w:val="24"/>
        </w:rPr>
        <w:t>双边板式带主要部件技术要求</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737"/>
        <w:gridCol w:w="8127"/>
      </w:tblGrid>
      <w:tr w14:paraId="1ED13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5" w:type="pct"/>
            <w:vAlign w:val="center"/>
          </w:tcPr>
          <w:p w14:paraId="7C636D1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382" w:type="pct"/>
            <w:vAlign w:val="center"/>
          </w:tcPr>
          <w:p w14:paraId="25EF95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项目</w:t>
            </w:r>
          </w:p>
        </w:tc>
        <w:tc>
          <w:tcPr>
            <w:tcW w:w="4211" w:type="pct"/>
            <w:vAlign w:val="center"/>
          </w:tcPr>
          <w:p w14:paraId="2C338A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技术要求</w:t>
            </w:r>
          </w:p>
        </w:tc>
      </w:tr>
      <w:tr w14:paraId="7C975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8" w:hRule="atLeast"/>
          <w:jc w:val="center"/>
        </w:trPr>
        <w:tc>
          <w:tcPr>
            <w:tcW w:w="405" w:type="pct"/>
            <w:vAlign w:val="center"/>
          </w:tcPr>
          <w:p w14:paraId="5B38F74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382" w:type="pct"/>
            <w:vAlign w:val="center"/>
          </w:tcPr>
          <w:p w14:paraId="35E88A29">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驱动</w:t>
            </w:r>
          </w:p>
          <w:p w14:paraId="4F47B865">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系统</w:t>
            </w:r>
          </w:p>
        </w:tc>
        <w:tc>
          <w:tcPr>
            <w:tcW w:w="4211" w:type="pct"/>
            <w:vAlign w:val="center"/>
          </w:tcPr>
          <w:p w14:paraId="7B9CBA33">
            <w:pPr>
              <w:keepNext w:val="0"/>
              <w:keepLines w:val="0"/>
              <w:pageBreakBefore w:val="0"/>
              <w:widowControl w:val="0"/>
              <w:numPr>
                <w:ilvl w:val="0"/>
                <w:numId w:val="0"/>
              </w:numPr>
              <w:kinsoku/>
              <w:overflowPunct/>
              <w:topLinePunct w:val="0"/>
              <w:bidi w:val="0"/>
              <w:adjustRightInd w:val="0"/>
              <w:snapToGrid w:val="0"/>
              <w:spacing w:afterAutospacing="0" w:line="240" w:lineRule="auto"/>
              <w:ind w:left="420" w:leftChars="0" w:hanging="425" w:firstLineChars="0"/>
              <w:jc w:val="both"/>
              <w:rPr>
                <w:rFonts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w:t>
            </w:r>
            <w:r>
              <w:rPr>
                <w:rFonts w:hint="eastAsia" w:ascii="宋体" w:hAnsi="宋体" w:eastAsia="宋体" w:cs="宋体"/>
                <w:kern w:val="2"/>
                <w:sz w:val="24"/>
                <w:szCs w:val="24"/>
                <w:lang w:val="en-US" w:eastAsia="zh-CN" w:bidi="ar-SA"/>
              </w:rPr>
              <w:t>）驱动系统包括驱动装置、回转头轮装置、以及地面安全防护装置等组成。</w:t>
            </w:r>
          </w:p>
          <w:p w14:paraId="06311FB7">
            <w:pPr>
              <w:keepNext w:val="0"/>
              <w:keepLines w:val="0"/>
              <w:pageBreakBefore w:val="0"/>
              <w:widowControl w:val="0"/>
              <w:numPr>
                <w:ilvl w:val="0"/>
                <w:numId w:val="0"/>
              </w:numPr>
              <w:kinsoku/>
              <w:overflowPunct/>
              <w:topLinePunct w:val="0"/>
              <w:bidi w:val="0"/>
              <w:adjustRightInd w:val="0"/>
              <w:snapToGrid w:val="0"/>
              <w:spacing w:afterAutospacing="0" w:line="240" w:lineRule="auto"/>
              <w:ind w:left="420" w:leftChars="0" w:hanging="425" w:firstLineChars="0"/>
              <w:jc w:val="both"/>
              <w:rPr>
                <w:rFonts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w:t>
            </w:r>
            <w:r>
              <w:rPr>
                <w:rFonts w:hint="eastAsia" w:ascii="宋体" w:hAnsi="宋体" w:eastAsia="宋体" w:cs="宋体"/>
                <w:kern w:val="2"/>
                <w:sz w:val="24"/>
                <w:szCs w:val="24"/>
                <w:lang w:val="en-US" w:eastAsia="zh-CN" w:bidi="ar-SA"/>
              </w:rPr>
              <w:t>）驱动链条为双排</w:t>
            </w:r>
            <w:r>
              <w:rPr>
                <w:rFonts w:ascii="宋体" w:hAnsi="宋体" w:eastAsia="宋体" w:cs="宋体"/>
                <w:kern w:val="2"/>
                <w:sz w:val="24"/>
                <w:szCs w:val="24"/>
                <w:lang w:val="en-US" w:eastAsia="zh-CN" w:bidi="ar-SA"/>
              </w:rPr>
              <w:t>套筒滚子链</w:t>
            </w:r>
            <w:r>
              <w:rPr>
                <w:rFonts w:hint="eastAsia" w:ascii="宋体" w:hAnsi="宋体" w:eastAsia="宋体" w:cs="宋体"/>
                <w:kern w:val="2"/>
                <w:sz w:val="24"/>
                <w:szCs w:val="24"/>
                <w:lang w:val="en-US" w:eastAsia="zh-CN" w:bidi="ar-SA"/>
              </w:rPr>
              <w:t>。</w:t>
            </w:r>
          </w:p>
          <w:p w14:paraId="3E463A6B">
            <w:pPr>
              <w:keepNext w:val="0"/>
              <w:keepLines w:val="0"/>
              <w:pageBreakBefore w:val="0"/>
              <w:widowControl w:val="0"/>
              <w:numPr>
                <w:ilvl w:val="0"/>
                <w:numId w:val="0"/>
              </w:numPr>
              <w:kinsoku/>
              <w:overflowPunct/>
              <w:topLinePunct w:val="0"/>
              <w:bidi w:val="0"/>
              <w:adjustRightInd w:val="0"/>
              <w:snapToGrid w:val="0"/>
              <w:spacing w:afterAutospacing="0" w:line="240" w:lineRule="auto"/>
              <w:ind w:left="420" w:leftChars="0" w:hanging="425" w:firstLineChars="0"/>
              <w:jc w:val="both"/>
              <w:rPr>
                <w:rFonts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3</w:t>
            </w:r>
            <w:r>
              <w:rPr>
                <w:rFonts w:hint="eastAsia" w:ascii="宋体" w:hAnsi="宋体" w:eastAsia="宋体" w:cs="宋体"/>
                <w:kern w:val="2"/>
                <w:sz w:val="24"/>
                <w:szCs w:val="24"/>
                <w:lang w:val="en-US" w:eastAsia="zh-CN" w:bidi="ar-SA"/>
              </w:rPr>
              <w:t>）头轮装置采用轮组合结构，主轴大节距链轮宽形结构能承受较大扭矩，链轮采用整体铸钢。采用限载器作为过载保护装置。</w:t>
            </w:r>
          </w:p>
          <w:p w14:paraId="6C4D87D9">
            <w:pPr>
              <w:keepNext w:val="0"/>
              <w:keepLines w:val="0"/>
              <w:pageBreakBefore w:val="0"/>
              <w:widowControl w:val="0"/>
              <w:numPr>
                <w:ilvl w:val="0"/>
                <w:numId w:val="0"/>
              </w:numPr>
              <w:kinsoku/>
              <w:overflowPunct/>
              <w:topLinePunct w:val="0"/>
              <w:bidi w:val="0"/>
              <w:adjustRightInd w:val="0"/>
              <w:snapToGrid w:val="0"/>
              <w:spacing w:afterAutospacing="0" w:line="240" w:lineRule="auto"/>
              <w:ind w:left="420" w:leftChars="0" w:hanging="425" w:firstLineChars="0"/>
              <w:jc w:val="both"/>
              <w:rPr>
                <w:rFonts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4</w:t>
            </w:r>
            <w:r>
              <w:rPr>
                <w:rFonts w:hint="eastAsia" w:ascii="宋体" w:hAnsi="宋体" w:eastAsia="宋体" w:cs="宋体"/>
                <w:kern w:val="2"/>
                <w:sz w:val="24"/>
                <w:szCs w:val="24"/>
                <w:lang w:val="en-US" w:eastAsia="zh-CN" w:bidi="ar-SA"/>
              </w:rPr>
              <w:t>）驱动电机一用一备。</w:t>
            </w:r>
          </w:p>
        </w:tc>
      </w:tr>
      <w:tr w14:paraId="4C2F7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05" w:type="pct"/>
            <w:vAlign w:val="center"/>
          </w:tcPr>
          <w:p w14:paraId="2A33906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382" w:type="pct"/>
            <w:vAlign w:val="center"/>
          </w:tcPr>
          <w:p w14:paraId="409CBBB4">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张紧</w:t>
            </w:r>
          </w:p>
          <w:p w14:paraId="2DFA18AB">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装置</w:t>
            </w:r>
          </w:p>
        </w:tc>
        <w:tc>
          <w:tcPr>
            <w:tcW w:w="4211" w:type="pct"/>
            <w:vAlign w:val="center"/>
          </w:tcPr>
          <w:p w14:paraId="0F1EA273">
            <w:pPr>
              <w:keepNext w:val="0"/>
              <w:keepLines w:val="0"/>
              <w:pageBreakBefore w:val="0"/>
              <w:widowControl w:val="0"/>
              <w:numPr>
                <w:ilvl w:val="0"/>
                <w:numId w:val="0"/>
              </w:numPr>
              <w:kinsoku/>
              <w:overflowPunct/>
              <w:topLinePunct w:val="0"/>
              <w:bidi w:val="0"/>
              <w:adjustRightInd w:val="0"/>
              <w:snapToGrid w:val="0"/>
              <w:spacing w:afterAutospacing="0" w:line="240" w:lineRule="auto"/>
              <w:ind w:left="425" w:leftChars="0" w:hanging="425" w:firstLineChars="0"/>
              <w:jc w:val="both"/>
              <w:rPr>
                <w:rFonts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1</w:t>
            </w:r>
            <w:r>
              <w:rPr>
                <w:rFonts w:hint="eastAsia" w:ascii="宋体" w:hAnsi="宋体" w:eastAsia="宋体" w:cs="宋体"/>
                <w:kern w:val="2"/>
                <w:sz w:val="24"/>
                <w:szCs w:val="24"/>
                <w:lang w:val="en-US" w:eastAsia="zh-CN" w:bidi="ar-SA"/>
              </w:rPr>
              <w:t>）张紧装置由张紧回转轮装置、带座轴承、重锤、以及地面安全防护装置等组成。</w:t>
            </w:r>
          </w:p>
          <w:p w14:paraId="4DD1F7A3">
            <w:pPr>
              <w:keepNext w:val="0"/>
              <w:keepLines w:val="0"/>
              <w:pageBreakBefore w:val="0"/>
              <w:widowControl w:val="0"/>
              <w:numPr>
                <w:ilvl w:val="0"/>
                <w:numId w:val="0"/>
              </w:numPr>
              <w:kinsoku/>
              <w:overflowPunct/>
              <w:topLinePunct w:val="0"/>
              <w:bidi w:val="0"/>
              <w:adjustRightInd w:val="0"/>
              <w:snapToGrid w:val="0"/>
              <w:spacing w:afterAutospacing="0" w:line="240" w:lineRule="auto"/>
              <w:ind w:left="425" w:leftChars="0" w:hanging="425" w:firstLineChars="0"/>
              <w:jc w:val="both"/>
              <w:rPr>
                <w:rFonts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2</w:t>
            </w:r>
            <w:r>
              <w:rPr>
                <w:rFonts w:hint="eastAsia" w:ascii="宋体" w:hAnsi="宋体" w:eastAsia="宋体" w:cs="宋体"/>
                <w:kern w:val="2"/>
                <w:sz w:val="24"/>
                <w:szCs w:val="24"/>
                <w:lang w:val="en-US" w:eastAsia="zh-CN" w:bidi="ar-SA"/>
              </w:rPr>
              <w:t>）尾轮轴采用整体实心轴，链轮采用整体铸钢，链轮齿面表面淬火。</w:t>
            </w:r>
          </w:p>
        </w:tc>
      </w:tr>
      <w:tr w14:paraId="3D69F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405" w:type="pct"/>
            <w:vAlign w:val="center"/>
          </w:tcPr>
          <w:p w14:paraId="11E366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382" w:type="pct"/>
            <w:vAlign w:val="center"/>
          </w:tcPr>
          <w:p w14:paraId="2AD01DD3">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中间</w:t>
            </w:r>
          </w:p>
          <w:p w14:paraId="3E4C6B58">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支架</w:t>
            </w:r>
          </w:p>
        </w:tc>
        <w:tc>
          <w:tcPr>
            <w:tcW w:w="4211" w:type="pct"/>
            <w:vAlign w:val="center"/>
          </w:tcPr>
          <w:p w14:paraId="5A518469">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中间机架采用国产优质钢材，经锯床或等离子下料、胎具组焊、抛丸、底漆、检查合格后才能运往现场安装。现场安装采用胎具组焊，保证中间机架与上、下轨道在宽度、高度等方向上的公差要求。</w:t>
            </w:r>
          </w:p>
        </w:tc>
      </w:tr>
      <w:tr w14:paraId="7B4D9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05" w:type="pct"/>
            <w:vAlign w:val="center"/>
          </w:tcPr>
          <w:p w14:paraId="47A7DF8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382" w:type="pct"/>
            <w:vAlign w:val="center"/>
          </w:tcPr>
          <w:p w14:paraId="593E24D7">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牵引</w:t>
            </w:r>
          </w:p>
          <w:p w14:paraId="4CA56B32">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链条</w:t>
            </w:r>
          </w:p>
        </w:tc>
        <w:tc>
          <w:tcPr>
            <w:tcW w:w="4211" w:type="pct"/>
            <w:vAlign w:val="center"/>
          </w:tcPr>
          <w:p w14:paraId="40934C08">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ascii="宋体" w:hAnsi="宋体" w:eastAsia="宋体" w:cs="宋体"/>
                <w:sz w:val="24"/>
                <w:szCs w:val="24"/>
              </w:rPr>
              <w:t>4根链条牵引。</w:t>
            </w:r>
            <w:r>
              <w:rPr>
                <w:rFonts w:hint="eastAsia" w:ascii="宋体" w:hAnsi="宋体" w:eastAsia="宋体" w:cs="宋体"/>
                <w:sz w:val="24"/>
                <w:szCs w:val="24"/>
              </w:rPr>
              <w:t>选用优质国产链条，链条由外链片、内链片、牵引链链板、销轴、行走轮组成。链片、辊轮、套、轴的材质为优质钢材，轴调质处理，辊轮、套表面淬火处理。具有良好的综合机械性能和安全性。链条节距</w:t>
            </w:r>
            <w:r>
              <w:rPr>
                <w:rFonts w:ascii="宋体" w:hAnsi="宋体" w:eastAsia="宋体" w:cs="宋体"/>
                <w:sz w:val="24"/>
                <w:szCs w:val="24"/>
              </w:rPr>
              <w:t>P=250mm</w:t>
            </w:r>
            <w:r>
              <w:rPr>
                <w:rFonts w:hint="eastAsia" w:ascii="宋体" w:hAnsi="宋体" w:eastAsia="宋体" w:cs="宋体"/>
                <w:sz w:val="24"/>
                <w:szCs w:val="24"/>
              </w:rPr>
              <w:t>。</w:t>
            </w:r>
          </w:p>
        </w:tc>
      </w:tr>
      <w:tr w14:paraId="5263A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405" w:type="pct"/>
            <w:vAlign w:val="center"/>
          </w:tcPr>
          <w:p w14:paraId="6BF0444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382" w:type="pct"/>
            <w:vAlign w:val="center"/>
          </w:tcPr>
          <w:p w14:paraId="5C8D3FAD">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台面板</w:t>
            </w:r>
          </w:p>
        </w:tc>
        <w:tc>
          <w:tcPr>
            <w:tcW w:w="4211" w:type="pct"/>
            <w:vAlign w:val="center"/>
          </w:tcPr>
          <w:p w14:paraId="56E03389">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链条</w:t>
            </w:r>
            <w:r>
              <w:rPr>
                <w:rFonts w:ascii="宋体" w:hAnsi="宋体" w:eastAsia="宋体" w:cs="宋体"/>
                <w:sz w:val="24"/>
                <w:szCs w:val="24"/>
              </w:rPr>
              <w:t>上面的台面板</w:t>
            </w:r>
            <w:r>
              <w:rPr>
                <w:rFonts w:hint="eastAsia" w:ascii="宋体" w:hAnsi="宋体" w:eastAsia="宋体" w:cs="宋体"/>
                <w:sz w:val="24"/>
                <w:szCs w:val="24"/>
              </w:rPr>
              <w:t>，</w:t>
            </w:r>
            <w:r>
              <w:rPr>
                <w:rFonts w:ascii="宋体" w:hAnsi="宋体" w:eastAsia="宋体" w:cs="宋体"/>
                <w:sz w:val="24"/>
                <w:szCs w:val="24"/>
              </w:rPr>
              <w:t>单板长度</w:t>
            </w:r>
            <w:r>
              <w:rPr>
                <w:rFonts w:hint="eastAsia" w:ascii="宋体" w:hAnsi="宋体" w:eastAsia="宋体" w:cs="宋体"/>
                <w:sz w:val="24"/>
                <w:szCs w:val="24"/>
              </w:rPr>
              <w:t>根据</w:t>
            </w:r>
            <w:r>
              <w:rPr>
                <w:rFonts w:ascii="宋体" w:hAnsi="宋体" w:eastAsia="宋体" w:cs="宋体"/>
                <w:sz w:val="24"/>
                <w:szCs w:val="24"/>
              </w:rPr>
              <w:t>产品尺寸</w:t>
            </w:r>
            <w:r>
              <w:rPr>
                <w:rFonts w:hint="eastAsia" w:ascii="宋体" w:hAnsi="宋体" w:eastAsia="宋体" w:cs="宋体"/>
                <w:sz w:val="24"/>
                <w:szCs w:val="24"/>
              </w:rPr>
              <w:t>根据现场确定，主体采用焊接箱体结构</w:t>
            </w:r>
            <w:r>
              <w:rPr>
                <w:rFonts w:ascii="宋体" w:hAnsi="宋体" w:eastAsia="宋体" w:cs="宋体"/>
                <w:sz w:val="24"/>
                <w:szCs w:val="24"/>
              </w:rPr>
              <w:t>，</w:t>
            </w:r>
            <w:r>
              <w:rPr>
                <w:rFonts w:hint="eastAsia" w:ascii="宋体" w:hAnsi="宋体" w:eastAsia="宋体" w:cs="宋体"/>
                <w:sz w:val="24"/>
                <w:szCs w:val="24"/>
              </w:rPr>
              <w:t>不铺</w:t>
            </w:r>
            <w:r>
              <w:rPr>
                <w:rFonts w:ascii="宋体" w:hAnsi="宋体" w:eastAsia="宋体" w:cs="宋体"/>
                <w:sz w:val="24"/>
                <w:szCs w:val="24"/>
              </w:rPr>
              <w:t xml:space="preserve">木板。 </w:t>
            </w:r>
          </w:p>
        </w:tc>
      </w:tr>
      <w:tr w14:paraId="0C504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405" w:type="pct"/>
            <w:vAlign w:val="center"/>
          </w:tcPr>
          <w:p w14:paraId="34A84CF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6</w:t>
            </w:r>
          </w:p>
        </w:tc>
        <w:tc>
          <w:tcPr>
            <w:tcW w:w="382" w:type="pct"/>
            <w:vAlign w:val="center"/>
          </w:tcPr>
          <w:p w14:paraId="2C65AA1C">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轨道</w:t>
            </w:r>
          </w:p>
        </w:tc>
        <w:tc>
          <w:tcPr>
            <w:tcW w:w="4211" w:type="pct"/>
            <w:vAlign w:val="center"/>
          </w:tcPr>
          <w:p w14:paraId="3B7C25C9">
            <w:pPr>
              <w:keepNext w:val="0"/>
              <w:keepLines w:val="0"/>
              <w:pageBreakBefore w:val="0"/>
              <w:kinsoku/>
              <w:overflowPunct/>
              <w:topLinePunct w:val="0"/>
              <w:bidi w:val="0"/>
              <w:adjustRightInd w:val="0"/>
              <w:snapToGrid w:val="0"/>
              <w:spacing w:afterAutospacing="0" w:line="240" w:lineRule="auto"/>
              <w:rPr>
                <w:rFonts w:ascii="宋体" w:hAnsi="宋体" w:eastAsia="宋体" w:cs="宋体"/>
                <w:sz w:val="24"/>
                <w:szCs w:val="24"/>
              </w:rPr>
            </w:pPr>
            <w:r>
              <w:rPr>
                <w:rFonts w:hint="eastAsia" w:ascii="宋体" w:hAnsi="宋体" w:eastAsia="宋体" w:cs="宋体"/>
                <w:sz w:val="24"/>
                <w:szCs w:val="24"/>
              </w:rPr>
              <w:t>采用</w:t>
            </w:r>
            <w:r>
              <w:rPr>
                <w:rFonts w:ascii="宋体" w:hAnsi="宋体" w:eastAsia="宋体" w:cs="宋体"/>
                <w:sz w:val="24"/>
                <w:szCs w:val="24"/>
              </w:rPr>
              <w:t>4根轻轨轨道，用于走链轮</w:t>
            </w:r>
            <w:r>
              <w:rPr>
                <w:rFonts w:hint="eastAsia" w:ascii="宋体" w:hAnsi="宋体" w:eastAsia="宋体" w:cs="宋体"/>
                <w:sz w:val="24"/>
                <w:szCs w:val="24"/>
              </w:rPr>
              <w:t>并承载</w:t>
            </w:r>
            <w:r>
              <w:rPr>
                <w:rFonts w:ascii="宋体" w:hAnsi="宋体" w:eastAsia="宋体" w:cs="宋体"/>
                <w:sz w:val="24"/>
                <w:szCs w:val="24"/>
              </w:rPr>
              <w:t>整车重量</w:t>
            </w:r>
            <w:r>
              <w:rPr>
                <w:rFonts w:hint="eastAsia" w:ascii="宋体" w:hAnsi="宋体" w:eastAsia="宋体" w:cs="宋体"/>
                <w:sz w:val="24"/>
                <w:szCs w:val="24"/>
              </w:rPr>
              <w:t>，返回轨道应槽钢设计结构优化形式，加强刚度，避免返回轨道变形</w:t>
            </w:r>
            <w:r>
              <w:rPr>
                <w:rFonts w:ascii="宋体" w:hAnsi="宋体" w:eastAsia="宋体" w:cs="宋体"/>
                <w:sz w:val="24"/>
                <w:szCs w:val="24"/>
              </w:rPr>
              <w:t>。</w:t>
            </w:r>
          </w:p>
        </w:tc>
      </w:tr>
    </w:tbl>
    <w:p w14:paraId="2AD2C3DB">
      <w:pPr>
        <w:keepNext w:val="0"/>
        <w:keepLines w:val="0"/>
        <w:pageBreakBefore w:val="0"/>
        <w:widowControl w:val="0"/>
        <w:numPr>
          <w:ilvl w:val="0"/>
          <w:numId w:val="55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5"/>
        <w:rPr>
          <w:rFonts w:ascii="Times New Roman" w:hAnsi="Times New Roman" w:eastAsia="宋体" w:cs="Times New Roman"/>
          <w:b w:val="0"/>
          <w:sz w:val="24"/>
        </w:rPr>
      </w:pPr>
      <w:r>
        <w:rPr>
          <w:rFonts w:ascii="Times New Roman" w:hAnsi="Times New Roman" w:eastAsia="宋体" w:cs="Times New Roman"/>
          <w:sz w:val="24"/>
        </w:rPr>
        <w:t>设备结构形式要求</w:t>
      </w:r>
    </w:p>
    <w:p w14:paraId="7319ACE3">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地下通道内的照明设备要防水、防爆、防鼠，照明要保证亮度，更换灯具方便，地下通道内的照明应与地坑盖板</w:t>
      </w:r>
      <w:r>
        <w:rPr>
          <w:rFonts w:hint="eastAsia" w:ascii="Times New Roman" w:hAnsi="Times New Roman" w:eastAsia="宋体" w:cs="Times New Roman"/>
          <w:sz w:val="24"/>
          <w:lang w:eastAsia="zh-CN"/>
        </w:rPr>
        <w:t>联锁</w:t>
      </w:r>
      <w:r>
        <w:rPr>
          <w:rFonts w:ascii="Times New Roman" w:hAnsi="Times New Roman" w:eastAsia="宋体" w:cs="Times New Roman"/>
          <w:sz w:val="24"/>
        </w:rPr>
        <w:t>，当盖板关闭时电源自动关闭，盖板打开时照明自动打开。</w:t>
      </w:r>
    </w:p>
    <w:p w14:paraId="60420C38">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满足不同种车型车架宽度及长度的变化要求。</w:t>
      </w:r>
    </w:p>
    <w:p w14:paraId="1FF9852C">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满足承载重量的要求（单辆汽车最大重量为5吨）。</w:t>
      </w:r>
    </w:p>
    <w:p w14:paraId="18EBE798">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为了方便检修，在地沟内需设置一套简易的按钮控制电控系统，含启动，停止和急停。</w:t>
      </w:r>
    </w:p>
    <w:p w14:paraId="1EAE363E">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地下返程轨道要设置一个活动检修段。</w:t>
      </w:r>
    </w:p>
    <w:p w14:paraId="17CFAEE4">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板式带的平面高度与厂房内所在地平面平齐。</w:t>
      </w:r>
    </w:p>
    <w:p w14:paraId="3A731F49">
      <w:pPr>
        <w:keepNext w:val="0"/>
        <w:keepLines w:val="0"/>
        <w:pageBreakBefore w:val="0"/>
        <w:widowControl w:val="0"/>
        <w:numPr>
          <w:ilvl w:val="0"/>
          <w:numId w:val="55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电气线路必须有清晰且能长期保持的编号。</w:t>
      </w:r>
    </w:p>
    <w:p w14:paraId="6110DB34">
      <w:pPr>
        <w:keepNext w:val="0"/>
        <w:keepLines w:val="0"/>
        <w:pageBreakBefore w:val="0"/>
        <w:widowControl w:val="0"/>
        <w:numPr>
          <w:ilvl w:val="0"/>
          <w:numId w:val="538"/>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电气控制部分要求</w:t>
      </w:r>
    </w:p>
    <w:p w14:paraId="04242651">
      <w:pPr>
        <w:keepNext w:val="0"/>
        <w:keepLines w:val="0"/>
        <w:pageBreakBefore w:val="0"/>
        <w:widowControl w:val="0"/>
        <w:numPr>
          <w:ilvl w:val="0"/>
          <w:numId w:val="556"/>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总体要求</w:t>
      </w:r>
    </w:p>
    <w:p w14:paraId="3A6434F8">
      <w:pPr>
        <w:keepNext w:val="0"/>
        <w:keepLines w:val="0"/>
        <w:pageBreakBefore w:val="0"/>
        <w:widowControl w:val="0"/>
        <w:numPr>
          <w:ilvl w:val="0"/>
          <w:numId w:val="5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淋雨室电气系统包含淋雨控制系统、室内外照明、电动门的控制、阀路控制、供电线路等全套系统。</w:t>
      </w:r>
    </w:p>
    <w:p w14:paraId="48A00102">
      <w:pPr>
        <w:keepNext w:val="0"/>
        <w:keepLines w:val="0"/>
        <w:pageBreakBefore w:val="0"/>
        <w:widowControl w:val="0"/>
        <w:numPr>
          <w:ilvl w:val="0"/>
          <w:numId w:val="5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供方的方案、设计图纸、元器件清单必须经需方签字认可后，方可实施。PLC、触摸屏软件版本由需方在技术协议时统一指定。</w:t>
      </w:r>
    </w:p>
    <w:p w14:paraId="2BB61CE4">
      <w:pPr>
        <w:keepNext w:val="0"/>
        <w:keepLines w:val="0"/>
        <w:pageBreakBefore w:val="0"/>
        <w:widowControl w:val="0"/>
        <w:numPr>
          <w:ilvl w:val="0"/>
          <w:numId w:val="5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主控触摸屏和服务器系统均设置3级权限，一级用于日常生产运行，二级用于设备和工艺参数修改，三级最高，用于工程师对设备和系统维护、维修。</w:t>
      </w:r>
    </w:p>
    <w:p w14:paraId="58ECBC6D">
      <w:pPr>
        <w:keepNext w:val="0"/>
        <w:keepLines w:val="0"/>
        <w:pageBreakBefore w:val="0"/>
        <w:widowControl w:val="0"/>
        <w:numPr>
          <w:ilvl w:val="0"/>
          <w:numId w:val="5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PLC控制程序采用模块化编程，严禁全程线性编程，编程语言为梯形图。除用户自定义的功能块外，所有变量均为全局变量，严禁在跳转指令和调用程序块指令时通过输入参数和返回参数的方式进行变量传输、转换。程序中所有变量、所有I/O地址必须有注释，所有I/O地址必须加符号地址，符号地址必须对应原理图中元件号，控制程序应加注各种注释，所有注释语言必须为中文，供方不得以保密为由不开放相应权限，所有程序和参数必须向需方完全公开，不得任何形式的加密。</w:t>
      </w:r>
    </w:p>
    <w:p w14:paraId="67AAEF2F">
      <w:pPr>
        <w:keepNext w:val="0"/>
        <w:keepLines w:val="0"/>
        <w:pageBreakBefore w:val="0"/>
        <w:widowControl w:val="0"/>
        <w:numPr>
          <w:ilvl w:val="0"/>
          <w:numId w:val="55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电气系统配置和功能包含但不限于电气控制部分条款描述，如工艺要求需要，而下述条文未说明，则供方仍需满足工艺要求增加相关配置和功能。</w:t>
      </w:r>
    </w:p>
    <w:p w14:paraId="60113A0D">
      <w:pPr>
        <w:keepNext w:val="0"/>
        <w:keepLines w:val="0"/>
        <w:pageBreakBefore w:val="0"/>
        <w:widowControl w:val="0"/>
        <w:numPr>
          <w:ilvl w:val="0"/>
          <w:numId w:val="556"/>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控制系统配置及功能要求</w:t>
      </w:r>
    </w:p>
    <w:p w14:paraId="36D0CD69">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水泵采用变频控制，每台循环水泵各配1台变频器，变频器功率应比电机大一规格，PLC与变频器采用以太网通讯，排污泵采用接触器控制，水泵电机应符合国家节能标准。</w:t>
      </w:r>
    </w:p>
    <w:p w14:paraId="13E21576">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水池和负压罐液位检测采用雷达物位计，电动阀应有开合度指示，管路系统安装压力传感器和流量计，管路或水池安装浊度检测装置，以上检测系统防护等级IP67。上述检测信号均要在柜门上有指示仪表，同时信号也要接入PLC，在触摸屏上动态显示管道的系统压力流量，方便观测。</w:t>
      </w:r>
    </w:p>
    <w:p w14:paraId="194EAD6D">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控制系统根据液位自动补水，补水失败、液位、流量、压力、温度、浊度超过设定值，系统声光报警。</w:t>
      </w:r>
    </w:p>
    <w:p w14:paraId="5C88D33F">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淋雨室内外和室外门口安装LED照明灯具，防护等级IP67，室内及室外门口平均照度150Lx。</w:t>
      </w:r>
    </w:p>
    <w:p w14:paraId="560E6BE1">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淋雨室两侧、室体顶部分别安装多组灯具，每只灯具2x36W，安装在防水玻璃板外面</w:t>
      </w:r>
      <w:r>
        <w:rPr>
          <w:rFonts w:hint="eastAsia" w:ascii="Times New Roman" w:hAnsi="Times New Roman" w:eastAsia="宋体" w:cs="Times New Roman"/>
          <w:sz w:val="24"/>
          <w:lang w:eastAsia="zh-CN"/>
        </w:rPr>
        <w:t>，</w:t>
      </w:r>
      <w:r>
        <w:rPr>
          <w:rFonts w:ascii="Times New Roman" w:hAnsi="Times New Roman" w:eastAsia="宋体" w:cs="Times New Roman"/>
          <w:sz w:val="24"/>
        </w:rPr>
        <w:t>从室外进行安装和维修。</w:t>
      </w:r>
    </w:p>
    <w:p w14:paraId="38D87363">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触摸屏可进行参数查看修改系统设置和工艺参数，在触摸屏中按车型预置淋雨时间和喷水量、水位上下限等，控制系统所有I/O点位状态（包含用于</w:t>
      </w:r>
      <w:r>
        <w:rPr>
          <w:rFonts w:hint="eastAsia" w:ascii="Times New Roman" w:hAnsi="Times New Roman" w:eastAsia="宋体" w:cs="Times New Roman"/>
          <w:sz w:val="24"/>
          <w:lang w:eastAsia="zh-CN"/>
        </w:rPr>
        <w:t>联锁</w:t>
      </w:r>
      <w:r>
        <w:rPr>
          <w:rFonts w:ascii="Times New Roman" w:hAnsi="Times New Roman" w:eastAsia="宋体" w:cs="Times New Roman"/>
          <w:sz w:val="24"/>
        </w:rPr>
        <w:t>控制的其他设备信号）均可在触摸屏上分别查看，在触摸屏上应注明I/O点的元件名称、功能、图纸代码、线号等。触摸屏上可实时显示淋雨强度。</w:t>
      </w:r>
    </w:p>
    <w:p w14:paraId="373BAFF0">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设备应具有故障自诊断功能和故障原因指示功能，故障诊断要涵盖全部已知故障类型并指示到具体元器件。故障信息采用声光报警，并在触摸屏上显示具体的故障信息、故障部位、元件、处理方法等。</w:t>
      </w:r>
    </w:p>
    <w:p w14:paraId="3CE1BF44">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控制电源采用24V安全电压，急停按钮应切断设备主电源。</w:t>
      </w:r>
    </w:p>
    <w:p w14:paraId="7DFC7AA3">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安装在淋雨间内的电气元件防护等级为IP67以上，电线线路做防水处理，禁止有中间接头。</w:t>
      </w:r>
    </w:p>
    <w:p w14:paraId="28F0BDDB">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配备1套控制柜。控制柜内应有电源总开关，电源总开关的操作应设置在柜体外边（侧边）。柜内设置照明装置和插座（AC220V，5A，2孔、3孔各1个），插座上级开关推荐选用漏电保护开关。控制柜内侧应设置图纸资料盒和可折叠的笔记本电脑托盘。箱体钢板厚度大于2mm，磷化处理，其他加工工艺应按行业有关标准规范进行。机柜侧面安装空调，空调与设备运行联动，保证设备运行时柜内温度≤40℃。</w:t>
      </w:r>
    </w:p>
    <w:p w14:paraId="4F7FBE46">
      <w:pPr>
        <w:keepNext w:val="0"/>
        <w:keepLines w:val="0"/>
        <w:pageBreakBefore w:val="0"/>
        <w:widowControl w:val="0"/>
        <w:numPr>
          <w:ilvl w:val="0"/>
          <w:numId w:val="55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主控柜带多功能电能计量表、水量计量表，带以太网接口或MODBUS接口，通过以太网实时采集并向IOT传输设备电能、电流、电压、用水量等信号。</w:t>
      </w:r>
    </w:p>
    <w:p w14:paraId="31B4DE17">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ind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线体末端（检查工位）设置安全、可靠的防撞车保护装置（光电开关保护），以防下线车辆无人开走滞留，和随后车辆发生撞车事故。</w:t>
      </w:r>
      <w:bookmarkStart w:id="332" w:name="_Toc509668386"/>
      <w:bookmarkEnd w:id="332"/>
    </w:p>
    <w:p w14:paraId="0881CC5D">
      <w:pPr>
        <w:keepNext w:val="0"/>
        <w:keepLines w:val="0"/>
        <w:pageBreakBefore w:val="0"/>
        <w:widowControl w:val="0"/>
        <w:numPr>
          <w:ilvl w:val="0"/>
          <w:numId w:val="45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点补设备设备技术要求</w:t>
      </w:r>
    </w:p>
    <w:p w14:paraId="6C06048E">
      <w:pPr>
        <w:keepNext w:val="0"/>
        <w:keepLines w:val="0"/>
        <w:pageBreakBefore w:val="0"/>
        <w:widowControl w:val="0"/>
        <w:numPr>
          <w:ilvl w:val="0"/>
          <w:numId w:val="559"/>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设备用途</w:t>
      </w:r>
    </w:p>
    <w:p w14:paraId="5BAE665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本套设备用于整车返修在打磨、喷漆时捕捉过喷漆雾和喷漆后漆膜的烘干。</w:t>
      </w:r>
    </w:p>
    <w:p w14:paraId="61A60158">
      <w:pPr>
        <w:keepNext w:val="0"/>
        <w:keepLines w:val="0"/>
        <w:pageBreakBefore w:val="0"/>
        <w:widowControl w:val="0"/>
        <w:numPr>
          <w:ilvl w:val="0"/>
          <w:numId w:val="559"/>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货物需求表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4"/>
        <w:gridCol w:w="1848"/>
        <w:gridCol w:w="770"/>
        <w:gridCol w:w="824"/>
        <w:gridCol w:w="2570"/>
        <w:gridCol w:w="2734"/>
      </w:tblGrid>
      <w:tr w14:paraId="7C963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1EF884A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957" w:type="pct"/>
            <w:shd w:val="clear" w:color="auto" w:fill="auto"/>
            <w:vAlign w:val="center"/>
          </w:tcPr>
          <w:p w14:paraId="098A4EE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399" w:type="pct"/>
            <w:shd w:val="clear" w:color="auto" w:fill="auto"/>
            <w:vAlign w:val="center"/>
          </w:tcPr>
          <w:p w14:paraId="15C32E1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427" w:type="pct"/>
            <w:shd w:val="clear" w:color="auto" w:fill="auto"/>
            <w:vAlign w:val="center"/>
          </w:tcPr>
          <w:p w14:paraId="0B2A31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1331" w:type="pct"/>
            <w:shd w:val="clear" w:color="auto" w:fill="auto"/>
            <w:vAlign w:val="center"/>
          </w:tcPr>
          <w:p w14:paraId="73F9FA3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规格</w:t>
            </w:r>
          </w:p>
        </w:tc>
        <w:tc>
          <w:tcPr>
            <w:tcW w:w="1416" w:type="pct"/>
            <w:shd w:val="clear" w:color="auto" w:fill="auto"/>
            <w:vAlign w:val="center"/>
          </w:tcPr>
          <w:p w14:paraId="3FB06D5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273E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782867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957" w:type="pct"/>
            <w:shd w:val="clear" w:color="auto" w:fill="auto"/>
            <w:vAlign w:val="center"/>
          </w:tcPr>
          <w:p w14:paraId="5E17C1D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点补间</w:t>
            </w:r>
          </w:p>
        </w:tc>
        <w:tc>
          <w:tcPr>
            <w:tcW w:w="399" w:type="pct"/>
            <w:shd w:val="clear" w:color="auto" w:fill="auto"/>
            <w:vAlign w:val="center"/>
          </w:tcPr>
          <w:p w14:paraId="25FAAF2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44B1169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114BC1A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416" w:type="pct"/>
            <w:shd w:val="clear" w:color="auto" w:fill="auto"/>
            <w:vAlign w:val="center"/>
          </w:tcPr>
          <w:p w14:paraId="13C46F3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A7C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692B20E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957" w:type="pct"/>
            <w:shd w:val="clear" w:color="auto" w:fill="auto"/>
            <w:vAlign w:val="center"/>
          </w:tcPr>
          <w:p w14:paraId="1374CC3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室体系统</w:t>
            </w:r>
          </w:p>
        </w:tc>
        <w:tc>
          <w:tcPr>
            <w:tcW w:w="399" w:type="pct"/>
            <w:shd w:val="clear" w:color="auto" w:fill="auto"/>
            <w:vAlign w:val="center"/>
          </w:tcPr>
          <w:p w14:paraId="29C047C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1E613E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36D1D8B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利旧原饰体</w:t>
            </w:r>
          </w:p>
        </w:tc>
        <w:tc>
          <w:tcPr>
            <w:tcW w:w="1416" w:type="pct"/>
            <w:shd w:val="clear" w:color="auto" w:fill="auto"/>
            <w:vAlign w:val="center"/>
          </w:tcPr>
          <w:p w14:paraId="60F2301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595AE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6AD63C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957" w:type="pct"/>
            <w:shd w:val="clear" w:color="auto" w:fill="auto"/>
            <w:vAlign w:val="center"/>
          </w:tcPr>
          <w:p w14:paraId="45A2360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照明系统</w:t>
            </w:r>
          </w:p>
        </w:tc>
        <w:tc>
          <w:tcPr>
            <w:tcW w:w="399" w:type="pct"/>
            <w:shd w:val="clear" w:color="auto" w:fill="auto"/>
            <w:vAlign w:val="center"/>
          </w:tcPr>
          <w:p w14:paraId="585A877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09B70B1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381E32D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见技术要求</w:t>
            </w:r>
          </w:p>
        </w:tc>
        <w:tc>
          <w:tcPr>
            <w:tcW w:w="1416" w:type="pct"/>
            <w:shd w:val="clear" w:color="auto" w:fill="auto"/>
            <w:vAlign w:val="center"/>
          </w:tcPr>
          <w:p w14:paraId="12C4E1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5053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082EE8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957" w:type="pct"/>
            <w:shd w:val="clear" w:color="auto" w:fill="auto"/>
            <w:vAlign w:val="center"/>
          </w:tcPr>
          <w:p w14:paraId="7A11BCF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送排风系统</w:t>
            </w:r>
          </w:p>
        </w:tc>
        <w:tc>
          <w:tcPr>
            <w:tcW w:w="399" w:type="pct"/>
            <w:shd w:val="clear" w:color="auto" w:fill="auto"/>
            <w:vAlign w:val="center"/>
          </w:tcPr>
          <w:p w14:paraId="4250525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43F3EF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4A207E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见技术要求</w:t>
            </w:r>
          </w:p>
        </w:tc>
        <w:tc>
          <w:tcPr>
            <w:tcW w:w="1416" w:type="pct"/>
            <w:shd w:val="clear" w:color="auto" w:fill="auto"/>
            <w:vAlign w:val="center"/>
          </w:tcPr>
          <w:p w14:paraId="43F5865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08A9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60E9A0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957" w:type="pct"/>
            <w:shd w:val="clear" w:color="auto" w:fill="auto"/>
            <w:vAlign w:val="center"/>
          </w:tcPr>
          <w:p w14:paraId="67FD9C9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空气净化系统</w:t>
            </w:r>
          </w:p>
        </w:tc>
        <w:tc>
          <w:tcPr>
            <w:tcW w:w="399" w:type="pct"/>
            <w:shd w:val="clear" w:color="auto" w:fill="auto"/>
            <w:vAlign w:val="center"/>
          </w:tcPr>
          <w:p w14:paraId="1E3AF01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1DB8790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511F10B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见技术要求</w:t>
            </w:r>
          </w:p>
        </w:tc>
        <w:tc>
          <w:tcPr>
            <w:tcW w:w="1416" w:type="pct"/>
            <w:shd w:val="clear" w:color="auto" w:fill="auto"/>
            <w:vAlign w:val="center"/>
          </w:tcPr>
          <w:p w14:paraId="5F81931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989A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6F57C0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6</w:t>
            </w:r>
          </w:p>
        </w:tc>
        <w:tc>
          <w:tcPr>
            <w:tcW w:w="957" w:type="pct"/>
            <w:shd w:val="clear" w:color="auto" w:fill="auto"/>
            <w:vAlign w:val="center"/>
          </w:tcPr>
          <w:p w14:paraId="61024C4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压力控制系统</w:t>
            </w:r>
          </w:p>
        </w:tc>
        <w:tc>
          <w:tcPr>
            <w:tcW w:w="399" w:type="pct"/>
            <w:shd w:val="clear" w:color="auto" w:fill="auto"/>
            <w:vAlign w:val="center"/>
          </w:tcPr>
          <w:p w14:paraId="1C4A433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5DB43A5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5FA6C21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见技术要求</w:t>
            </w:r>
          </w:p>
        </w:tc>
        <w:tc>
          <w:tcPr>
            <w:tcW w:w="1416" w:type="pct"/>
            <w:shd w:val="clear" w:color="auto" w:fill="auto"/>
            <w:vAlign w:val="center"/>
          </w:tcPr>
          <w:p w14:paraId="5A050DF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5D9C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51AD1D1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w:t>
            </w:r>
          </w:p>
        </w:tc>
        <w:tc>
          <w:tcPr>
            <w:tcW w:w="957" w:type="pct"/>
            <w:shd w:val="clear" w:color="auto" w:fill="auto"/>
            <w:vAlign w:val="center"/>
          </w:tcPr>
          <w:p w14:paraId="1CA5FF2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轨道烤漆系统</w:t>
            </w:r>
          </w:p>
        </w:tc>
        <w:tc>
          <w:tcPr>
            <w:tcW w:w="399" w:type="pct"/>
            <w:shd w:val="clear" w:color="auto" w:fill="auto"/>
            <w:vAlign w:val="center"/>
          </w:tcPr>
          <w:p w14:paraId="1B3C4E0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149B630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31CA4B0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见技术要求</w:t>
            </w:r>
          </w:p>
        </w:tc>
        <w:tc>
          <w:tcPr>
            <w:tcW w:w="1416" w:type="pct"/>
            <w:shd w:val="clear" w:color="auto" w:fill="auto"/>
            <w:vAlign w:val="center"/>
          </w:tcPr>
          <w:p w14:paraId="48C41CF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9B64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8" w:type="pct"/>
            <w:shd w:val="clear" w:color="auto" w:fill="auto"/>
            <w:vAlign w:val="center"/>
          </w:tcPr>
          <w:p w14:paraId="42CDB99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w:t>
            </w:r>
          </w:p>
        </w:tc>
        <w:tc>
          <w:tcPr>
            <w:tcW w:w="957" w:type="pct"/>
            <w:shd w:val="clear" w:color="auto" w:fill="auto"/>
            <w:vAlign w:val="center"/>
          </w:tcPr>
          <w:p w14:paraId="55DB217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电控系统</w:t>
            </w:r>
          </w:p>
        </w:tc>
        <w:tc>
          <w:tcPr>
            <w:tcW w:w="399" w:type="pct"/>
            <w:shd w:val="clear" w:color="auto" w:fill="auto"/>
            <w:vAlign w:val="center"/>
          </w:tcPr>
          <w:p w14:paraId="66334F9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27" w:type="pct"/>
            <w:shd w:val="clear" w:color="auto" w:fill="auto"/>
            <w:vAlign w:val="center"/>
          </w:tcPr>
          <w:p w14:paraId="6A24C1A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331" w:type="pct"/>
            <w:shd w:val="clear" w:color="auto" w:fill="auto"/>
            <w:vAlign w:val="center"/>
          </w:tcPr>
          <w:p w14:paraId="7F73E9A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见技术要求</w:t>
            </w:r>
          </w:p>
        </w:tc>
        <w:tc>
          <w:tcPr>
            <w:tcW w:w="1416" w:type="pct"/>
            <w:shd w:val="clear" w:color="auto" w:fill="auto"/>
            <w:vAlign w:val="center"/>
          </w:tcPr>
          <w:p w14:paraId="3398C31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547620C9">
      <w:pPr>
        <w:keepNext w:val="0"/>
        <w:keepLines w:val="0"/>
        <w:pageBreakBefore w:val="0"/>
        <w:widowControl w:val="0"/>
        <w:numPr>
          <w:ilvl w:val="0"/>
          <w:numId w:val="559"/>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技术要求</w:t>
      </w:r>
    </w:p>
    <w:p w14:paraId="0B6BFAE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点补间主要由室体系统、照明系统、送排风系统、空气净化系统、压力控制系统、轨道烤漆系统及电控系统组成。</w:t>
      </w:r>
    </w:p>
    <w:p w14:paraId="157E008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环保方面符合以下最新标准：</w:t>
      </w:r>
    </w:p>
    <w:p w14:paraId="76B1F8D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GB16297《大气污染物综合排放标准》</w:t>
      </w:r>
    </w:p>
    <w:p w14:paraId="7542082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GB30986《城市区域环境噪声标准》</w:t>
      </w:r>
    </w:p>
    <w:p w14:paraId="13EDF0B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GB12348《工业企业厂界噪声标准》</w:t>
      </w:r>
    </w:p>
    <w:p w14:paraId="6B8E1416">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GBJ87《工业企业噪声控制设计规范》</w:t>
      </w:r>
    </w:p>
    <w:p w14:paraId="0B165C4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GB8978《污水综合排放标准》</w:t>
      </w:r>
    </w:p>
    <w:p w14:paraId="5AD252D4">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室体系统技术要求</w:t>
      </w:r>
    </w:p>
    <w:p w14:paraId="59CA6A6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240" w:firstLineChars="100"/>
        <w:textAlignment w:val="auto"/>
        <w:rPr>
          <w:rFonts w:hint="eastAsia" w:ascii="Times New Roman" w:hAnsi="Times New Roman" w:eastAsia="宋体" w:cs="Times New Roman"/>
          <w:sz w:val="24"/>
          <w:lang w:val="en-US" w:eastAsia="zh-CN"/>
        </w:rPr>
      </w:pPr>
      <w:r>
        <w:rPr>
          <w:rFonts w:ascii="Times New Roman" w:hAnsi="Times New Roman" w:eastAsia="宋体" w:cs="Times New Roman"/>
          <w:sz w:val="24"/>
        </w:rPr>
        <w:t>投标时提供室体利旧改造方案</w:t>
      </w:r>
      <w:r>
        <w:rPr>
          <w:rFonts w:hint="eastAsia" w:cs="Times New Roman"/>
          <w:sz w:val="24"/>
          <w:lang w:eastAsia="zh-CN"/>
        </w:rPr>
        <w:t>。</w:t>
      </w:r>
    </w:p>
    <w:p w14:paraId="3F71FCE3">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照明系统技术要求</w:t>
      </w:r>
    </w:p>
    <w:p w14:paraId="533AA66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240" w:firstLineChars="10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投标时提供照明利旧改造方案</w:t>
      </w:r>
      <w:r>
        <w:rPr>
          <w:rFonts w:hint="eastAsia" w:cs="Times New Roman"/>
          <w:sz w:val="24"/>
          <w:lang w:eastAsia="zh-CN"/>
        </w:rPr>
        <w:t>。</w:t>
      </w:r>
    </w:p>
    <w:p w14:paraId="6B89C512">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送排风系统技术要求</w:t>
      </w:r>
    </w:p>
    <w:p w14:paraId="31A8C086">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240" w:firstLineChars="10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投标时根据现场风机及风道提供利旧改造方案</w:t>
      </w:r>
      <w:r>
        <w:rPr>
          <w:rFonts w:hint="eastAsia" w:cs="Times New Roman"/>
          <w:sz w:val="24"/>
          <w:lang w:eastAsia="zh-CN"/>
        </w:rPr>
        <w:t>。</w:t>
      </w:r>
    </w:p>
    <w:p w14:paraId="044E6FA5">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空气净化系统技术要求</w:t>
      </w:r>
    </w:p>
    <w:p w14:paraId="4C0E353F">
      <w:pPr>
        <w:keepNext w:val="0"/>
        <w:keepLines w:val="0"/>
        <w:pageBreakBefore w:val="0"/>
        <w:widowControl w:val="0"/>
        <w:numPr>
          <w:ilvl w:val="0"/>
          <w:numId w:val="5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进气过滤采用二级过滤，即初效过滤和精细过滤相结合的形式。送风机前为初效过滤，初效过滤层能有效地捕捉直径大于10μm的尘粒；精细过滤层设在室体顶部，滤芯方便</w:t>
      </w:r>
      <w:r>
        <w:rPr>
          <w:rFonts w:hint="eastAsia" w:ascii="Times New Roman" w:hAnsi="Times New Roman" w:eastAsia="宋体" w:cs="Times New Roman"/>
          <w:sz w:val="24"/>
          <w:lang w:eastAsia="zh-CN"/>
        </w:rPr>
        <w:t>更换</w:t>
      </w:r>
      <w:r>
        <w:rPr>
          <w:rFonts w:ascii="Times New Roman" w:hAnsi="Times New Roman" w:eastAsia="宋体" w:cs="Times New Roman"/>
          <w:sz w:val="24"/>
        </w:rPr>
        <w:t>。</w:t>
      </w:r>
    </w:p>
    <w:p w14:paraId="13157F66">
      <w:pPr>
        <w:keepNext w:val="0"/>
        <w:keepLines w:val="0"/>
        <w:pageBreakBefore w:val="0"/>
        <w:widowControl w:val="0"/>
        <w:numPr>
          <w:ilvl w:val="0"/>
          <w:numId w:val="5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过滤层框架采用镀锌钢板折制+不锈钢丝网焊接而成，表面经特殊防锈处理，方格面积不得大于100mm×100mm，且方便更换。精细过滤层能有效地捕捉直径大于4μm的尘粒，过滤效率需达 98%以上。</w:t>
      </w:r>
    </w:p>
    <w:p w14:paraId="6A55FF5C">
      <w:pPr>
        <w:keepNext w:val="0"/>
        <w:keepLines w:val="0"/>
        <w:pageBreakBefore w:val="0"/>
        <w:widowControl w:val="0"/>
        <w:numPr>
          <w:ilvl w:val="0"/>
          <w:numId w:val="5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工位存在喷漆操作，因此工位排风需要具备污染物处理功能，废气处理系统：喷漆烘干作业时，废气排放需经处理，使处理后的废气满足大气污染物综合排放标准。</w:t>
      </w:r>
    </w:p>
    <w:p w14:paraId="2BB6436E">
      <w:pPr>
        <w:keepNext w:val="0"/>
        <w:keepLines w:val="0"/>
        <w:pageBreakBefore w:val="0"/>
        <w:widowControl w:val="0"/>
        <w:numPr>
          <w:ilvl w:val="0"/>
          <w:numId w:val="5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采用干式处理法，利用蜂窝式活性碳和玻璃纤维丝过滤毡达到净化目的，然后高空排放，排放满足国家相关环保要求，烟囱离地高度≥15m。</w:t>
      </w:r>
    </w:p>
    <w:p w14:paraId="66CD3E8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处理流程及设备、活性炭信息如下所示</w:t>
      </w:r>
      <w:r>
        <w:rPr>
          <w:rFonts w:hint="eastAsia" w:ascii="Times New Roman" w:hAnsi="Times New Roman" w:eastAsia="宋体" w:cs="Times New Roman"/>
          <w:sz w:val="24"/>
          <w:lang w:eastAsia="zh-CN"/>
        </w:rPr>
        <w:t>：</w:t>
      </w:r>
    </w:p>
    <w:p w14:paraId="397C17FF">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lang w:val="sv-SE"/>
        </w:rPr>
      </w:pPr>
      <w:r>
        <w:rPr>
          <w:rFonts w:ascii="宋体" w:hAnsi="宋体" w:eastAsia="宋体" w:cs="宋体"/>
          <w:sz w:val="24"/>
          <w:szCs w:val="24"/>
        </w:rPr>
        <mc:AlternateContent>
          <mc:Choice Requires="wps">
            <w:drawing>
              <wp:anchor distT="0" distB="0" distL="114300" distR="114300" simplePos="0" relativeHeight="251667456" behindDoc="0" locked="0" layoutInCell="1" allowOverlap="1">
                <wp:simplePos x="0" y="0"/>
                <wp:positionH relativeFrom="column">
                  <wp:posOffset>4446270</wp:posOffset>
                </wp:positionH>
                <wp:positionV relativeFrom="paragraph">
                  <wp:posOffset>309880</wp:posOffset>
                </wp:positionV>
                <wp:extent cx="338455" cy="211455"/>
                <wp:effectExtent l="6350" t="15240" r="17145" b="20955"/>
                <wp:wrapNone/>
                <wp:docPr id="59" name="右箭头 59"/>
                <wp:cNvGraphicFramePr/>
                <a:graphic xmlns:a="http://schemas.openxmlformats.org/drawingml/2006/main">
                  <a:graphicData uri="http://schemas.microsoft.com/office/word/2010/wordprocessingShape">
                    <wps:wsp>
                      <wps:cNvSpPr/>
                      <wps:spPr>
                        <a:xfrm>
                          <a:off x="0" y="0"/>
                          <a:ext cx="338455" cy="211455"/>
                        </a:xfrm>
                        <a:prstGeom prst="rightArrow">
                          <a:avLst/>
                        </a:prstGeom>
                        <a:solidFill>
                          <a:srgbClr val="5B9BD5"/>
                        </a:solidFill>
                        <a:ln w="12700" cap="flat" cmpd="sng" algn="ctr">
                          <a:solidFill>
                            <a:srgbClr val="5B9BD5">
                              <a:shade val="50000"/>
                            </a:srgbClr>
                          </a:solid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350.1pt;margin-top:24.4pt;height:16.65pt;width:26.65pt;z-index:251667456;v-text-anchor:middle;mso-width-relative:page;mso-height-relative:page;" fillcolor="#5B9BD5" filled="t" stroked="t" coordsize="21600,21600" o:gfxdata="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HtdZgDXAAAACQEA&#10;AA8AAAAAAAAAAQAgAAAAIgAAAGRycy9kb3ducmV2LnhtbFBLAQIUABQAAAAIAIdO4kAD4AKXjQIA&#10;AC0FAAAOAAAAAAAAAAEAIAAAACYBAABkcnMvZTJvRG9jLnhtbFBLBQYAAAAABgAGAFkBAAAlBgAA&#10;AAA=&#10;" adj="14853,5400">
                <v:fill on="t" focussize="0,0"/>
                <v:stroke weight="1pt" color="#41719C [3204]" miterlimit="8" joinstyle="miter"/>
                <v:imagedata o:title=""/>
                <o:lock v:ext="edit" aspectratio="f"/>
              </v:shape>
            </w:pict>
          </mc:Fallback>
        </mc:AlternateContent>
      </w:r>
      <w:r>
        <w:rPr>
          <w:rFonts w:ascii="宋体" w:hAnsi="宋体" w:eastAsia="宋体" w:cs="宋体"/>
          <w:sz w:val="24"/>
          <w:szCs w:val="24"/>
        </w:rPr>
        <mc:AlternateContent>
          <mc:Choice Requires="wps">
            <w:drawing>
              <wp:anchor distT="0" distB="0" distL="114300" distR="114300" simplePos="0" relativeHeight="251666432" behindDoc="0" locked="0" layoutInCell="1" allowOverlap="1">
                <wp:simplePos x="0" y="0"/>
                <wp:positionH relativeFrom="column">
                  <wp:posOffset>2913380</wp:posOffset>
                </wp:positionH>
                <wp:positionV relativeFrom="paragraph">
                  <wp:posOffset>280670</wp:posOffset>
                </wp:positionV>
                <wp:extent cx="338455" cy="211455"/>
                <wp:effectExtent l="6350" t="15240" r="17145" b="20955"/>
                <wp:wrapNone/>
                <wp:docPr id="62" name="右箭头 62"/>
                <wp:cNvGraphicFramePr/>
                <a:graphic xmlns:a="http://schemas.openxmlformats.org/drawingml/2006/main">
                  <a:graphicData uri="http://schemas.microsoft.com/office/word/2010/wordprocessingShape">
                    <wps:wsp>
                      <wps:cNvSpPr/>
                      <wps:spPr>
                        <a:xfrm>
                          <a:off x="0" y="0"/>
                          <a:ext cx="338455" cy="211455"/>
                        </a:xfrm>
                        <a:prstGeom prst="rightArrow">
                          <a:avLst/>
                        </a:prstGeom>
                        <a:solidFill>
                          <a:srgbClr val="5B9BD5"/>
                        </a:solidFill>
                        <a:ln w="12700" cap="flat" cmpd="sng" algn="ctr">
                          <a:solidFill>
                            <a:srgbClr val="5B9BD5">
                              <a:shade val="50000"/>
                            </a:srgbClr>
                          </a:solid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229.4pt;margin-top:22.1pt;height:16.65pt;width:26.65pt;z-index:251666432;v-text-anchor:middle;mso-width-relative:page;mso-height-relative:page;" fillcolor="#5B9BD5" filled="t" stroked="t" coordsize="21600,21600" o:gfxdata="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" adj="14853,5400">
                <v:fill on="t" focussize="0,0"/>
                <v:stroke weight="1pt" color="#41719C [3204]" miterlimit="8" joinstyle="miter"/>
                <v:imagedata o:title=""/>
                <o:lock v:ext="edit" aspectratio="f"/>
              </v:shape>
            </w:pict>
          </mc:Fallback>
        </mc:AlternateContent>
      </w:r>
      <w:r>
        <w:rPr>
          <w:rFonts w:ascii="宋体" w:hAnsi="宋体" w:eastAsia="宋体" w:cs="宋体"/>
          <w:sz w:val="24"/>
          <w:szCs w:val="24"/>
        </w:rPr>
        <mc:AlternateContent>
          <mc:Choice Requires="wps">
            <w:drawing>
              <wp:anchor distT="0" distB="0" distL="114300" distR="114300" simplePos="0" relativeHeight="251665408" behindDoc="0" locked="0" layoutInCell="1" allowOverlap="1">
                <wp:simplePos x="0" y="0"/>
                <wp:positionH relativeFrom="column">
                  <wp:posOffset>1397000</wp:posOffset>
                </wp:positionH>
                <wp:positionV relativeFrom="paragraph">
                  <wp:posOffset>235585</wp:posOffset>
                </wp:positionV>
                <wp:extent cx="338455" cy="211455"/>
                <wp:effectExtent l="6350" t="15240" r="17145" b="20955"/>
                <wp:wrapNone/>
                <wp:docPr id="63" name="右箭头 63"/>
                <wp:cNvGraphicFramePr/>
                <a:graphic xmlns:a="http://schemas.openxmlformats.org/drawingml/2006/main">
                  <a:graphicData uri="http://schemas.microsoft.com/office/word/2010/wordprocessingShape">
                    <wps:wsp>
                      <wps:cNvSpPr/>
                      <wps:spPr>
                        <a:xfrm>
                          <a:off x="1854200" y="5213985"/>
                          <a:ext cx="338455" cy="211455"/>
                        </a:xfrm>
                        <a:prstGeom prst="rightArrow">
                          <a:avLst/>
                        </a:prstGeom>
                        <a:solidFill>
                          <a:srgbClr val="5B9BD5"/>
                        </a:solidFill>
                        <a:ln w="12700" cap="flat" cmpd="sng" algn="ctr">
                          <a:solidFill>
                            <a:srgbClr val="5B9BD5">
                              <a:shade val="50000"/>
                            </a:srgbClr>
                          </a:solid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3" type="#_x0000_t13" style="position:absolute;left:0pt;margin-left:110pt;margin-top:18.55pt;height:16.65pt;width:26.65pt;z-index:251665408;v-text-anchor:middle;mso-width-relative:page;mso-height-relative:page;" fillcolor="#5B9BD5" filled="t" stroked="t" coordsize="21600,21600" o:gfxdata="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g&#10;krGo1QAAAAkBAAAPAAAAAAAAAAEAIAAAACIAAABkcnMvZG93bnJldi54bWxQSwECFAAUAAAACACH&#10;TuJAJfDPUJkCAAA5BQAADgAAAAAAAAABACAAAAAkAQAAZHJzL2Uyb0RvYy54bWxQSwUGAAAAAAYA&#10;BgBZAQAALwYAAAAA&#10;" adj="14853,5400">
                <v:fill on="t" focussize="0,0"/>
                <v:stroke weight="1pt" color="#41719C [3204]" miterlimit="8" joinstyle="miter"/>
                <v:imagedata o:title=""/>
                <o:lock v:ext="edit" aspectratio="f"/>
              </v:shape>
            </w:pict>
          </mc:Fallback>
        </mc:AlternateContent>
      </w:r>
      <w:r>
        <w:rPr>
          <w:rFonts w:ascii="宋体" w:hAnsi="宋体" w:eastAsia="宋体" w:cs="宋体"/>
          <w:sz w:val="24"/>
          <w:szCs w:val="24"/>
        </w:rPr>
        <mc:AlternateContent>
          <mc:Choice Requires="wps">
            <w:drawing>
              <wp:anchor distT="0" distB="0" distL="114300" distR="114300" simplePos="0" relativeHeight="251664384" behindDoc="0" locked="0" layoutInCell="1" allowOverlap="1">
                <wp:simplePos x="0" y="0"/>
                <wp:positionH relativeFrom="column">
                  <wp:posOffset>4847590</wp:posOffset>
                </wp:positionH>
                <wp:positionV relativeFrom="paragraph">
                  <wp:posOffset>41910</wp:posOffset>
                </wp:positionV>
                <wp:extent cx="1057275" cy="628650"/>
                <wp:effectExtent l="0" t="0" r="0" b="0"/>
                <wp:wrapNone/>
                <wp:docPr id="69" name="圆角矩形 69"/>
                <wp:cNvGraphicFramePr/>
                <a:graphic xmlns:a="http://schemas.openxmlformats.org/drawingml/2006/main">
                  <a:graphicData uri="http://schemas.microsoft.com/office/word/2010/wordprocessingShape">
                    <wps:wsp>
                      <wps:cNvSpPr/>
                      <wps:spPr>
                        <a:xfrm>
                          <a:off x="0" y="0"/>
                          <a:ext cx="1057275" cy="628650"/>
                        </a:xfrm>
                        <a:prstGeom prst="roundRect">
                          <a:avLst/>
                        </a:prstGeom>
                        <a:solidFill>
                          <a:srgbClr val="5B9BD5">
                            <a:lumMod val="40000"/>
                            <a:lumOff val="60000"/>
                          </a:srgbClr>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AF6D78A">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主排风机</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381.7pt;margin-top:3.3pt;height:49.5pt;width:83.25pt;z-index:251664384;v-text-anchor:middle;mso-width-relative:page;mso-height-relative:page;" fillcolor="#BDD7EE" filled="t" stroked="f" coordsize="21600,21600" arcsize="0.166666666666667" o:gfxdata="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Dbs66f1QAAAAkBAAAPAAAAAAAAAAEAIAAAACIAAABkcnMvZG93bnJldi54bWxQ&#10;SwECFAAUAAAACACHTuJAZLT47qUCAAAqBQAADgAAAAAAAAABACAAAAAkAQAAZHJzL2Uyb0RvYy54&#10;bWxQSwUGAAAAAAYABgBZAQAAOwYAAAAA&#10;">
                <v:fill on="t" focussize="0,0"/>
                <v:stroke on="f" weight="1pt" miterlimit="8" joinstyle="miter"/>
                <v:imagedata o:title=""/>
                <o:lock v:ext="edit" aspectratio="f"/>
                <v:textbox>
                  <w:txbxContent>
                    <w:p w14:paraId="3AF6D78A">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主排风机</w:t>
                      </w:r>
                    </w:p>
                  </w:txbxContent>
                </v:textbox>
              </v:roundrect>
            </w:pict>
          </mc:Fallback>
        </mc:AlternateContent>
      </w:r>
      <w:r>
        <w:rPr>
          <w:rFonts w:ascii="宋体" w:hAnsi="宋体" w:eastAsia="宋体" w:cs="宋体"/>
          <w:sz w:val="24"/>
          <w:szCs w:val="24"/>
        </w:rPr>
        <mc:AlternateContent>
          <mc:Choice Requires="wps">
            <w:drawing>
              <wp:anchor distT="0" distB="0" distL="114300" distR="114300" simplePos="0" relativeHeight="251663360" behindDoc="0" locked="0" layoutInCell="1" allowOverlap="1">
                <wp:simplePos x="0" y="0"/>
                <wp:positionH relativeFrom="column">
                  <wp:posOffset>3316605</wp:posOffset>
                </wp:positionH>
                <wp:positionV relativeFrom="paragraph">
                  <wp:posOffset>41910</wp:posOffset>
                </wp:positionV>
                <wp:extent cx="1057275" cy="628650"/>
                <wp:effectExtent l="0" t="0" r="0" b="0"/>
                <wp:wrapNone/>
                <wp:docPr id="70" name="圆角矩形 70"/>
                <wp:cNvGraphicFramePr/>
                <a:graphic xmlns:a="http://schemas.openxmlformats.org/drawingml/2006/main">
                  <a:graphicData uri="http://schemas.microsoft.com/office/word/2010/wordprocessingShape">
                    <wps:wsp>
                      <wps:cNvSpPr/>
                      <wps:spPr>
                        <a:xfrm>
                          <a:off x="0" y="0"/>
                          <a:ext cx="1057275" cy="628650"/>
                        </a:xfrm>
                        <a:prstGeom prst="roundRect">
                          <a:avLst/>
                        </a:prstGeom>
                        <a:solidFill>
                          <a:srgbClr val="5B9BD5">
                            <a:lumMod val="40000"/>
                            <a:lumOff val="60000"/>
                          </a:srgbClr>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2B523E4D">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炭吸附床</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61.15pt;margin-top:3.3pt;height:49.5pt;width:83.25pt;z-index:251663360;v-text-anchor:middle;mso-width-relative:page;mso-height-relative:page;" fillcolor="#BDD7EE" filled="t" stroked="f" coordsize="21600,21600" arcsize="0.166666666666667" o:gfxdata="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6WzIYdQAAAAJAQAADwAAAAAAAAABACAAAAAiAAAAZHJzL2Rvd25yZXYueG1sUEsB&#10;AhQAFAAAAAgAh07iQAy99QOkAgAAKgUAAA4AAAAAAAAAAQAgAAAAIwEAAGRycy9lMm9Eb2MueG1s&#10;UEsFBgAAAAAGAAYAWQEAADkGAAAAAA==&#10;">
                <v:fill on="t" focussize="0,0"/>
                <v:stroke on="f" weight="1pt" miterlimit="8" joinstyle="miter"/>
                <v:imagedata o:title=""/>
                <o:lock v:ext="edit" aspectratio="f"/>
                <v:textbox>
                  <w:txbxContent>
                    <w:p w14:paraId="2B523E4D">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炭吸附床</w:t>
                      </w:r>
                    </w:p>
                  </w:txbxContent>
                </v:textbox>
              </v:roundrect>
            </w:pict>
          </mc:Fallback>
        </mc:AlternateContent>
      </w:r>
      <w:r>
        <w:rPr>
          <w:rFonts w:ascii="宋体" w:hAnsi="宋体" w:eastAsia="宋体" w:cs="宋体"/>
          <w:sz w:val="24"/>
          <w:szCs w:val="24"/>
        </w:rPr>
        <mc:AlternateContent>
          <mc:Choice Requires="wps">
            <w:drawing>
              <wp:anchor distT="0" distB="0" distL="114300" distR="114300" simplePos="0" relativeHeight="251662336" behindDoc="0" locked="0" layoutInCell="1" allowOverlap="1">
                <wp:simplePos x="0" y="0"/>
                <wp:positionH relativeFrom="column">
                  <wp:posOffset>1785620</wp:posOffset>
                </wp:positionH>
                <wp:positionV relativeFrom="paragraph">
                  <wp:posOffset>41910</wp:posOffset>
                </wp:positionV>
                <wp:extent cx="1057275" cy="628650"/>
                <wp:effectExtent l="0" t="0" r="0" b="0"/>
                <wp:wrapNone/>
                <wp:docPr id="71" name="圆角矩形 71"/>
                <wp:cNvGraphicFramePr/>
                <a:graphic xmlns:a="http://schemas.openxmlformats.org/drawingml/2006/main">
                  <a:graphicData uri="http://schemas.microsoft.com/office/word/2010/wordprocessingShape">
                    <wps:wsp>
                      <wps:cNvSpPr/>
                      <wps:spPr>
                        <a:xfrm>
                          <a:off x="0" y="0"/>
                          <a:ext cx="1057275" cy="628650"/>
                        </a:xfrm>
                        <a:prstGeom prst="roundRect">
                          <a:avLst/>
                        </a:prstGeom>
                        <a:solidFill>
                          <a:srgbClr val="5B9BD5">
                            <a:lumMod val="40000"/>
                            <a:lumOff val="60000"/>
                          </a:srgbClr>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78C8EAF4">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干式除尘器</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140.6pt;margin-top:3.3pt;height:49.5pt;width:83.25pt;z-index:251662336;v-text-anchor:middle;mso-width-relative:page;mso-height-relative:page;" fillcolor="#BDD7EE" filled="t" stroked="f" coordsize="21600,21600" arcsize="0.166666666666667" o:gfxdata="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">
                <v:fill on="t" focussize="0,0"/>
                <v:stroke on="f" weight="1pt" miterlimit="8" joinstyle="miter"/>
                <v:imagedata o:title=""/>
                <o:lock v:ext="edit" aspectratio="f"/>
                <v:textbox>
                  <w:txbxContent>
                    <w:p w14:paraId="78C8EAF4">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干式除尘器</w:t>
                      </w:r>
                    </w:p>
                  </w:txbxContent>
                </v:textbox>
              </v:roundrect>
            </w:pict>
          </mc:Fallback>
        </mc:AlternateContent>
      </w:r>
      <w:r>
        <w:rPr>
          <w:rFonts w:ascii="宋体" w:hAnsi="宋体" w:eastAsia="宋体" w:cs="宋体"/>
          <w:sz w:val="24"/>
          <w:szCs w:val="24"/>
        </w:rPr>
        <mc:AlternateContent>
          <mc:Choice Requires="wps">
            <w:drawing>
              <wp:anchor distT="0" distB="0" distL="114300" distR="114300" simplePos="0" relativeHeight="251661312" behindDoc="0" locked="0" layoutInCell="1" allowOverlap="1">
                <wp:simplePos x="0" y="0"/>
                <wp:positionH relativeFrom="column">
                  <wp:posOffset>254635</wp:posOffset>
                </wp:positionH>
                <wp:positionV relativeFrom="paragraph">
                  <wp:posOffset>41910</wp:posOffset>
                </wp:positionV>
                <wp:extent cx="1057275" cy="628650"/>
                <wp:effectExtent l="0" t="0" r="0" b="0"/>
                <wp:wrapNone/>
                <wp:docPr id="73" name="圆角矩形 73"/>
                <wp:cNvGraphicFramePr/>
                <a:graphic xmlns:a="http://schemas.openxmlformats.org/drawingml/2006/main">
                  <a:graphicData uri="http://schemas.microsoft.com/office/word/2010/wordprocessingShape">
                    <wps:wsp>
                      <wps:cNvSpPr/>
                      <wps:spPr>
                        <a:xfrm>
                          <a:off x="584835" y="3679825"/>
                          <a:ext cx="1057275" cy="628650"/>
                        </a:xfrm>
                        <a:prstGeom prst="roundRect">
                          <a:avLst/>
                        </a:prstGeom>
                        <a:solidFill>
                          <a:srgbClr val="5B9BD5">
                            <a:lumMod val="40000"/>
                            <a:lumOff val="60000"/>
                          </a:srgbClr>
                        </a:solidFill>
                        <a:ln w="12700" cap="flat" cmpd="sng" algn="ctr">
                          <a:noFill/>
                          <a:prstDash val="solid"/>
                          <a:miter lim="800000"/>
                        </a:ln>
                        <a:effectLst/>
                      </wps:spPr>
                      <wps:style>
                        <a:lnRef idx="2">
                          <a:schemeClr val="accent1">
                            <a:shade val="50000"/>
                          </a:schemeClr>
                        </a:lnRef>
                        <a:fillRef idx="1">
                          <a:schemeClr val="accent1"/>
                        </a:fillRef>
                        <a:effectRef idx="0">
                          <a:schemeClr val="accent1"/>
                        </a:effectRef>
                        <a:fontRef idx="minor">
                          <a:schemeClr val="lt1"/>
                        </a:fontRef>
                      </wps:style>
                      <wps:txbx>
                        <w:txbxContent>
                          <w:p w14:paraId="38C3D367">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废气源</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_x0000_s1026" o:spid="_x0000_s1026" o:spt="2" style="position:absolute;left:0pt;margin-left:20.05pt;margin-top:3.3pt;height:49.5pt;width:83.25pt;z-index:251661312;v-text-anchor:middle;mso-width-relative:page;mso-height-relative:page;" fillcolor="#BDD7EE" filled="t" stroked="f" coordsize="21600,21600" arcsize="0.166666666666667" o:gfxdata="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">
                <v:fill on="t" focussize="0,0"/>
                <v:stroke on="f" weight="1pt" miterlimit="8" joinstyle="miter"/>
                <v:imagedata o:title=""/>
                <o:lock v:ext="edit" aspectratio="f"/>
                <v:textbox>
                  <w:txbxContent>
                    <w:p w14:paraId="38C3D367">
                      <w:pPr>
                        <w:spacing w:line="440" w:lineRule="exact"/>
                        <w:jc w:val="center"/>
                        <w:rPr>
                          <w:rFonts w:ascii="Calibri" w:hAnsi="Calibri" w:eastAsia="宋体" w:cs="宋体"/>
                          <w:color w:val="000000"/>
                          <w:sz w:val="24"/>
                          <w:szCs w:val="20"/>
                        </w:rPr>
                      </w:pPr>
                      <w:r>
                        <w:rPr>
                          <w:rFonts w:hint="eastAsia" w:ascii="Calibri" w:hAnsi="Calibri" w:eastAsia="宋体" w:cs="宋体"/>
                          <w:color w:val="000000"/>
                          <w:sz w:val="24"/>
                          <w:szCs w:val="20"/>
                        </w:rPr>
                        <w:t>废气源</w:t>
                      </w:r>
                    </w:p>
                  </w:txbxContent>
                </v:textbox>
              </v:roundrect>
            </w:pict>
          </mc:Fallback>
        </mc:AlternateContent>
      </w:r>
    </w:p>
    <w:p w14:paraId="24301E03">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lang w:val="sv-SE"/>
        </w:rPr>
      </w:pPr>
    </w:p>
    <w:p w14:paraId="2D6878D4">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lang w:val="sv-SE"/>
        </w:rPr>
      </w:pPr>
    </w:p>
    <w:p w14:paraId="11FF18E8">
      <w:pPr>
        <w:keepNext w:val="0"/>
        <w:keepLines w:val="0"/>
        <w:pageBreakBefore w:val="0"/>
        <w:widowControl w:val="0"/>
        <w:numPr>
          <w:ilvl w:val="0"/>
          <w:numId w:val="5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整套设备需要符合防爆的要求。</w:t>
      </w:r>
    </w:p>
    <w:p w14:paraId="64EABDDF">
      <w:pPr>
        <w:keepNext w:val="0"/>
        <w:keepLines w:val="0"/>
        <w:pageBreakBefore w:val="0"/>
        <w:widowControl w:val="0"/>
        <w:numPr>
          <w:ilvl w:val="0"/>
          <w:numId w:val="5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提供设计方案的同时需提供地坑的图纸，满足需方土建提资需求。</w:t>
      </w:r>
    </w:p>
    <w:p w14:paraId="73EC3269">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压力控制系统技术要求</w:t>
      </w:r>
    </w:p>
    <w:p w14:paraId="2731A34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在过滤前后设置压差报警开关，当过滤长期使用致使容尘量达到饱和、风不能正常通过时，报警器工作，提示用户需要更换过滤棉。</w:t>
      </w:r>
    </w:p>
    <w:p w14:paraId="572B8322">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轨道烤漆系统技术要求</w:t>
      </w:r>
    </w:p>
    <w:p w14:paraId="1FAD01DB">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每个封闭室体内有一套悬挂式可移动的大功率红外烤灯，装在顶部的轨道上，烤灯均能够纵向、横向、上下自由移动，而且位置可自动固定在移动位置。</w:t>
      </w:r>
    </w:p>
    <w:p w14:paraId="1694A59F">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烤灯可对车体所有外表面的补漆点进行加热烘烤，没有烘烤死角。</w:t>
      </w:r>
    </w:p>
    <w:p w14:paraId="369E633F">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每套烤灯独立控制，移动轮和轨道应是防爆的。</w:t>
      </w:r>
    </w:p>
    <w:p w14:paraId="2CCCBF4F">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烤灯灯管功率在300～1200W之间调节，轨道及固定支架为国内知名品牌产品，要求烤灯使用符合防爆要求。</w:t>
      </w:r>
    </w:p>
    <w:p w14:paraId="55543B15">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每套大功率红外灯的灯盒角度可以调节，灯盒中有3只灯管，每个灯盒可以独立的控制。</w:t>
      </w:r>
    </w:p>
    <w:p w14:paraId="5DB09223">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烘烤时间可随意设置，加热温度可任意设定在50 - 180℃，车身加热区的固化温度可由温度控制和反馈系统实时显示。温度控制精度应±3℃。</w:t>
      </w:r>
    </w:p>
    <w:p w14:paraId="56E3B158">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烤灯设备须具有助力装置便于</w:t>
      </w:r>
      <w:r>
        <w:rPr>
          <w:rFonts w:hint="eastAsia" w:ascii="Times New Roman" w:hAnsi="Times New Roman" w:eastAsia="宋体" w:cs="Times New Roman"/>
          <w:sz w:val="24"/>
          <w:lang w:eastAsia="zh-CN"/>
        </w:rPr>
        <w:t>操作者</w:t>
      </w:r>
      <w:r>
        <w:rPr>
          <w:rFonts w:ascii="Times New Roman" w:hAnsi="Times New Roman" w:eastAsia="宋体" w:cs="Times New Roman"/>
          <w:sz w:val="24"/>
        </w:rPr>
        <w:t>方便操作。烘烤设备具有自动测距装置，烤灯设备根据距离自动调节烘烤功率，是烘烤区域达到设定温度。烘烤完毕烤灯装置自动关闭烤灯。</w:t>
      </w:r>
    </w:p>
    <w:p w14:paraId="22072022">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烘烤设备内程序数目至少4个。每个烘烤程序可以分段设置温度，分段至少3段。</w:t>
      </w:r>
    </w:p>
    <w:p w14:paraId="253C62AA">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烘烤温度范围：至少180摄氏度以下可调节，烘烤时间可随意设置，车身加热区的固化温度可由温度控制和反馈系统实时显示。</w:t>
      </w:r>
    </w:p>
    <w:p w14:paraId="618A7F4D">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温度控制精度应±3℃。</w:t>
      </w:r>
    </w:p>
    <w:p w14:paraId="7E0CC8D5">
      <w:pPr>
        <w:keepNext w:val="0"/>
        <w:keepLines w:val="0"/>
        <w:pageBreakBefore w:val="0"/>
        <w:widowControl w:val="0"/>
        <w:numPr>
          <w:ilvl w:val="0"/>
          <w:numId w:val="5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烘烤升温时间至少30min以内自由设定，保温时间至少30min范围内自由设定。</w:t>
      </w:r>
    </w:p>
    <w:p w14:paraId="4A4A341E">
      <w:pPr>
        <w:keepNext w:val="0"/>
        <w:keepLines w:val="0"/>
        <w:pageBreakBefore w:val="0"/>
        <w:widowControl w:val="0"/>
        <w:numPr>
          <w:ilvl w:val="0"/>
          <w:numId w:val="56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电控系统技术要求</w:t>
      </w:r>
      <w:r>
        <w:rPr>
          <w:rFonts w:hint="eastAsia" w:ascii="Times New Roman" w:hAnsi="Times New Roman" w:eastAsia="宋体" w:cs="Times New Roman"/>
          <w:sz w:val="24"/>
          <w:lang w:eastAsia="zh-CN"/>
        </w:rPr>
        <w:t>。</w:t>
      </w:r>
    </w:p>
    <w:p w14:paraId="076DAB6C">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采用国内外先进的电子原装器件制作的智能控制箱，控制箱具有精度高、功能全、操作方便、安全可靠等特点，电控箱布置在室体外面，距离室体门口距离不小于2米。</w:t>
      </w:r>
    </w:p>
    <w:p w14:paraId="61DF6932">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点补间内设置多点可燃气体检测报警仪，其报警浓度下限值应调整在所检测的可燃气体浓度（体积）爆炸极限下线的25%</w:t>
      </w:r>
      <w:r>
        <w:rPr>
          <w:rFonts w:hint="eastAsia" w:ascii="Times New Roman" w:hAnsi="Times New Roman" w:eastAsia="宋体" w:cs="Times New Roman"/>
          <w:sz w:val="24"/>
          <w:lang w:eastAsia="zh-CN"/>
        </w:rPr>
        <w:t>。</w:t>
      </w:r>
    </w:p>
    <w:p w14:paraId="12D7BDB9">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点补间内设置3</w:t>
      </w:r>
      <w:r>
        <w:rPr>
          <w:rFonts w:hint="eastAsia" w:ascii="Times New Roman" w:hAnsi="Times New Roman" w:eastAsia="宋体" w:cs="Times New Roman"/>
          <w:sz w:val="24"/>
          <w:lang w:eastAsia="zh-CN"/>
        </w:rPr>
        <w:t>kW</w:t>
      </w:r>
      <w:r>
        <w:rPr>
          <w:rFonts w:ascii="Times New Roman" w:hAnsi="Times New Roman" w:eastAsia="宋体" w:cs="Times New Roman"/>
          <w:sz w:val="24"/>
        </w:rPr>
        <w:t>，220V和380V维修防爆插座各两个，左右对称布置，插座及连接线要求防爆。</w:t>
      </w:r>
    </w:p>
    <w:p w14:paraId="60887420">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点补间内所有金属制件，应有可靠的电气接地。</w:t>
      </w:r>
    </w:p>
    <w:p w14:paraId="686F3A24">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室体内的所有装置要考虑防爆。</w:t>
      </w:r>
    </w:p>
    <w:p w14:paraId="24A622F4">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室内左右两侧各设一个压缩空气输出端。</w:t>
      </w:r>
    </w:p>
    <w:p w14:paraId="45F32FB3">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输出端需包括压缩空气三联件，保证压缩空气质量。</w:t>
      </w:r>
    </w:p>
    <w:p w14:paraId="6AFB674A">
      <w:pPr>
        <w:keepNext w:val="0"/>
        <w:keepLines w:val="0"/>
        <w:pageBreakBefore w:val="0"/>
        <w:widowControl w:val="0"/>
        <w:numPr>
          <w:ilvl w:val="0"/>
          <w:numId w:val="5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宋体" w:hAnsi="宋体" w:eastAsia="宋体" w:cs="宋体"/>
          <w:b/>
          <w:szCs w:val="20"/>
        </w:rPr>
      </w:pPr>
      <w:r>
        <w:rPr>
          <w:rFonts w:ascii="Times New Roman" w:hAnsi="Times New Roman" w:eastAsia="宋体" w:cs="Times New Roman"/>
          <w:sz w:val="24"/>
        </w:rPr>
        <w:t>输出端带压缩空气快接头，接口有球阀，确保使用方便。</w:t>
      </w:r>
    </w:p>
    <w:p w14:paraId="710FCAC8">
      <w:pPr>
        <w:keepNext w:val="0"/>
        <w:keepLines w:val="0"/>
        <w:pageBreakBefore w:val="0"/>
        <w:widowControl w:val="0"/>
        <w:numPr>
          <w:ilvl w:val="0"/>
          <w:numId w:val="45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举升机设备技术要求</w:t>
      </w:r>
    </w:p>
    <w:p w14:paraId="4B883704">
      <w:pPr>
        <w:keepNext w:val="0"/>
        <w:keepLines w:val="0"/>
        <w:pageBreakBefore w:val="0"/>
        <w:widowControl w:val="0"/>
        <w:numPr>
          <w:ilvl w:val="0"/>
          <w:numId w:val="564"/>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0"/>
        <w:gridCol w:w="2482"/>
        <w:gridCol w:w="1232"/>
        <w:gridCol w:w="4888"/>
      </w:tblGrid>
      <w:tr w14:paraId="2A10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vAlign w:val="center"/>
          </w:tcPr>
          <w:p w14:paraId="012513F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285" w:type="pct"/>
            <w:vAlign w:val="center"/>
          </w:tcPr>
          <w:p w14:paraId="4A59E3B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638" w:type="pct"/>
            <w:vAlign w:val="center"/>
          </w:tcPr>
          <w:p w14:paraId="4747FB8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2531" w:type="pct"/>
            <w:vAlign w:val="center"/>
          </w:tcPr>
          <w:p w14:paraId="75E3F8D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3042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4" w:type="pct"/>
            <w:vAlign w:val="center"/>
          </w:tcPr>
          <w:p w14:paraId="76DCCD5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285" w:type="pct"/>
            <w:vAlign w:val="center"/>
          </w:tcPr>
          <w:p w14:paraId="399D4EE6">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eastAsia="zh-CN"/>
              </w:rPr>
            </w:pPr>
            <w:r>
              <w:rPr>
                <w:rFonts w:hint="eastAsia" w:ascii="宋体" w:hAnsi="宋体" w:cs="宋体"/>
                <w:sz w:val="24"/>
                <w:szCs w:val="24"/>
                <w:lang w:val="en-US" w:eastAsia="zh-CN"/>
              </w:rPr>
              <w:t>举升机</w:t>
            </w:r>
          </w:p>
        </w:tc>
        <w:tc>
          <w:tcPr>
            <w:tcW w:w="638" w:type="pct"/>
            <w:vAlign w:val="center"/>
          </w:tcPr>
          <w:p w14:paraId="6EF64F8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6</w:t>
            </w:r>
            <w:r>
              <w:rPr>
                <w:rFonts w:hint="eastAsia" w:ascii="宋体" w:hAnsi="宋体" w:eastAsia="宋体" w:cs="宋体"/>
                <w:sz w:val="24"/>
                <w:szCs w:val="24"/>
              </w:rPr>
              <w:t>套</w:t>
            </w:r>
          </w:p>
        </w:tc>
        <w:tc>
          <w:tcPr>
            <w:tcW w:w="2531" w:type="pct"/>
            <w:vAlign w:val="center"/>
          </w:tcPr>
          <w:p w14:paraId="5BBB95D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21B42822">
      <w:pPr>
        <w:keepNext w:val="0"/>
        <w:keepLines w:val="0"/>
        <w:pageBreakBefore w:val="0"/>
        <w:widowControl w:val="0"/>
        <w:numPr>
          <w:ilvl w:val="0"/>
          <w:numId w:val="56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工艺要求</w:t>
      </w:r>
    </w:p>
    <w:p w14:paraId="7BF750D7">
      <w:pPr>
        <w:keepNext w:val="0"/>
        <w:keepLines w:val="0"/>
        <w:pageBreakBefore w:val="0"/>
        <w:widowControl w:val="0"/>
        <w:numPr>
          <w:ilvl w:val="0"/>
          <w:numId w:val="56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工位布置</w:t>
      </w:r>
    </w:p>
    <w:p w14:paraId="30DD05A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布置在返修区</w:t>
      </w:r>
    </w:p>
    <w:p w14:paraId="58A9BC89">
      <w:pPr>
        <w:keepNext w:val="0"/>
        <w:keepLines w:val="0"/>
        <w:pageBreakBefore w:val="0"/>
        <w:widowControl w:val="0"/>
        <w:numPr>
          <w:ilvl w:val="0"/>
          <w:numId w:val="56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技术参数</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7"/>
        <w:gridCol w:w="1255"/>
        <w:gridCol w:w="1064"/>
        <w:gridCol w:w="1830"/>
        <w:gridCol w:w="1290"/>
        <w:gridCol w:w="720"/>
        <w:gridCol w:w="755"/>
        <w:gridCol w:w="1477"/>
      </w:tblGrid>
      <w:tr w14:paraId="787D5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651" w:type="pct"/>
            <w:vMerge w:val="restart"/>
            <w:noWrap w:val="0"/>
            <w:vAlign w:val="center"/>
          </w:tcPr>
          <w:p w14:paraId="40648144">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额定举升质量(Kg)</w:t>
            </w:r>
          </w:p>
        </w:tc>
        <w:tc>
          <w:tcPr>
            <w:tcW w:w="650" w:type="pct"/>
            <w:vMerge w:val="restart"/>
            <w:noWrap w:val="0"/>
            <w:vAlign w:val="center"/>
          </w:tcPr>
          <w:p w14:paraId="4D2100E0">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最大举升高度(mm)</w:t>
            </w:r>
          </w:p>
        </w:tc>
        <w:tc>
          <w:tcPr>
            <w:tcW w:w="551" w:type="pct"/>
            <w:vMerge w:val="restart"/>
            <w:noWrap w:val="0"/>
            <w:vAlign w:val="center"/>
          </w:tcPr>
          <w:p w14:paraId="026075E2">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可通过宽度(mm)</w:t>
            </w:r>
          </w:p>
        </w:tc>
        <w:tc>
          <w:tcPr>
            <w:tcW w:w="948" w:type="pct"/>
            <w:vMerge w:val="restart"/>
            <w:noWrap w:val="0"/>
            <w:vAlign w:val="center"/>
          </w:tcPr>
          <w:p w14:paraId="7E92E749">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最低支承面距地面距离(mm)</w:t>
            </w:r>
          </w:p>
        </w:tc>
        <w:tc>
          <w:tcPr>
            <w:tcW w:w="668" w:type="pct"/>
            <w:vMerge w:val="restart"/>
            <w:noWrap w:val="0"/>
            <w:vAlign w:val="center"/>
          </w:tcPr>
          <w:p w14:paraId="5A799130">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托臂回转角度(°)</w:t>
            </w:r>
          </w:p>
        </w:tc>
        <w:tc>
          <w:tcPr>
            <w:tcW w:w="764" w:type="pct"/>
            <w:gridSpan w:val="2"/>
            <w:noWrap w:val="0"/>
            <w:vAlign w:val="center"/>
          </w:tcPr>
          <w:p w14:paraId="7AA890AF">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全行程升降时间(s)</w:t>
            </w:r>
          </w:p>
        </w:tc>
        <w:tc>
          <w:tcPr>
            <w:tcW w:w="765" w:type="pct"/>
            <w:vMerge w:val="restart"/>
            <w:noWrap w:val="0"/>
            <w:vAlign w:val="center"/>
          </w:tcPr>
          <w:p w14:paraId="5986FEF5">
            <w:pPr>
              <w:widowControl/>
              <w:spacing w:line="240" w:lineRule="auto"/>
              <w:jc w:val="center"/>
              <w:rPr>
                <w:rFonts w:hint="default" w:ascii="宋体" w:hAnsi="宋体" w:eastAsia="宋体" w:cs="宋体"/>
                <w:bCs/>
                <w:color w:val="000000"/>
                <w:kern w:val="0"/>
                <w:sz w:val="24"/>
                <w:szCs w:val="24"/>
                <w:lang w:val="en-US" w:eastAsia="zh-CN"/>
              </w:rPr>
            </w:pPr>
            <w:r>
              <w:rPr>
                <w:rFonts w:hint="eastAsia" w:ascii="宋体" w:hAnsi="宋体" w:cs="宋体"/>
                <w:bCs/>
                <w:color w:val="000000"/>
                <w:kern w:val="0"/>
                <w:sz w:val="24"/>
                <w:szCs w:val="24"/>
                <w:lang w:val="en-US" w:eastAsia="zh-CN"/>
              </w:rPr>
              <w:t>满足前后桥、电池包底盘件等更换</w:t>
            </w:r>
          </w:p>
        </w:tc>
      </w:tr>
      <w:tr w14:paraId="740BF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651" w:type="pct"/>
            <w:vMerge w:val="continue"/>
            <w:noWrap w:val="0"/>
            <w:vAlign w:val="center"/>
          </w:tcPr>
          <w:p w14:paraId="4747D13B">
            <w:pPr>
              <w:widowControl/>
              <w:spacing w:line="240" w:lineRule="auto"/>
              <w:jc w:val="center"/>
              <w:rPr>
                <w:rFonts w:hint="eastAsia" w:ascii="宋体" w:hAnsi="宋体" w:eastAsia="宋体" w:cs="宋体"/>
                <w:bCs/>
                <w:color w:val="000000"/>
                <w:kern w:val="0"/>
                <w:sz w:val="24"/>
                <w:szCs w:val="24"/>
              </w:rPr>
            </w:pPr>
          </w:p>
        </w:tc>
        <w:tc>
          <w:tcPr>
            <w:tcW w:w="650" w:type="pct"/>
            <w:vMerge w:val="continue"/>
            <w:noWrap w:val="0"/>
            <w:vAlign w:val="center"/>
          </w:tcPr>
          <w:p w14:paraId="7A6BE3CE">
            <w:pPr>
              <w:widowControl/>
              <w:spacing w:line="240" w:lineRule="auto"/>
              <w:jc w:val="center"/>
              <w:rPr>
                <w:rFonts w:hint="eastAsia" w:ascii="宋体" w:hAnsi="宋体" w:eastAsia="宋体" w:cs="宋体"/>
                <w:bCs/>
                <w:color w:val="000000"/>
                <w:kern w:val="0"/>
                <w:sz w:val="24"/>
                <w:szCs w:val="24"/>
              </w:rPr>
            </w:pPr>
          </w:p>
        </w:tc>
        <w:tc>
          <w:tcPr>
            <w:tcW w:w="551" w:type="pct"/>
            <w:vMerge w:val="continue"/>
            <w:noWrap w:val="0"/>
            <w:vAlign w:val="center"/>
          </w:tcPr>
          <w:p w14:paraId="5B9134CE">
            <w:pPr>
              <w:widowControl/>
              <w:spacing w:line="240" w:lineRule="auto"/>
              <w:jc w:val="center"/>
              <w:rPr>
                <w:rFonts w:hint="eastAsia" w:ascii="宋体" w:hAnsi="宋体" w:eastAsia="宋体" w:cs="宋体"/>
                <w:bCs/>
                <w:color w:val="000000"/>
                <w:kern w:val="0"/>
                <w:sz w:val="24"/>
                <w:szCs w:val="24"/>
              </w:rPr>
            </w:pPr>
          </w:p>
        </w:tc>
        <w:tc>
          <w:tcPr>
            <w:tcW w:w="948" w:type="pct"/>
            <w:vMerge w:val="continue"/>
            <w:noWrap w:val="0"/>
            <w:vAlign w:val="center"/>
          </w:tcPr>
          <w:p w14:paraId="40F15F0E">
            <w:pPr>
              <w:widowControl/>
              <w:spacing w:line="240" w:lineRule="auto"/>
              <w:jc w:val="center"/>
              <w:rPr>
                <w:rFonts w:hint="eastAsia" w:ascii="宋体" w:hAnsi="宋体" w:eastAsia="宋体" w:cs="宋体"/>
                <w:bCs/>
                <w:color w:val="000000"/>
                <w:kern w:val="0"/>
                <w:sz w:val="24"/>
                <w:szCs w:val="24"/>
              </w:rPr>
            </w:pPr>
          </w:p>
        </w:tc>
        <w:tc>
          <w:tcPr>
            <w:tcW w:w="668" w:type="pct"/>
            <w:vMerge w:val="continue"/>
            <w:noWrap w:val="0"/>
            <w:vAlign w:val="center"/>
          </w:tcPr>
          <w:p w14:paraId="2520D22A">
            <w:pPr>
              <w:widowControl/>
              <w:spacing w:line="240" w:lineRule="auto"/>
              <w:jc w:val="center"/>
              <w:rPr>
                <w:rFonts w:hint="eastAsia" w:ascii="宋体" w:hAnsi="宋体" w:eastAsia="宋体" w:cs="宋体"/>
                <w:bCs/>
                <w:color w:val="000000"/>
                <w:kern w:val="0"/>
                <w:sz w:val="24"/>
                <w:szCs w:val="24"/>
              </w:rPr>
            </w:pPr>
          </w:p>
        </w:tc>
        <w:tc>
          <w:tcPr>
            <w:tcW w:w="373" w:type="pct"/>
            <w:noWrap w:val="0"/>
            <w:vAlign w:val="center"/>
          </w:tcPr>
          <w:p w14:paraId="1100C86D">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升</w:t>
            </w:r>
          </w:p>
        </w:tc>
        <w:tc>
          <w:tcPr>
            <w:tcW w:w="391" w:type="pct"/>
            <w:noWrap w:val="0"/>
            <w:vAlign w:val="center"/>
          </w:tcPr>
          <w:p w14:paraId="1A577622">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降</w:t>
            </w:r>
          </w:p>
        </w:tc>
        <w:tc>
          <w:tcPr>
            <w:tcW w:w="765" w:type="pct"/>
            <w:vMerge w:val="continue"/>
            <w:noWrap w:val="0"/>
            <w:vAlign w:val="center"/>
          </w:tcPr>
          <w:p w14:paraId="64D05E86">
            <w:pPr>
              <w:widowControl/>
              <w:spacing w:line="240" w:lineRule="auto"/>
              <w:jc w:val="center"/>
              <w:rPr>
                <w:rFonts w:hint="eastAsia" w:ascii="宋体" w:hAnsi="宋体" w:eastAsia="宋体" w:cs="宋体"/>
                <w:bCs/>
                <w:color w:val="000000"/>
                <w:kern w:val="0"/>
                <w:sz w:val="24"/>
                <w:szCs w:val="24"/>
              </w:rPr>
            </w:pPr>
          </w:p>
        </w:tc>
      </w:tr>
      <w:tr w14:paraId="0180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651" w:type="pct"/>
            <w:noWrap w:val="0"/>
            <w:vAlign w:val="center"/>
          </w:tcPr>
          <w:p w14:paraId="113A66E4">
            <w:pPr>
              <w:widowControl/>
              <w:spacing w:line="240" w:lineRule="auto"/>
              <w:jc w:val="center"/>
              <w:rPr>
                <w:rFonts w:hint="default" w:ascii="宋体" w:hAnsi="宋体" w:eastAsia="宋体" w:cs="宋体"/>
                <w:bCs/>
                <w:color w:val="000000"/>
                <w:kern w:val="0"/>
                <w:sz w:val="24"/>
                <w:szCs w:val="24"/>
                <w:lang w:val="en-US" w:eastAsia="zh-CN"/>
              </w:rPr>
            </w:pPr>
            <w:r>
              <w:rPr>
                <w:rFonts w:hint="eastAsia" w:ascii="宋体" w:hAnsi="宋体" w:cs="宋体"/>
                <w:bCs/>
                <w:color w:val="000000"/>
                <w:kern w:val="0"/>
                <w:sz w:val="24"/>
                <w:szCs w:val="24"/>
                <w:lang w:val="en-US" w:eastAsia="zh-CN"/>
              </w:rPr>
              <w:t>5.5</w:t>
            </w:r>
          </w:p>
        </w:tc>
        <w:tc>
          <w:tcPr>
            <w:tcW w:w="650" w:type="pct"/>
            <w:noWrap w:val="0"/>
            <w:vAlign w:val="center"/>
          </w:tcPr>
          <w:p w14:paraId="4B739C81">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≤1850</w:t>
            </w:r>
          </w:p>
        </w:tc>
        <w:tc>
          <w:tcPr>
            <w:tcW w:w="551" w:type="pct"/>
            <w:noWrap w:val="0"/>
            <w:vAlign w:val="center"/>
          </w:tcPr>
          <w:p w14:paraId="3BBEBF63">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≤2920</w:t>
            </w:r>
          </w:p>
        </w:tc>
        <w:tc>
          <w:tcPr>
            <w:tcW w:w="948" w:type="pct"/>
            <w:noWrap w:val="0"/>
            <w:vAlign w:val="center"/>
          </w:tcPr>
          <w:p w14:paraId="30AAE930">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100</w:t>
            </w:r>
          </w:p>
        </w:tc>
        <w:tc>
          <w:tcPr>
            <w:tcW w:w="668" w:type="pct"/>
            <w:noWrap w:val="0"/>
            <w:vAlign w:val="center"/>
          </w:tcPr>
          <w:p w14:paraId="39D7B2B0">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≥90</w:t>
            </w:r>
          </w:p>
        </w:tc>
        <w:tc>
          <w:tcPr>
            <w:tcW w:w="373" w:type="pct"/>
            <w:noWrap w:val="0"/>
            <w:vAlign w:val="center"/>
          </w:tcPr>
          <w:p w14:paraId="4896E9CB">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≤60</w:t>
            </w:r>
          </w:p>
        </w:tc>
        <w:tc>
          <w:tcPr>
            <w:tcW w:w="391" w:type="pct"/>
            <w:noWrap w:val="0"/>
            <w:vAlign w:val="center"/>
          </w:tcPr>
          <w:p w14:paraId="6691A50D">
            <w:pPr>
              <w:widowControl/>
              <w:spacing w:line="240" w:lineRule="auto"/>
              <w:jc w:val="center"/>
              <w:rPr>
                <w:rFonts w:hint="eastAsia" w:ascii="宋体" w:hAnsi="宋体" w:eastAsia="宋体" w:cs="宋体"/>
                <w:bCs/>
                <w:color w:val="000000"/>
                <w:kern w:val="0"/>
                <w:sz w:val="24"/>
                <w:szCs w:val="24"/>
              </w:rPr>
            </w:pPr>
            <w:r>
              <w:rPr>
                <w:rFonts w:hint="eastAsia" w:ascii="宋体" w:hAnsi="宋体" w:eastAsia="宋体" w:cs="宋体"/>
                <w:bCs/>
                <w:color w:val="000000"/>
                <w:kern w:val="0"/>
                <w:sz w:val="24"/>
                <w:szCs w:val="24"/>
              </w:rPr>
              <w:t>≤30</w:t>
            </w:r>
          </w:p>
        </w:tc>
        <w:tc>
          <w:tcPr>
            <w:tcW w:w="765" w:type="pct"/>
            <w:vMerge w:val="continue"/>
            <w:noWrap w:val="0"/>
            <w:vAlign w:val="center"/>
          </w:tcPr>
          <w:p w14:paraId="45396D25">
            <w:pPr>
              <w:widowControl/>
              <w:spacing w:line="240" w:lineRule="auto"/>
              <w:jc w:val="center"/>
              <w:rPr>
                <w:rFonts w:hint="eastAsia" w:ascii="宋体" w:hAnsi="宋体" w:eastAsia="宋体" w:cs="宋体"/>
                <w:bCs/>
                <w:color w:val="000000"/>
                <w:kern w:val="0"/>
                <w:sz w:val="24"/>
                <w:szCs w:val="24"/>
              </w:rPr>
            </w:pPr>
          </w:p>
        </w:tc>
      </w:tr>
    </w:tbl>
    <w:p w14:paraId="3153CFEA">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Autospacing="0" w:afterAutospacing="0" w:line="360" w:lineRule="auto"/>
        <w:jc w:val="left"/>
        <w:textAlignment w:val="auto"/>
        <w:outlineLvl w:val="4"/>
        <w:rPr>
          <w:rFonts w:ascii="Times New Roman" w:hAnsi="Times New Roman" w:eastAsia="宋体" w:cs="Times New Roman"/>
          <w:b w:val="0"/>
          <w:sz w:val="24"/>
        </w:rPr>
      </w:pPr>
    </w:p>
    <w:p w14:paraId="334D9DE6">
      <w:pPr>
        <w:keepNext w:val="0"/>
        <w:keepLines w:val="0"/>
        <w:pageBreakBefore w:val="0"/>
        <w:widowControl w:val="0"/>
        <w:numPr>
          <w:ilvl w:val="0"/>
          <w:numId w:val="564"/>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设备要求：</w:t>
      </w:r>
    </w:p>
    <w:p w14:paraId="231EEEDC">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液压系统设计、安装应符合GB/T3766的有关规定，油管（耐高压管路）及管接头处联接尺寸应符合GB/T3765及GB/T5653的规定</w:t>
      </w:r>
      <w:r>
        <w:rPr>
          <w:rFonts w:hint="eastAsia" w:cs="Times New Roman"/>
          <w:b w:val="0"/>
          <w:bCs/>
          <w:sz w:val="24"/>
          <w:lang w:eastAsia="zh-CN"/>
        </w:rPr>
        <w:t>。</w:t>
      </w:r>
    </w:p>
    <w:p w14:paraId="58C5C1FB">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采用线接触钢丝绳，符合GB/T8918及GB/T5972的规定或更高品质，安全系数应为最大静拉力的7倍以上</w:t>
      </w:r>
      <w:r>
        <w:rPr>
          <w:rFonts w:hint="eastAsia" w:cs="Times New Roman"/>
          <w:b w:val="0"/>
          <w:bCs/>
          <w:sz w:val="24"/>
          <w:lang w:eastAsia="zh-CN"/>
        </w:rPr>
        <w:t>。</w:t>
      </w:r>
    </w:p>
    <w:p w14:paraId="20B256BB">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钢丝绳端及钢丝绳端固定装置的破断拉力值应为最大静拉力的7倍以上</w:t>
      </w:r>
      <w:r>
        <w:rPr>
          <w:rFonts w:hint="eastAsia" w:cs="Times New Roman"/>
          <w:b w:val="0"/>
          <w:bCs/>
          <w:sz w:val="24"/>
          <w:lang w:eastAsia="zh-CN"/>
        </w:rPr>
        <w:t>。</w:t>
      </w:r>
    </w:p>
    <w:p w14:paraId="07D59B16">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链条应符合GB/T6074的规定或品质在同等标准以上的制品，其安全系数应为最大静拉力的5倍以上</w:t>
      </w:r>
      <w:r>
        <w:rPr>
          <w:rFonts w:hint="eastAsia" w:cs="Times New Roman"/>
          <w:b w:val="0"/>
          <w:bCs/>
          <w:sz w:val="24"/>
          <w:lang w:eastAsia="zh-CN"/>
        </w:rPr>
        <w:t>。</w:t>
      </w:r>
    </w:p>
    <w:p w14:paraId="30B63B64">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滑轮直径与钢丝绳直径的比值应大于18，且设备配备防止钢丝绳跳出绳槽的装置。</w:t>
      </w:r>
    </w:p>
    <w:p w14:paraId="34485D65">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设备结构件承载受力部位及立柱底部四周应按GB/T3323的要求进行照相探伤检查，在设备到货时，随机提交此检查报告</w:t>
      </w:r>
      <w:r>
        <w:rPr>
          <w:rFonts w:hint="eastAsia" w:cs="Times New Roman"/>
          <w:b w:val="0"/>
          <w:bCs/>
          <w:sz w:val="24"/>
          <w:lang w:eastAsia="zh-CN"/>
        </w:rPr>
        <w:t>。</w:t>
      </w:r>
    </w:p>
    <w:p w14:paraId="5D3BCA59">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设备举升、下降运行平稳，且具有机械锁死，防止高空坠落安全保障措施</w:t>
      </w:r>
      <w:r>
        <w:rPr>
          <w:rFonts w:hint="eastAsia" w:cs="Times New Roman"/>
          <w:b w:val="0"/>
          <w:bCs/>
          <w:sz w:val="24"/>
          <w:lang w:eastAsia="zh-CN"/>
        </w:rPr>
        <w:t>。</w:t>
      </w:r>
    </w:p>
    <w:p w14:paraId="3868983C">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根据举升电机功率大小，自行配置断路器单独控制</w:t>
      </w:r>
      <w:r>
        <w:rPr>
          <w:rFonts w:hint="eastAsia" w:cs="Times New Roman"/>
          <w:b w:val="0"/>
          <w:bCs/>
          <w:sz w:val="24"/>
          <w:lang w:eastAsia="zh-CN"/>
        </w:rPr>
        <w:t>。</w:t>
      </w:r>
    </w:p>
    <w:p w14:paraId="15AD974B">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按钮、导线的颜色应符合GB/T2681、GB/T2682的规定</w:t>
      </w:r>
      <w:r>
        <w:rPr>
          <w:rFonts w:hint="eastAsia" w:cs="Times New Roman"/>
          <w:b w:val="0"/>
          <w:bCs/>
          <w:sz w:val="24"/>
          <w:lang w:eastAsia="zh-CN"/>
        </w:rPr>
        <w:t>。</w:t>
      </w:r>
    </w:p>
    <w:p w14:paraId="1FAB3BAF">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ascii="Times New Roman" w:hAnsi="Times New Roman" w:eastAsia="宋体" w:cs="Times New Roman"/>
          <w:b w:val="0"/>
          <w:bCs/>
          <w:sz w:val="24"/>
        </w:rPr>
        <w:t>储油罐采用碳钢金属材质，且能够目视观察油罐油液位</w:t>
      </w:r>
      <w:r>
        <w:rPr>
          <w:rFonts w:hint="eastAsia" w:ascii="Times New Roman" w:hAnsi="Times New Roman" w:eastAsia="宋体" w:cs="Times New Roman"/>
          <w:b w:val="0"/>
          <w:bCs/>
          <w:sz w:val="24"/>
        </w:rPr>
        <w:t>，安装高度（</w:t>
      </w:r>
      <w:r>
        <w:rPr>
          <w:rFonts w:ascii="Times New Roman" w:hAnsi="Times New Roman" w:eastAsia="宋体" w:cs="Times New Roman"/>
          <w:b w:val="0"/>
          <w:bCs/>
          <w:sz w:val="24"/>
        </w:rPr>
        <w:t>不</w:t>
      </w:r>
      <w:r>
        <w:rPr>
          <w:rFonts w:hint="eastAsia" w:ascii="Times New Roman" w:hAnsi="Times New Roman" w:eastAsia="宋体" w:cs="Times New Roman"/>
          <w:b w:val="0"/>
          <w:bCs/>
          <w:sz w:val="24"/>
        </w:rPr>
        <w:t>能</w:t>
      </w:r>
      <w:r>
        <w:rPr>
          <w:rFonts w:ascii="Times New Roman" w:hAnsi="Times New Roman" w:eastAsia="宋体" w:cs="Times New Roman"/>
          <w:b w:val="0"/>
          <w:bCs/>
          <w:sz w:val="24"/>
        </w:rPr>
        <w:t>低于</w:t>
      </w:r>
      <w:r>
        <w:rPr>
          <w:rFonts w:hint="eastAsia" w:ascii="Times New Roman" w:hAnsi="Times New Roman" w:eastAsia="宋体" w:cs="Times New Roman"/>
          <w:b w:val="0"/>
          <w:bCs/>
          <w:sz w:val="24"/>
        </w:rPr>
        <w:t>整车</w:t>
      </w:r>
      <w:r>
        <w:rPr>
          <w:rFonts w:ascii="Times New Roman" w:hAnsi="Times New Roman" w:eastAsia="宋体" w:cs="Times New Roman"/>
          <w:b w:val="0"/>
          <w:bCs/>
          <w:sz w:val="24"/>
        </w:rPr>
        <w:t>高度</w:t>
      </w:r>
      <w:r>
        <w:rPr>
          <w:rFonts w:hint="eastAsia" w:ascii="Times New Roman" w:hAnsi="Times New Roman" w:eastAsia="宋体" w:cs="Times New Roman"/>
          <w:b w:val="0"/>
          <w:bCs/>
          <w:sz w:val="24"/>
        </w:rPr>
        <w:t>，具体图纸会签时确认）需便于使用和维护</w:t>
      </w:r>
      <w:r>
        <w:rPr>
          <w:rFonts w:hint="eastAsia" w:cs="Times New Roman"/>
          <w:b w:val="0"/>
          <w:bCs/>
          <w:sz w:val="24"/>
          <w:lang w:eastAsia="zh-CN"/>
        </w:rPr>
        <w:t>。</w:t>
      </w:r>
    </w:p>
    <w:p w14:paraId="39E5557E">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核心元器件，如电机等，必须为进口，保证产品质量可靠</w:t>
      </w:r>
      <w:r>
        <w:rPr>
          <w:rFonts w:hint="eastAsia" w:cs="Times New Roman"/>
          <w:b w:val="0"/>
          <w:bCs/>
          <w:sz w:val="24"/>
          <w:lang w:eastAsia="zh-CN"/>
        </w:rPr>
        <w:t>。</w:t>
      </w:r>
    </w:p>
    <w:p w14:paraId="249886DF">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配备安全防护架，防护架最大承载为</w:t>
      </w:r>
      <w:r>
        <w:rPr>
          <w:rFonts w:hint="eastAsia" w:cs="Times New Roman"/>
          <w:b w:val="0"/>
          <w:bCs/>
          <w:sz w:val="24"/>
          <w:lang w:val="en-US" w:eastAsia="zh-CN"/>
        </w:rPr>
        <w:t>4</w:t>
      </w:r>
      <w:r>
        <w:rPr>
          <w:rFonts w:hint="eastAsia" w:ascii="Times New Roman" w:hAnsi="Times New Roman" w:eastAsia="宋体" w:cs="Times New Roman"/>
          <w:b w:val="0"/>
          <w:bCs/>
          <w:sz w:val="24"/>
        </w:rPr>
        <w:t>000Kg，防护架高度为1600mm，宽度2000mm，上部600mm采用边长40mm，壁厚4mm方钢，下部1000mm采用边长45mm，壁厚5mm方钢，防护架可上下调节，每个防护架安装4个360°旋转全刹轮</w:t>
      </w:r>
      <w:r>
        <w:rPr>
          <w:rFonts w:hint="eastAsia" w:cs="Times New Roman"/>
          <w:b w:val="0"/>
          <w:bCs/>
          <w:sz w:val="24"/>
          <w:lang w:eastAsia="zh-CN"/>
        </w:rPr>
        <w:t>。</w:t>
      </w:r>
    </w:p>
    <w:p w14:paraId="58493E4E">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设备采用一节连接立柱销的固定臂和二节伸缩臂配置（合计三节）</w:t>
      </w:r>
      <w:r>
        <w:rPr>
          <w:rFonts w:hint="eastAsia" w:cs="Times New Roman"/>
          <w:b w:val="0"/>
          <w:bCs/>
          <w:sz w:val="24"/>
          <w:lang w:eastAsia="zh-CN"/>
        </w:rPr>
        <w:t>。</w:t>
      </w:r>
    </w:p>
    <w:p w14:paraId="4DF1EA7C">
      <w:pPr>
        <w:keepNext w:val="0"/>
        <w:keepLines w:val="0"/>
        <w:pageBreakBefore w:val="0"/>
        <w:widowControl w:val="0"/>
        <w:numPr>
          <w:ilvl w:val="0"/>
          <w:numId w:val="566"/>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每台举升机设备需另配8块防断裂橡胶垫备用</w:t>
      </w:r>
      <w:r>
        <w:rPr>
          <w:rFonts w:hint="eastAsia" w:cs="Times New Roman"/>
          <w:b w:val="0"/>
          <w:bCs/>
          <w:sz w:val="24"/>
          <w:lang w:eastAsia="zh-CN"/>
        </w:rPr>
        <w:t>。</w:t>
      </w:r>
    </w:p>
    <w:p w14:paraId="01AA6FD7">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Autospacing="0" w:afterAutospacing="0" w:line="360" w:lineRule="auto"/>
        <w:ind w:left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参考图如下：</w:t>
      </w:r>
    </w:p>
    <w:p w14:paraId="1A0B26D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Autospacing="0" w:afterAutospacing="0" w:line="360" w:lineRule="auto"/>
        <w:ind w:leftChars="0"/>
        <w:jc w:val="center"/>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drawing>
          <wp:inline distT="0" distB="0" distL="114300" distR="114300">
            <wp:extent cx="2626995" cy="1657350"/>
            <wp:effectExtent l="0" t="0" r="1905" b="0"/>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57"/>
                    <a:stretch>
                      <a:fillRect/>
                    </a:stretch>
                  </pic:blipFill>
                  <pic:spPr>
                    <a:xfrm>
                      <a:off x="0" y="0"/>
                      <a:ext cx="2626995" cy="1657350"/>
                    </a:xfrm>
                    <a:prstGeom prst="rect">
                      <a:avLst/>
                    </a:prstGeom>
                    <a:noFill/>
                    <a:ln>
                      <a:noFill/>
                    </a:ln>
                  </pic:spPr>
                </pic:pic>
              </a:graphicData>
            </a:graphic>
          </wp:inline>
        </w:drawing>
      </w:r>
    </w:p>
    <w:p w14:paraId="177892C5">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Autospacing="0" w:afterAutospacing="0" w:line="360" w:lineRule="auto"/>
        <w:ind w:leftChars="0"/>
        <w:textAlignment w:val="auto"/>
        <w:outlineLvl w:val="3"/>
        <w:rPr>
          <w:rFonts w:hint="eastAsia" w:ascii="Times New Roman" w:hAnsi="Times New Roman" w:eastAsia="宋体" w:cs="Times New Roman"/>
          <w:b w:val="0"/>
          <w:bCs/>
          <w:sz w:val="24"/>
        </w:rPr>
      </w:pPr>
    </w:p>
    <w:p w14:paraId="6E5E3C9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Autospacing="0" w:afterAutospacing="0" w:line="360" w:lineRule="auto"/>
        <w:ind w:leftChars="0"/>
        <w:textAlignment w:val="auto"/>
        <w:outlineLvl w:val="3"/>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rPr>
        <w:t>整机性能</w:t>
      </w:r>
      <w:r>
        <w:rPr>
          <w:rFonts w:hint="eastAsia" w:cs="Times New Roman"/>
          <w:b w:val="0"/>
          <w:bCs/>
          <w:sz w:val="24"/>
          <w:lang w:eastAsia="zh-CN"/>
        </w:rPr>
        <w:t>：</w:t>
      </w:r>
    </w:p>
    <w:p w14:paraId="1EFEC024">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设备应配备保持左右同步升降的装置，在升降的有效工作行程范围内,左右托臂分别上升或下降的距离，在30秒内差别不大于9mm</w:t>
      </w:r>
      <w:r>
        <w:rPr>
          <w:rFonts w:hint="eastAsia" w:cs="Times New Roman"/>
          <w:b w:val="0"/>
          <w:bCs/>
          <w:sz w:val="24"/>
          <w:lang w:eastAsia="zh-CN"/>
        </w:rPr>
        <w:t>。</w:t>
      </w:r>
    </w:p>
    <w:p w14:paraId="1507CFD6">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要求设备举升及下降过程中的制动灵敏，定位准确、可靠；支撑盘在任何位置停止时，盘面高度偏差≤5mm，支撑盘高度可调</w:t>
      </w:r>
      <w:r>
        <w:rPr>
          <w:rFonts w:hint="eastAsia" w:cs="Times New Roman"/>
          <w:b w:val="0"/>
          <w:bCs/>
          <w:sz w:val="24"/>
          <w:lang w:eastAsia="zh-CN"/>
        </w:rPr>
        <w:t>。</w:t>
      </w:r>
    </w:p>
    <w:p w14:paraId="72954A1C">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设备应配备当钢丝绳及链条突然断裂、油管突然爆裂的保险装置，且此装置应安全可靠，储油罐安装在举升机侧立柱上，油管从立柱穿孔底部接入油缸，油管拆卸维修方便。</w:t>
      </w:r>
    </w:p>
    <w:p w14:paraId="3323224F">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设备除液压系统能自锁外，还应设有机械锁止装置</w:t>
      </w:r>
      <w:r>
        <w:rPr>
          <w:rFonts w:hint="eastAsia" w:cs="Times New Roman"/>
          <w:b w:val="0"/>
          <w:bCs/>
          <w:sz w:val="24"/>
          <w:lang w:eastAsia="zh-CN"/>
        </w:rPr>
        <w:t>。</w:t>
      </w:r>
    </w:p>
    <w:p w14:paraId="1C9004B8">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设备配备最高举升高度限位保护装置，门式举升机应配备防止损伤汽车车顶的装置</w:t>
      </w:r>
      <w:r>
        <w:rPr>
          <w:rFonts w:hint="eastAsia" w:cs="Times New Roman"/>
          <w:b w:val="0"/>
          <w:bCs/>
          <w:sz w:val="24"/>
          <w:lang w:eastAsia="zh-CN"/>
        </w:rPr>
        <w:t>。</w:t>
      </w:r>
    </w:p>
    <w:p w14:paraId="2448003C">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举升机在无负荷及额定负荷工况下，动作状况均应平稳，无振动、爬行，无异响及异常现象，各部分不应有永久变形、破损及其它异常情况</w:t>
      </w:r>
      <w:r>
        <w:rPr>
          <w:rFonts w:hint="eastAsia" w:cs="Times New Roman"/>
          <w:b w:val="0"/>
          <w:bCs/>
          <w:sz w:val="24"/>
          <w:lang w:eastAsia="zh-CN"/>
        </w:rPr>
        <w:t>。</w:t>
      </w:r>
    </w:p>
    <w:p w14:paraId="5C2D08A4">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在额定举升工况时，在距离设备噪声源1.5米，离地高1.5米处测量，举升机噪音不得超过75dB</w:t>
      </w:r>
      <w:r>
        <w:rPr>
          <w:rFonts w:hint="eastAsia" w:cs="Times New Roman"/>
          <w:b w:val="0"/>
          <w:bCs/>
          <w:sz w:val="24"/>
          <w:lang w:eastAsia="zh-CN"/>
        </w:rPr>
        <w:t>。</w:t>
      </w:r>
    </w:p>
    <w:p w14:paraId="3AF16D9E">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设备整机涂装表面应均匀、光洁，不得有露底、破裂、气泡和明显的流痕、桔皮等现象，设备涂装颜色提供的色标号进行</w:t>
      </w:r>
      <w:r>
        <w:rPr>
          <w:rFonts w:hint="eastAsia" w:cs="Times New Roman"/>
          <w:b w:val="0"/>
          <w:bCs/>
          <w:sz w:val="24"/>
          <w:lang w:eastAsia="zh-CN"/>
        </w:rPr>
        <w:t>。</w:t>
      </w:r>
    </w:p>
    <w:p w14:paraId="50DD27A6">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举升机醒目位置应设有相关安全标志及产品标志，并符合JT/T155-2004中关于标志的要求</w:t>
      </w:r>
      <w:r>
        <w:rPr>
          <w:rFonts w:hint="eastAsia" w:cs="Times New Roman"/>
          <w:b w:val="0"/>
          <w:bCs/>
          <w:sz w:val="24"/>
          <w:lang w:eastAsia="zh-CN"/>
        </w:rPr>
        <w:t>。</w:t>
      </w:r>
    </w:p>
    <w:p w14:paraId="31B9A402">
      <w:pPr>
        <w:keepNext w:val="0"/>
        <w:keepLines w:val="0"/>
        <w:pageBreakBefore w:val="0"/>
        <w:widowControl w:val="0"/>
        <w:numPr>
          <w:ilvl w:val="0"/>
          <w:numId w:val="567"/>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 xml:space="preserve">其它未及技术要求，按照JT/T155-2004执行。 </w:t>
      </w:r>
    </w:p>
    <w:p w14:paraId="06AB1760">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val="0"/>
        <w:spacing w:beforeAutospacing="0" w:afterAutospacing="0" w:line="360" w:lineRule="auto"/>
        <w:ind w:leftChars="0"/>
        <w:textAlignment w:val="auto"/>
        <w:outlineLvl w:val="3"/>
        <w:rPr>
          <w:rFonts w:hint="eastAsia" w:ascii="Times New Roman" w:hAnsi="Times New Roman" w:eastAsia="宋体" w:cs="Times New Roman"/>
          <w:b w:val="0"/>
          <w:bCs/>
          <w:sz w:val="24"/>
          <w:lang w:eastAsia="zh-CN"/>
        </w:rPr>
      </w:pPr>
      <w:r>
        <w:rPr>
          <w:rFonts w:hint="eastAsia" w:ascii="Times New Roman" w:hAnsi="Times New Roman" w:eastAsia="宋体" w:cs="Times New Roman"/>
          <w:b w:val="0"/>
          <w:bCs/>
          <w:sz w:val="24"/>
        </w:rPr>
        <w:t>其他</w:t>
      </w:r>
      <w:r>
        <w:rPr>
          <w:rFonts w:hint="eastAsia" w:cs="Times New Roman"/>
          <w:b w:val="0"/>
          <w:bCs/>
          <w:sz w:val="24"/>
          <w:lang w:eastAsia="zh-CN"/>
        </w:rPr>
        <w:t>：</w:t>
      </w:r>
    </w:p>
    <w:p w14:paraId="7ACEA2BD">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所有电、气与设备连接的材料及施工工作由承揽方负责</w:t>
      </w:r>
      <w:r>
        <w:rPr>
          <w:rFonts w:hint="eastAsia" w:cs="Times New Roman"/>
          <w:b w:val="0"/>
          <w:bCs/>
          <w:sz w:val="24"/>
          <w:lang w:eastAsia="zh-CN"/>
        </w:rPr>
        <w:t>。</w:t>
      </w:r>
    </w:p>
    <w:p w14:paraId="252B845D">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液压油由承揽方提供</w:t>
      </w:r>
      <w:r>
        <w:rPr>
          <w:rFonts w:hint="eastAsia" w:cs="Times New Roman"/>
          <w:b w:val="0"/>
          <w:bCs/>
          <w:sz w:val="24"/>
          <w:lang w:eastAsia="zh-CN"/>
        </w:rPr>
        <w:t>。</w:t>
      </w:r>
    </w:p>
    <w:p w14:paraId="0E16B64E">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举升机全部采用膨胀螺栓安装（螺栓长度不低于250mm），保证稳固，举升机安装不挖基础</w:t>
      </w:r>
      <w:r>
        <w:rPr>
          <w:rFonts w:hint="eastAsia" w:cs="Times New Roman"/>
          <w:b w:val="0"/>
          <w:bCs/>
          <w:sz w:val="24"/>
          <w:lang w:eastAsia="zh-CN"/>
        </w:rPr>
        <w:t>。</w:t>
      </w:r>
    </w:p>
    <w:p w14:paraId="2C46FEF8">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设备安装完成后，油箱内液压油应（不少于油箱总容积的2/3）位于最低最高液位刻度线之间，此油料包括在供货范围内</w:t>
      </w:r>
      <w:r>
        <w:rPr>
          <w:rFonts w:hint="eastAsia" w:cs="Times New Roman"/>
          <w:b w:val="0"/>
          <w:bCs/>
          <w:sz w:val="24"/>
          <w:lang w:eastAsia="zh-CN"/>
        </w:rPr>
        <w:t>。</w:t>
      </w:r>
    </w:p>
    <w:p w14:paraId="47F9613A">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要求设备工作可靠，有良好的左右平衡及同步功能，维护保养简单易行</w:t>
      </w:r>
      <w:r>
        <w:rPr>
          <w:rFonts w:hint="eastAsia" w:cs="Times New Roman"/>
          <w:b w:val="0"/>
          <w:bCs/>
          <w:sz w:val="24"/>
          <w:lang w:eastAsia="zh-CN"/>
        </w:rPr>
        <w:t>。</w:t>
      </w:r>
    </w:p>
    <w:p w14:paraId="38799FD8">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hint="eastAsia" w:ascii="Times New Roman" w:hAnsi="Times New Roman" w:eastAsia="宋体" w:cs="Times New Roman"/>
          <w:b w:val="0"/>
          <w:bCs/>
          <w:sz w:val="24"/>
        </w:rPr>
      </w:pPr>
      <w:r>
        <w:rPr>
          <w:rFonts w:hint="eastAsia" w:ascii="Times New Roman" w:hAnsi="Times New Roman" w:eastAsia="宋体" w:cs="Times New Roman"/>
          <w:b w:val="0"/>
          <w:bCs/>
          <w:sz w:val="24"/>
        </w:rPr>
        <w:t>举升机拖块采用圆形，橡胶材质的拖块，并方便拆卸</w:t>
      </w:r>
      <w:r>
        <w:rPr>
          <w:rFonts w:hint="eastAsia" w:cs="Times New Roman"/>
          <w:b w:val="0"/>
          <w:bCs/>
          <w:sz w:val="24"/>
          <w:lang w:eastAsia="zh-CN"/>
        </w:rPr>
        <w:t>。</w:t>
      </w:r>
    </w:p>
    <w:p w14:paraId="26EE22DD">
      <w:pPr>
        <w:keepNext w:val="0"/>
        <w:keepLines w:val="0"/>
        <w:pageBreakBefore w:val="0"/>
        <w:widowControl w:val="0"/>
        <w:numPr>
          <w:ilvl w:val="0"/>
          <w:numId w:val="568"/>
        </w:numPr>
        <w:tabs>
          <w:tab w:val="left" w:pos="0"/>
        </w:tabs>
        <w:kinsoku/>
        <w:wordWrap/>
        <w:overflowPunct/>
        <w:topLinePunct w:val="0"/>
        <w:autoSpaceDE/>
        <w:autoSpaceDN/>
        <w:bidi w:val="0"/>
        <w:adjustRightInd w:val="0"/>
        <w:snapToGrid w:val="0"/>
        <w:spacing w:beforeAutospacing="0" w:afterAutospacing="0" w:line="360" w:lineRule="auto"/>
        <w:ind w:left="425" w:leftChars="0" w:hanging="425" w:firstLineChars="0"/>
        <w:textAlignment w:val="auto"/>
        <w:outlineLvl w:val="3"/>
        <w:rPr>
          <w:rFonts w:ascii="Times New Roman" w:hAnsi="Times New Roman" w:eastAsia="宋体" w:cs="Times New Roman"/>
          <w:b/>
          <w:sz w:val="24"/>
        </w:rPr>
      </w:pPr>
      <w:r>
        <w:rPr>
          <w:rFonts w:hint="eastAsia" w:ascii="Times New Roman" w:hAnsi="Times New Roman" w:eastAsia="宋体" w:cs="Times New Roman"/>
          <w:b w:val="0"/>
          <w:bCs/>
          <w:sz w:val="24"/>
        </w:rPr>
        <w:t>举升机进车做导向轨，导向轨尺寸可根据不同车型做调整。</w:t>
      </w:r>
    </w:p>
    <w:p w14:paraId="216C125B">
      <w:pPr>
        <w:keepNext w:val="0"/>
        <w:keepLines w:val="0"/>
        <w:pageBreakBefore w:val="0"/>
        <w:widowControl w:val="0"/>
        <w:numPr>
          <w:ilvl w:val="0"/>
          <w:numId w:val="45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风挡涂胶设备技术要求</w:t>
      </w:r>
    </w:p>
    <w:p w14:paraId="0EEEDB77">
      <w:pPr>
        <w:keepNext w:val="0"/>
        <w:keepLines w:val="0"/>
        <w:pageBreakBefore w:val="0"/>
        <w:widowControl w:val="0"/>
        <w:numPr>
          <w:ilvl w:val="0"/>
          <w:numId w:val="569"/>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设备用途</w:t>
      </w:r>
    </w:p>
    <w:p w14:paraId="0EAB1F4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用于招标文件</w:t>
      </w:r>
      <w:r>
        <w:rPr>
          <w:rFonts w:hint="eastAsia" w:ascii="Times New Roman" w:hAnsi="Times New Roman" w:eastAsia="宋体" w:cs="Times New Roman"/>
          <w:sz w:val="24"/>
          <w:lang w:eastAsia="zh-CN"/>
        </w:rPr>
        <w:t>中</w:t>
      </w:r>
      <w:r>
        <w:rPr>
          <w:rFonts w:ascii="Times New Roman" w:hAnsi="Times New Roman" w:eastAsia="宋体" w:cs="Times New Roman"/>
          <w:sz w:val="24"/>
        </w:rPr>
        <w:t>所列车型的前风窗玻璃的人工清洗涂胶、自动涂胶及人工安装，减少装配车间困难作业项，降低劳动负荷度，提升装配效率（后续增加明窗车型厂家负责完成项目改造）。</w:t>
      </w:r>
    </w:p>
    <w:p w14:paraId="5F26C715">
      <w:pPr>
        <w:keepNext w:val="0"/>
        <w:keepLines w:val="0"/>
        <w:pageBreakBefore w:val="0"/>
        <w:widowControl w:val="0"/>
        <w:numPr>
          <w:ilvl w:val="0"/>
          <w:numId w:val="569"/>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货物需求表</w:t>
      </w:r>
    </w:p>
    <w:tbl>
      <w:tblPr>
        <w:tblStyle w:val="4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2133"/>
        <w:gridCol w:w="814"/>
        <w:gridCol w:w="733"/>
        <w:gridCol w:w="2421"/>
        <w:gridCol w:w="1948"/>
      </w:tblGrid>
      <w:tr w14:paraId="2F91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73C34B4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2133" w:type="dxa"/>
            <w:shd w:val="clear" w:color="auto" w:fill="auto"/>
            <w:vAlign w:val="center"/>
          </w:tcPr>
          <w:p w14:paraId="65E6738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814" w:type="dxa"/>
            <w:shd w:val="clear" w:color="auto" w:fill="auto"/>
            <w:vAlign w:val="center"/>
          </w:tcPr>
          <w:p w14:paraId="32E32A2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733" w:type="dxa"/>
            <w:shd w:val="clear" w:color="auto" w:fill="auto"/>
            <w:vAlign w:val="center"/>
          </w:tcPr>
          <w:p w14:paraId="3C6813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2421" w:type="dxa"/>
            <w:shd w:val="clear" w:color="auto" w:fill="auto"/>
            <w:vAlign w:val="center"/>
          </w:tcPr>
          <w:p w14:paraId="66E28D2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规格</w:t>
            </w:r>
          </w:p>
        </w:tc>
        <w:tc>
          <w:tcPr>
            <w:tcW w:w="1948" w:type="dxa"/>
            <w:shd w:val="clear" w:color="auto" w:fill="auto"/>
            <w:vAlign w:val="center"/>
          </w:tcPr>
          <w:p w14:paraId="35147D2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39B03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016131E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2133" w:type="dxa"/>
            <w:shd w:val="clear" w:color="auto" w:fill="auto"/>
            <w:vAlign w:val="center"/>
          </w:tcPr>
          <w:p w14:paraId="1C7426B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上料助力机构</w:t>
            </w:r>
          </w:p>
        </w:tc>
        <w:tc>
          <w:tcPr>
            <w:tcW w:w="814" w:type="dxa"/>
            <w:shd w:val="clear" w:color="auto" w:fill="auto"/>
            <w:vAlign w:val="center"/>
          </w:tcPr>
          <w:p w14:paraId="28B461C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7253C10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24353C7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长宽</w:t>
            </w:r>
            <w:r>
              <w:rPr>
                <w:rFonts w:ascii="宋体" w:hAnsi="宋体" w:eastAsia="宋体" w:cs="宋体"/>
                <w:kern w:val="0"/>
                <w:sz w:val="24"/>
                <w:szCs w:val="24"/>
              </w:rPr>
              <w:t>5*3.5米，轨道国产优质</w:t>
            </w:r>
          </w:p>
        </w:tc>
        <w:tc>
          <w:tcPr>
            <w:tcW w:w="1948" w:type="dxa"/>
            <w:shd w:val="clear" w:color="auto" w:fill="auto"/>
            <w:vAlign w:val="center"/>
          </w:tcPr>
          <w:p w14:paraId="220403E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0859F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2345CCC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2</w:t>
            </w:r>
          </w:p>
        </w:tc>
        <w:tc>
          <w:tcPr>
            <w:tcW w:w="2133" w:type="dxa"/>
            <w:shd w:val="clear" w:color="auto" w:fill="auto"/>
            <w:vAlign w:val="center"/>
          </w:tcPr>
          <w:p w14:paraId="7809F37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安装助力机构</w:t>
            </w:r>
          </w:p>
        </w:tc>
        <w:tc>
          <w:tcPr>
            <w:tcW w:w="814" w:type="dxa"/>
            <w:shd w:val="clear" w:color="auto" w:fill="auto"/>
            <w:vAlign w:val="center"/>
          </w:tcPr>
          <w:p w14:paraId="61607B0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5C22B0F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29B7EE8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长宽</w:t>
            </w:r>
            <w:r>
              <w:rPr>
                <w:rFonts w:ascii="宋体" w:hAnsi="宋体" w:eastAsia="宋体" w:cs="宋体"/>
                <w:kern w:val="0"/>
                <w:sz w:val="24"/>
                <w:szCs w:val="24"/>
              </w:rPr>
              <w:t>8*5米，轨道国产优质</w:t>
            </w:r>
          </w:p>
        </w:tc>
        <w:tc>
          <w:tcPr>
            <w:tcW w:w="1948" w:type="dxa"/>
            <w:shd w:val="clear" w:color="auto" w:fill="auto"/>
            <w:vAlign w:val="center"/>
          </w:tcPr>
          <w:p w14:paraId="6721A0E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AEAF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55B1746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3</w:t>
            </w:r>
          </w:p>
        </w:tc>
        <w:tc>
          <w:tcPr>
            <w:tcW w:w="2133" w:type="dxa"/>
            <w:shd w:val="clear" w:color="auto" w:fill="auto"/>
            <w:vAlign w:val="center"/>
          </w:tcPr>
          <w:p w14:paraId="0ABCB81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机器人及底座抓手</w:t>
            </w:r>
          </w:p>
        </w:tc>
        <w:tc>
          <w:tcPr>
            <w:tcW w:w="814" w:type="dxa"/>
            <w:shd w:val="clear" w:color="auto" w:fill="auto"/>
            <w:vAlign w:val="center"/>
          </w:tcPr>
          <w:p w14:paraId="5D7515C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7EA941E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7AA3D54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1948" w:type="dxa"/>
            <w:shd w:val="clear" w:color="auto" w:fill="auto"/>
            <w:vAlign w:val="center"/>
          </w:tcPr>
          <w:p w14:paraId="4BF78F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C877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2974C26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4</w:t>
            </w:r>
          </w:p>
        </w:tc>
        <w:tc>
          <w:tcPr>
            <w:tcW w:w="2133" w:type="dxa"/>
            <w:shd w:val="clear" w:color="auto" w:fill="auto"/>
            <w:vAlign w:val="center"/>
          </w:tcPr>
          <w:p w14:paraId="7E31F25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kern w:val="0"/>
                <w:sz w:val="24"/>
                <w:szCs w:val="24"/>
              </w:rPr>
              <w:t>850cc涂胶系统</w:t>
            </w:r>
          </w:p>
        </w:tc>
        <w:tc>
          <w:tcPr>
            <w:tcW w:w="814" w:type="dxa"/>
            <w:shd w:val="clear" w:color="auto" w:fill="auto"/>
            <w:vAlign w:val="center"/>
          </w:tcPr>
          <w:p w14:paraId="6E98D9C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1B31E6D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5743043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胶桶一用一备，一个定量机，无手动胶枪</w:t>
            </w:r>
          </w:p>
        </w:tc>
        <w:tc>
          <w:tcPr>
            <w:tcW w:w="1948" w:type="dxa"/>
            <w:shd w:val="clear" w:color="auto" w:fill="auto"/>
            <w:vAlign w:val="center"/>
          </w:tcPr>
          <w:p w14:paraId="02BC35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5F9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3BB6D72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5</w:t>
            </w:r>
          </w:p>
        </w:tc>
        <w:tc>
          <w:tcPr>
            <w:tcW w:w="2133" w:type="dxa"/>
            <w:shd w:val="clear" w:color="auto" w:fill="auto"/>
            <w:vAlign w:val="center"/>
          </w:tcPr>
          <w:p w14:paraId="2BA2256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清胶机构</w:t>
            </w:r>
          </w:p>
        </w:tc>
        <w:tc>
          <w:tcPr>
            <w:tcW w:w="814" w:type="dxa"/>
            <w:shd w:val="clear" w:color="auto" w:fill="auto"/>
            <w:vAlign w:val="center"/>
          </w:tcPr>
          <w:p w14:paraId="1967FCE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76B38FA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6FB39C6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1948" w:type="dxa"/>
            <w:shd w:val="clear" w:color="auto" w:fill="auto"/>
            <w:vAlign w:val="center"/>
          </w:tcPr>
          <w:p w14:paraId="70A4F64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F0C9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1BCCBD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6</w:t>
            </w:r>
          </w:p>
        </w:tc>
        <w:tc>
          <w:tcPr>
            <w:tcW w:w="2133" w:type="dxa"/>
            <w:shd w:val="clear" w:color="auto" w:fill="auto"/>
            <w:vAlign w:val="center"/>
          </w:tcPr>
          <w:p w14:paraId="0B564BC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对中台</w:t>
            </w:r>
          </w:p>
        </w:tc>
        <w:tc>
          <w:tcPr>
            <w:tcW w:w="814" w:type="dxa"/>
            <w:shd w:val="clear" w:color="auto" w:fill="auto"/>
            <w:vAlign w:val="center"/>
          </w:tcPr>
          <w:p w14:paraId="4E98CEC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01ECD36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5C9A06A8">
            <w:pPr>
              <w:keepNext w:val="0"/>
              <w:keepLines w:val="0"/>
              <w:pageBreakBefore w:val="0"/>
              <w:widowControl/>
              <w:kinsoku/>
              <w:overflowPunct/>
              <w:topLinePunct w:val="0"/>
              <w:bidi w:val="0"/>
              <w:adjustRightInd w:val="0"/>
              <w:snapToGrid w:val="0"/>
              <w:spacing w:afterAutospacing="0" w:line="240" w:lineRule="auto"/>
              <w:jc w:val="center"/>
              <w:rPr>
                <w:rFonts w:hint="default" w:ascii="宋体" w:hAnsi="宋体" w:eastAsia="宋体" w:cs="宋体"/>
                <w:kern w:val="0"/>
                <w:sz w:val="24"/>
                <w:szCs w:val="24"/>
                <w:lang w:val="en-US" w:eastAsia="zh-CN"/>
              </w:rPr>
            </w:pPr>
          </w:p>
        </w:tc>
        <w:tc>
          <w:tcPr>
            <w:tcW w:w="1948" w:type="dxa"/>
            <w:shd w:val="clear" w:color="auto" w:fill="auto"/>
            <w:vAlign w:val="center"/>
          </w:tcPr>
          <w:p w14:paraId="0DD0B9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2E0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771FCC6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7</w:t>
            </w:r>
          </w:p>
        </w:tc>
        <w:tc>
          <w:tcPr>
            <w:tcW w:w="2133" w:type="dxa"/>
            <w:shd w:val="clear" w:color="auto" w:fill="auto"/>
            <w:vAlign w:val="center"/>
          </w:tcPr>
          <w:p w14:paraId="61464A1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翻转机</w:t>
            </w:r>
          </w:p>
        </w:tc>
        <w:tc>
          <w:tcPr>
            <w:tcW w:w="814" w:type="dxa"/>
            <w:shd w:val="clear" w:color="auto" w:fill="auto"/>
            <w:vAlign w:val="center"/>
          </w:tcPr>
          <w:p w14:paraId="4766565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150E38B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1221B724">
            <w:pPr>
              <w:keepNext w:val="0"/>
              <w:keepLines w:val="0"/>
              <w:pageBreakBefore w:val="0"/>
              <w:widowControl/>
              <w:kinsoku/>
              <w:overflowPunct/>
              <w:topLinePunct w:val="0"/>
              <w:bidi w:val="0"/>
              <w:adjustRightInd w:val="0"/>
              <w:snapToGrid w:val="0"/>
              <w:spacing w:afterAutospacing="0" w:line="240" w:lineRule="auto"/>
              <w:jc w:val="both"/>
              <w:rPr>
                <w:rFonts w:hint="eastAsia" w:ascii="宋体" w:hAnsi="宋体" w:eastAsia="宋体" w:cs="宋体"/>
                <w:kern w:val="0"/>
                <w:sz w:val="24"/>
                <w:szCs w:val="24"/>
                <w:lang w:val="en-US" w:eastAsia="zh-CN"/>
              </w:rPr>
            </w:pPr>
          </w:p>
        </w:tc>
        <w:tc>
          <w:tcPr>
            <w:tcW w:w="1948" w:type="dxa"/>
            <w:shd w:val="clear" w:color="auto" w:fill="auto"/>
            <w:vAlign w:val="center"/>
          </w:tcPr>
          <w:p w14:paraId="0E0EBF1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4F4D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701567A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8</w:t>
            </w:r>
          </w:p>
        </w:tc>
        <w:tc>
          <w:tcPr>
            <w:tcW w:w="2133" w:type="dxa"/>
            <w:shd w:val="clear" w:color="auto" w:fill="auto"/>
            <w:vAlign w:val="center"/>
          </w:tcPr>
          <w:p w14:paraId="60644A9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玻璃输送线</w:t>
            </w:r>
          </w:p>
        </w:tc>
        <w:tc>
          <w:tcPr>
            <w:tcW w:w="814" w:type="dxa"/>
            <w:shd w:val="clear" w:color="auto" w:fill="auto"/>
            <w:vAlign w:val="center"/>
          </w:tcPr>
          <w:p w14:paraId="6BF6BAE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613BB0A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6A59C19C">
            <w:pPr>
              <w:keepNext w:val="0"/>
              <w:keepLines w:val="0"/>
              <w:pageBreakBefore w:val="0"/>
              <w:widowControl/>
              <w:kinsoku/>
              <w:overflowPunct/>
              <w:topLinePunct w:val="0"/>
              <w:bidi w:val="0"/>
              <w:adjustRightInd w:val="0"/>
              <w:snapToGrid w:val="0"/>
              <w:spacing w:afterAutospacing="0" w:line="240" w:lineRule="auto"/>
              <w:jc w:val="both"/>
              <w:rPr>
                <w:rFonts w:hint="eastAsia" w:ascii="宋体" w:hAnsi="宋体" w:eastAsia="宋体" w:cs="宋体"/>
                <w:kern w:val="0"/>
                <w:sz w:val="24"/>
                <w:szCs w:val="24"/>
                <w:lang w:val="en-US" w:eastAsia="zh-CN"/>
              </w:rPr>
            </w:pPr>
          </w:p>
        </w:tc>
        <w:tc>
          <w:tcPr>
            <w:tcW w:w="1948" w:type="dxa"/>
            <w:shd w:val="clear" w:color="auto" w:fill="auto"/>
            <w:vAlign w:val="center"/>
          </w:tcPr>
          <w:p w14:paraId="458E1E1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CF4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57E5656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9</w:t>
            </w:r>
          </w:p>
        </w:tc>
        <w:tc>
          <w:tcPr>
            <w:tcW w:w="2133" w:type="dxa"/>
            <w:shd w:val="clear" w:color="auto" w:fill="auto"/>
            <w:vAlign w:val="center"/>
          </w:tcPr>
          <w:p w14:paraId="228BAFD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金属围栏</w:t>
            </w:r>
          </w:p>
        </w:tc>
        <w:tc>
          <w:tcPr>
            <w:tcW w:w="814" w:type="dxa"/>
            <w:shd w:val="clear" w:color="auto" w:fill="auto"/>
            <w:vAlign w:val="center"/>
          </w:tcPr>
          <w:p w14:paraId="18D1356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4C36670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38CCE88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p>
        </w:tc>
        <w:tc>
          <w:tcPr>
            <w:tcW w:w="1948" w:type="dxa"/>
            <w:shd w:val="clear" w:color="auto" w:fill="auto"/>
            <w:vAlign w:val="center"/>
          </w:tcPr>
          <w:p w14:paraId="78837FF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CD6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6E6FB44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10</w:t>
            </w:r>
          </w:p>
        </w:tc>
        <w:tc>
          <w:tcPr>
            <w:tcW w:w="2133" w:type="dxa"/>
            <w:shd w:val="clear" w:color="auto" w:fill="auto"/>
            <w:vAlign w:val="center"/>
          </w:tcPr>
          <w:p w14:paraId="4BAB607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电控系统</w:t>
            </w:r>
          </w:p>
        </w:tc>
        <w:tc>
          <w:tcPr>
            <w:tcW w:w="814" w:type="dxa"/>
            <w:shd w:val="clear" w:color="auto" w:fill="auto"/>
            <w:vAlign w:val="center"/>
          </w:tcPr>
          <w:p w14:paraId="10D5D33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56F4972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47633EF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PLC是1500系列</w:t>
            </w:r>
          </w:p>
        </w:tc>
        <w:tc>
          <w:tcPr>
            <w:tcW w:w="1948" w:type="dxa"/>
            <w:shd w:val="clear" w:color="auto" w:fill="auto"/>
            <w:vAlign w:val="center"/>
          </w:tcPr>
          <w:p w14:paraId="3C391B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E1D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36B0023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11</w:t>
            </w:r>
          </w:p>
        </w:tc>
        <w:tc>
          <w:tcPr>
            <w:tcW w:w="2133" w:type="dxa"/>
            <w:shd w:val="clear" w:color="auto" w:fill="auto"/>
            <w:vAlign w:val="center"/>
          </w:tcPr>
          <w:p w14:paraId="46D1999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机柜、空调</w:t>
            </w:r>
          </w:p>
        </w:tc>
        <w:tc>
          <w:tcPr>
            <w:tcW w:w="814" w:type="dxa"/>
            <w:shd w:val="clear" w:color="auto" w:fill="auto"/>
            <w:vAlign w:val="center"/>
          </w:tcPr>
          <w:p w14:paraId="20ADD3C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08D89BE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2A3F9E1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p>
        </w:tc>
        <w:tc>
          <w:tcPr>
            <w:tcW w:w="1948" w:type="dxa"/>
            <w:shd w:val="clear" w:color="auto" w:fill="auto"/>
            <w:vAlign w:val="center"/>
          </w:tcPr>
          <w:p w14:paraId="775A6B2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380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7E2FB04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12</w:t>
            </w:r>
          </w:p>
        </w:tc>
        <w:tc>
          <w:tcPr>
            <w:tcW w:w="2133" w:type="dxa"/>
            <w:shd w:val="clear" w:color="auto" w:fill="auto"/>
            <w:vAlign w:val="center"/>
          </w:tcPr>
          <w:p w14:paraId="5B72013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触摸屏</w:t>
            </w:r>
          </w:p>
        </w:tc>
        <w:tc>
          <w:tcPr>
            <w:tcW w:w="814" w:type="dxa"/>
            <w:shd w:val="clear" w:color="auto" w:fill="auto"/>
            <w:vAlign w:val="center"/>
          </w:tcPr>
          <w:p w14:paraId="6885C76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615F30F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249A444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12寸</w:t>
            </w:r>
          </w:p>
        </w:tc>
        <w:tc>
          <w:tcPr>
            <w:tcW w:w="1948" w:type="dxa"/>
            <w:shd w:val="clear" w:color="auto" w:fill="auto"/>
            <w:vAlign w:val="center"/>
          </w:tcPr>
          <w:p w14:paraId="0E530CC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77F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100E2F0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13</w:t>
            </w:r>
          </w:p>
        </w:tc>
        <w:tc>
          <w:tcPr>
            <w:tcW w:w="2133" w:type="dxa"/>
            <w:shd w:val="clear" w:color="auto" w:fill="auto"/>
            <w:vAlign w:val="center"/>
          </w:tcPr>
          <w:p w14:paraId="49B97E6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气动元器件</w:t>
            </w:r>
          </w:p>
        </w:tc>
        <w:tc>
          <w:tcPr>
            <w:tcW w:w="814" w:type="dxa"/>
            <w:shd w:val="clear" w:color="auto" w:fill="auto"/>
            <w:vAlign w:val="center"/>
          </w:tcPr>
          <w:p w14:paraId="241CF87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02DB21C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套</w:t>
            </w:r>
          </w:p>
        </w:tc>
        <w:tc>
          <w:tcPr>
            <w:tcW w:w="2421" w:type="dxa"/>
            <w:shd w:val="clear" w:color="auto" w:fill="auto"/>
            <w:vAlign w:val="center"/>
          </w:tcPr>
          <w:p w14:paraId="319118C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p>
        </w:tc>
        <w:tc>
          <w:tcPr>
            <w:tcW w:w="1948" w:type="dxa"/>
            <w:shd w:val="clear" w:color="auto" w:fill="auto"/>
            <w:vAlign w:val="center"/>
          </w:tcPr>
          <w:p w14:paraId="10DC061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4A4A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4E3A4FB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14</w:t>
            </w:r>
          </w:p>
        </w:tc>
        <w:tc>
          <w:tcPr>
            <w:tcW w:w="2133" w:type="dxa"/>
            <w:shd w:val="clear" w:color="auto" w:fill="auto"/>
            <w:vAlign w:val="center"/>
          </w:tcPr>
          <w:p w14:paraId="07545FD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增加底漆震荡台</w:t>
            </w:r>
          </w:p>
        </w:tc>
        <w:tc>
          <w:tcPr>
            <w:tcW w:w="814" w:type="dxa"/>
            <w:shd w:val="clear" w:color="auto" w:fill="auto"/>
            <w:vAlign w:val="center"/>
          </w:tcPr>
          <w:p w14:paraId="12CF4A2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4D06FA5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4AB8800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p>
        </w:tc>
        <w:tc>
          <w:tcPr>
            <w:tcW w:w="1948" w:type="dxa"/>
            <w:shd w:val="clear" w:color="auto" w:fill="auto"/>
            <w:vAlign w:val="center"/>
          </w:tcPr>
          <w:p w14:paraId="6B44805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29B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6C346DB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15</w:t>
            </w:r>
          </w:p>
        </w:tc>
        <w:tc>
          <w:tcPr>
            <w:tcW w:w="2133" w:type="dxa"/>
            <w:shd w:val="clear" w:color="auto" w:fill="auto"/>
            <w:vAlign w:val="center"/>
          </w:tcPr>
          <w:p w14:paraId="4F9F3B3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胶嘴</w:t>
            </w:r>
          </w:p>
        </w:tc>
        <w:tc>
          <w:tcPr>
            <w:tcW w:w="814" w:type="dxa"/>
            <w:shd w:val="clear" w:color="auto" w:fill="auto"/>
            <w:vAlign w:val="center"/>
          </w:tcPr>
          <w:p w14:paraId="1EE91ED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10</w:t>
            </w:r>
          </w:p>
        </w:tc>
        <w:tc>
          <w:tcPr>
            <w:tcW w:w="733" w:type="dxa"/>
            <w:shd w:val="clear" w:color="auto" w:fill="auto"/>
            <w:vAlign w:val="center"/>
          </w:tcPr>
          <w:p w14:paraId="6AB6E5A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个</w:t>
            </w:r>
          </w:p>
        </w:tc>
        <w:tc>
          <w:tcPr>
            <w:tcW w:w="2421" w:type="dxa"/>
            <w:shd w:val="clear" w:color="auto" w:fill="auto"/>
            <w:vAlign w:val="center"/>
          </w:tcPr>
          <w:p w14:paraId="60C74ED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lang w:val="en-US" w:eastAsia="zh-CN"/>
              </w:rPr>
            </w:pPr>
          </w:p>
        </w:tc>
        <w:tc>
          <w:tcPr>
            <w:tcW w:w="1948" w:type="dxa"/>
            <w:shd w:val="clear" w:color="auto" w:fill="auto"/>
            <w:vAlign w:val="center"/>
          </w:tcPr>
          <w:p w14:paraId="32D9133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7AA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2A2975C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16</w:t>
            </w:r>
          </w:p>
        </w:tc>
        <w:tc>
          <w:tcPr>
            <w:tcW w:w="2133" w:type="dxa"/>
            <w:shd w:val="clear" w:color="auto" w:fill="auto"/>
            <w:vAlign w:val="center"/>
          </w:tcPr>
          <w:p w14:paraId="5DEBF52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手动双吸吸盘</w:t>
            </w:r>
          </w:p>
        </w:tc>
        <w:tc>
          <w:tcPr>
            <w:tcW w:w="814" w:type="dxa"/>
            <w:shd w:val="clear" w:color="auto" w:fill="auto"/>
            <w:vAlign w:val="center"/>
          </w:tcPr>
          <w:p w14:paraId="270EEE5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4</w:t>
            </w:r>
          </w:p>
        </w:tc>
        <w:tc>
          <w:tcPr>
            <w:tcW w:w="733" w:type="dxa"/>
            <w:shd w:val="clear" w:color="auto" w:fill="auto"/>
            <w:vAlign w:val="center"/>
          </w:tcPr>
          <w:p w14:paraId="311871D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5E383F5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p>
        </w:tc>
        <w:tc>
          <w:tcPr>
            <w:tcW w:w="1948" w:type="dxa"/>
            <w:shd w:val="clear" w:color="auto" w:fill="auto"/>
            <w:vAlign w:val="center"/>
          </w:tcPr>
          <w:p w14:paraId="7593D1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C63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7A2D169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17</w:t>
            </w:r>
          </w:p>
        </w:tc>
        <w:tc>
          <w:tcPr>
            <w:tcW w:w="2133" w:type="dxa"/>
            <w:shd w:val="clear" w:color="auto" w:fill="auto"/>
            <w:vAlign w:val="center"/>
          </w:tcPr>
          <w:p w14:paraId="65370D1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换桶小车</w:t>
            </w:r>
          </w:p>
        </w:tc>
        <w:tc>
          <w:tcPr>
            <w:tcW w:w="814" w:type="dxa"/>
            <w:shd w:val="clear" w:color="auto" w:fill="auto"/>
            <w:vAlign w:val="center"/>
          </w:tcPr>
          <w:p w14:paraId="30AC93B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733" w:type="dxa"/>
            <w:shd w:val="clear" w:color="auto" w:fill="auto"/>
            <w:vAlign w:val="center"/>
          </w:tcPr>
          <w:p w14:paraId="4AD2C95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kern w:val="0"/>
                <w:sz w:val="24"/>
                <w:szCs w:val="24"/>
              </w:rPr>
              <w:t>个</w:t>
            </w:r>
          </w:p>
        </w:tc>
        <w:tc>
          <w:tcPr>
            <w:tcW w:w="2421" w:type="dxa"/>
            <w:shd w:val="clear" w:color="auto" w:fill="auto"/>
            <w:vAlign w:val="center"/>
          </w:tcPr>
          <w:p w14:paraId="749591E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lang w:val="en-US" w:eastAsia="zh-CN"/>
              </w:rPr>
            </w:pPr>
          </w:p>
        </w:tc>
        <w:tc>
          <w:tcPr>
            <w:tcW w:w="1948" w:type="dxa"/>
            <w:shd w:val="clear" w:color="auto" w:fill="auto"/>
            <w:vAlign w:val="center"/>
          </w:tcPr>
          <w:p w14:paraId="59AF56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3230CBA9">
      <w:pPr>
        <w:keepNext w:val="0"/>
        <w:keepLines w:val="0"/>
        <w:pageBreakBefore w:val="0"/>
        <w:widowControl w:val="0"/>
        <w:numPr>
          <w:ilvl w:val="0"/>
          <w:numId w:val="569"/>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工艺流程</w:t>
      </w:r>
    </w:p>
    <w:p w14:paraId="77DD6806">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人工逐块搬运风挡天幕玻璃至上料工位，皮带传送玻璃到涂胶工位</w:t>
      </w:r>
      <w:r>
        <w:rPr>
          <w:rFonts w:hint="eastAsia" w:ascii="Times New Roman" w:hAnsi="Times New Roman" w:eastAsia="宋体" w:cs="Times New Roman"/>
          <w:color w:val="000000"/>
          <w:sz w:val="24"/>
          <w:lang w:eastAsia="zh-CN"/>
        </w:rPr>
        <w:t>。</w:t>
      </w:r>
    </w:p>
    <w:p w14:paraId="79A5DE5E">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玻璃在输送线上被移载至对中台，玻璃被对中定位</w:t>
      </w:r>
      <w:r>
        <w:rPr>
          <w:rFonts w:hint="eastAsia" w:ascii="Times New Roman" w:hAnsi="Times New Roman" w:eastAsia="宋体" w:cs="Times New Roman"/>
          <w:color w:val="000000"/>
          <w:sz w:val="24"/>
          <w:lang w:eastAsia="zh-CN"/>
        </w:rPr>
        <w:t>。</w:t>
      </w:r>
    </w:p>
    <w:p w14:paraId="2E02E55C">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机器人自动涂胶</w:t>
      </w:r>
      <w:r>
        <w:rPr>
          <w:rFonts w:hint="eastAsia" w:ascii="Times New Roman" w:hAnsi="Times New Roman" w:eastAsia="宋体" w:cs="Times New Roman"/>
          <w:color w:val="000000"/>
          <w:sz w:val="24"/>
          <w:lang w:eastAsia="zh-CN"/>
        </w:rPr>
        <w:t>。</w:t>
      </w:r>
    </w:p>
    <w:p w14:paraId="6EDA85BC">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玻璃在输送线上被移载至翻转台，翻转台将玻璃翻转</w:t>
      </w:r>
      <w:r>
        <w:rPr>
          <w:rFonts w:hint="eastAsia" w:ascii="Times New Roman" w:hAnsi="Times New Roman" w:eastAsia="宋体" w:cs="Times New Roman"/>
          <w:color w:val="000000"/>
          <w:sz w:val="24"/>
          <w:lang w:eastAsia="zh-CN"/>
        </w:rPr>
        <w:t>。</w:t>
      </w:r>
    </w:p>
    <w:p w14:paraId="2508B9AB">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员工进入取料工位，人工检查涂胶质量</w:t>
      </w:r>
      <w:r>
        <w:rPr>
          <w:rFonts w:hint="eastAsia" w:ascii="Times New Roman" w:hAnsi="Times New Roman" w:eastAsia="宋体" w:cs="Times New Roman"/>
          <w:color w:val="000000"/>
          <w:sz w:val="24"/>
          <w:lang w:eastAsia="zh-CN"/>
        </w:rPr>
        <w:t>。</w:t>
      </w:r>
    </w:p>
    <w:p w14:paraId="5956F1C6">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涂胶质量检查后，员工通过桁架助力机构取料</w:t>
      </w:r>
      <w:r>
        <w:rPr>
          <w:rFonts w:hint="eastAsia" w:ascii="Times New Roman" w:hAnsi="Times New Roman" w:eastAsia="宋体" w:cs="Times New Roman"/>
          <w:color w:val="000000"/>
          <w:sz w:val="24"/>
          <w:lang w:eastAsia="zh-CN"/>
        </w:rPr>
        <w:t>。</w:t>
      </w:r>
    </w:p>
    <w:p w14:paraId="25E1D5DE">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如检查涂胶质量有问题，员工将按返修流程处理</w:t>
      </w:r>
      <w:r>
        <w:rPr>
          <w:rFonts w:hint="eastAsia" w:ascii="Times New Roman" w:hAnsi="Times New Roman" w:eastAsia="宋体" w:cs="Times New Roman"/>
          <w:color w:val="000000"/>
          <w:sz w:val="24"/>
          <w:lang w:eastAsia="zh-CN"/>
        </w:rPr>
        <w:t>。</w:t>
      </w:r>
    </w:p>
    <w:p w14:paraId="13248045">
      <w:pPr>
        <w:keepNext w:val="0"/>
        <w:keepLines w:val="0"/>
        <w:pageBreakBefore w:val="0"/>
        <w:widowControl w:val="0"/>
        <w:numPr>
          <w:ilvl w:val="0"/>
          <w:numId w:val="5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sz w:val="24"/>
        </w:rPr>
      </w:pPr>
      <w:r>
        <w:rPr>
          <w:rFonts w:ascii="Times New Roman" w:hAnsi="Times New Roman" w:eastAsia="宋体" w:cs="Times New Roman"/>
          <w:b w:val="0"/>
          <w:bCs w:val="0"/>
          <w:color w:val="000000"/>
          <w:sz w:val="24"/>
        </w:rPr>
        <w:t>如</w:t>
      </w:r>
      <w:r>
        <w:rPr>
          <w:rFonts w:ascii="Times New Roman" w:hAnsi="Times New Roman" w:eastAsia="宋体" w:cs="Times New Roman"/>
          <w:color w:val="000000"/>
          <w:sz w:val="24"/>
        </w:rPr>
        <w:t>检查涂胶质量无问题，员工将涂胶后的玻璃转移到装配工位进行装配。</w:t>
      </w:r>
    </w:p>
    <w:p w14:paraId="2284B8C3">
      <w:pPr>
        <w:keepNext w:val="0"/>
        <w:keepLines w:val="0"/>
        <w:pageBreakBefore w:val="0"/>
        <w:widowControl w:val="0"/>
        <w:numPr>
          <w:ilvl w:val="0"/>
          <w:numId w:val="569"/>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技术要求</w:t>
      </w:r>
    </w:p>
    <w:p w14:paraId="00AB22AD">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机器人技术要求</w:t>
      </w:r>
    </w:p>
    <w:p w14:paraId="1333EAB6">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机器人载荷需满足工件及夹具重量要求，并根据实际需要预留20%负载余量。</w:t>
      </w:r>
    </w:p>
    <w:p w14:paraId="0EAFD0C4">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机器人臂展选型满足车型参数范围中最小及最大尺寸要求。</w:t>
      </w:r>
    </w:p>
    <w:p w14:paraId="5F4CBE3D">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机器人系统包括机器人本体、机器人底座、机器人控制柜、软件包等。</w:t>
      </w:r>
    </w:p>
    <w:p w14:paraId="2EF78670">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机器人重复定位精度达到±0.06mm，保证机器人精确完成各装配任务。</w:t>
      </w:r>
    </w:p>
    <w:p w14:paraId="262612B6">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机器人本体具备IP65以上防护等级，控制柜具备IP54以上防护等级。</w:t>
      </w:r>
    </w:p>
    <w:p w14:paraId="5FA57238">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机器人具备精确、快速的校零功能，设备提供机器人对尖校准机构。</w:t>
      </w:r>
    </w:p>
    <w:p w14:paraId="42439899">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机器人所有轴可通过软件限制其动作范围，软限制用于防止硬性撞击和损坏。</w:t>
      </w:r>
    </w:p>
    <w:p w14:paraId="06EF5CE7">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机器人配置以太网接口，用于与上位机的TCP/IP通讯，配置UBS接口，可实现程序下载、存储、上传。</w:t>
      </w:r>
    </w:p>
    <w:p w14:paraId="47AFB676">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机器人控制器应当有一个电缆支承架便于放置示教电缆。控制器也应当有一个示教盒支架便于放置示教盒。当电缆和示教盒放在支架上时，控制箱门应能很方便地打开。示教盒采用彩色触摸屏。</w:t>
      </w:r>
    </w:p>
    <w:p w14:paraId="7B4A3991">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控制柜整体高度不低于500mm，柜体离地面不低于90mm</w:t>
      </w:r>
      <w:r>
        <w:rPr>
          <w:rFonts w:hint="eastAsia" w:ascii="Times New Roman" w:hAnsi="Times New Roman" w:eastAsia="宋体" w:cs="Times New Roman"/>
          <w:sz w:val="24"/>
          <w:lang w:eastAsia="zh-CN"/>
        </w:rPr>
        <w:t>（</w:t>
      </w:r>
      <w:r>
        <w:rPr>
          <w:rFonts w:ascii="Times New Roman" w:hAnsi="Times New Roman" w:eastAsia="宋体" w:cs="Times New Roman"/>
          <w:sz w:val="24"/>
        </w:rPr>
        <w:t>配地脚</w:t>
      </w:r>
      <w:r>
        <w:rPr>
          <w:rFonts w:hint="eastAsia" w:ascii="Times New Roman" w:hAnsi="Times New Roman" w:eastAsia="宋体" w:cs="Times New Roman"/>
          <w:sz w:val="24"/>
          <w:lang w:eastAsia="zh-CN"/>
        </w:rPr>
        <w:t>）</w:t>
      </w:r>
      <w:r>
        <w:rPr>
          <w:rFonts w:ascii="Times New Roman" w:hAnsi="Times New Roman" w:eastAsia="宋体" w:cs="Times New Roman"/>
          <w:sz w:val="24"/>
        </w:rPr>
        <w:t>，柜体上方可承载叠加其它柜体。</w:t>
      </w:r>
    </w:p>
    <w:p w14:paraId="5FD789FB">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机器人语言程序，要求主程序逻辑严密，防止机器人调用、执行一个子程序未完时，因异常情况又转而去执行另一个子程序，导致机器人撞击周围物体等故障。</w:t>
      </w:r>
    </w:p>
    <w:p w14:paraId="5846DEDE">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所有子程序要自成一个子系统，禁止几个子程序共用另一个子程序。所有备份程序必须完好且保证需方在不通过任何专用器材的情况下进行备份程序的恢复，特殊情况需专用恢复器材时，由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在交付时向</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免费提供恢复程序的专用器材。</w:t>
      </w:r>
    </w:p>
    <w:p w14:paraId="163B2D42">
      <w:pPr>
        <w:keepNext w:val="0"/>
        <w:keepLines w:val="0"/>
        <w:pageBreakBefore w:val="0"/>
        <w:widowControl w:val="0"/>
        <w:numPr>
          <w:ilvl w:val="0"/>
          <w:numId w:val="5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系统出厂具备负载测试、碰撞检测、过载保护、防病毒、后台循环任务、操作记录查询、故障记录查询、中英文界面切换、与上位机通讯、程序备份等功能，具备用户坐标、工具坐标、远程工具坐标数据设定功能</w:t>
      </w:r>
      <w:r>
        <w:rPr>
          <w:rFonts w:hint="eastAsia" w:ascii="Times New Roman" w:hAnsi="Times New Roman" w:eastAsia="宋体" w:cs="Times New Roman"/>
          <w:sz w:val="24"/>
          <w:lang w:eastAsia="zh-CN"/>
        </w:rPr>
        <w:t>。</w:t>
      </w:r>
    </w:p>
    <w:p w14:paraId="7CFBBECA">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涂胶系统技术要求</w:t>
      </w:r>
    </w:p>
    <w:p w14:paraId="27E989B5">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涂胶型状：涂胶全长确保三角形断面形状，对称、无偏倒，胶高、胶宽满足工艺要求尺寸，初定胶宽：8±1mm，胶高12±1mm（以现场实际需求为准）。</w:t>
      </w:r>
    </w:p>
    <w:p w14:paraId="1E3CB132">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供胶泵系统应有两个供胶罐。当一个罐空时（设备应自动检知），能自动或手动切换到另一个。</w:t>
      </w:r>
    </w:p>
    <w:p w14:paraId="26357F36">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当设备自动检知供给罐空时，须向操作者作声光报警提示。</w:t>
      </w:r>
    </w:p>
    <w:p w14:paraId="0663B81A">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胶桶压盘带有加热控制装置，加热功率不小于2 kw，温度可调且可达到60℃。</w:t>
      </w:r>
    </w:p>
    <w:p w14:paraId="1C4868B5">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为了便捷地使用手推叉车更换胶桶，供胶泵装置须具有相应措施：设置折叠式换桶辊道，以降低胶桶底板对用手推叉车换桶时的阻力；增加胶桶定位精度以防胶桶偏斜；设置换桶操作是否完成的确认指示灯</w:t>
      </w:r>
      <w:r>
        <w:rPr>
          <w:rFonts w:hint="eastAsia" w:ascii="Times New Roman" w:hAnsi="Times New Roman" w:eastAsia="宋体" w:cs="Times New Roman"/>
          <w:sz w:val="24"/>
          <w:lang w:eastAsia="zh-CN"/>
        </w:rPr>
        <w:t>（</w:t>
      </w:r>
      <w:r>
        <w:rPr>
          <w:rFonts w:ascii="Times New Roman" w:hAnsi="Times New Roman" w:eastAsia="宋体" w:cs="Times New Roman"/>
          <w:sz w:val="24"/>
        </w:rPr>
        <w:t>空桶报警后灯亮；人工换桶完成并经确认，按下按钮后灯灭</w:t>
      </w:r>
      <w:r>
        <w:rPr>
          <w:rFonts w:hint="eastAsia" w:ascii="Times New Roman" w:hAnsi="Times New Roman" w:eastAsia="宋体" w:cs="Times New Roman"/>
          <w:sz w:val="24"/>
          <w:lang w:eastAsia="zh-CN"/>
        </w:rPr>
        <w:t>）</w:t>
      </w:r>
      <w:r>
        <w:rPr>
          <w:rFonts w:ascii="Times New Roman" w:hAnsi="Times New Roman" w:eastAsia="宋体" w:cs="Times New Roman"/>
          <w:sz w:val="24"/>
        </w:rPr>
        <w:t>。含有胶桶手推叉车，便于人工轻便地从地面和胶泵辊道上取、放胶桶。</w:t>
      </w:r>
    </w:p>
    <w:p w14:paraId="46148BAA">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胶桶压盘上的排气孔大小、位置适当，以便于换桶时的排气、清理操作。</w:t>
      </w:r>
    </w:p>
    <w:p w14:paraId="7C0DAC33">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使用交流伺服电机，可设定不同的输出量。</w:t>
      </w:r>
    </w:p>
    <w:p w14:paraId="0C708CBF">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根据涂胶的速度变化等指示，可按照设定的输出量，自动调整各段轨迹的出胶量。定流量泵的速度由机器人的模拟量输出基板控制给定，可通过机器人示教编程实现对出胶速度的灵活控制，最终能保证胶型品质。</w:t>
      </w:r>
    </w:p>
    <w:p w14:paraId="58698F54">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在定量机的输入、输出端设置机械式压力计和压力显示，在上、下限压力异常时须向操作者声光报警。</w:t>
      </w:r>
    </w:p>
    <w:p w14:paraId="0CF9068F">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定量机的流量精度高于2%，其输出量须保证涂胶枪在涂胶直线段的移动速度可大于300mm/s，定量机的容积＞600 CC。</w:t>
      </w:r>
    </w:p>
    <w:p w14:paraId="27D4EA5A">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在配管、软管上设置加热装置，可对粘接剂实现保温。</w:t>
      </w:r>
      <w:r>
        <w:rPr>
          <w:rFonts w:ascii="Times New Roman" w:hAnsi="Times New Roman" w:eastAsia="宋体" w:cs="Times New Roman"/>
          <w:sz w:val="24"/>
        </w:rPr>
        <w:tab/>
      </w:r>
    </w:p>
    <w:p w14:paraId="045C5E28">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供胶软、硬管道，须采用耐高压管路，且带加热器。</w:t>
      </w:r>
    </w:p>
    <w:p w14:paraId="11C68EC9">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软管使用聚四氟乙烯管，并要求有良好的耐久性能。必要处须合理固定并用平衡器悬挂，以防止管道弯折损坏。</w:t>
      </w:r>
    </w:p>
    <w:p w14:paraId="48303CE1">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机器人手臂或涂胶枪上的胶管接头，需防止松动。配管不随涂胶枪一起旋转。</w:t>
      </w:r>
    </w:p>
    <w:p w14:paraId="0895588C">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管路各处采用耐压型高强度密封，且管路要求降低流体阻力和胶压。</w:t>
      </w:r>
    </w:p>
    <w:p w14:paraId="4867043E">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管路要求固定牢靠，不能在受压状态下过度扭曲，以免发生弹性形变撞击人或物；定量泵至胶枪段输胶管路吊挂合理，能够与枪头运动配合流畅，运动过程中不能与机器人臂发生摩擦而导致胶管使用寿命下降。汇流块至定量泵采用加热硬胶管，其它均为高压特氟龙加热软管。输胶管路设置相应的阀门，用于换桶排胶或切断管路供胶功能。</w:t>
      </w:r>
    </w:p>
    <w:p w14:paraId="725AAB02">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加热器可按加热控制装置的控制，可任意设定胶泵、胶管内胶的温度（室温—60℃）。</w:t>
      </w:r>
    </w:p>
    <w:p w14:paraId="078BCD5E">
      <w:pPr>
        <w:keepNext w:val="0"/>
        <w:keepLines w:val="0"/>
        <w:pageBreakBefore w:val="0"/>
        <w:widowControl w:val="0"/>
        <w:numPr>
          <w:ilvl w:val="0"/>
          <w:numId w:val="5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加热器设置日历型定时器；在温度异常时需向操作者声光报警。</w:t>
      </w:r>
    </w:p>
    <w:p w14:paraId="31AF74F2">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玻璃对中台技术要求</w:t>
      </w:r>
    </w:p>
    <w:p w14:paraId="626A6E2B">
      <w:pPr>
        <w:keepNext w:val="0"/>
        <w:keepLines w:val="0"/>
        <w:pageBreakBefore w:val="0"/>
        <w:widowControl w:val="0"/>
        <w:numPr>
          <w:ilvl w:val="0"/>
          <w:numId w:val="5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夹紧定位机构定位重复性精度±0.3mm，采用双向同步移动对中夹紧，且夹紧可靠，确保机器人在抓取工件时工件位置不发生变化，不导致定位精度损失，前后风挡可通用。</w:t>
      </w:r>
    </w:p>
    <w:p w14:paraId="6ED733C5">
      <w:pPr>
        <w:keepNext w:val="0"/>
        <w:keepLines w:val="0"/>
        <w:pageBreakBefore w:val="0"/>
        <w:widowControl w:val="0"/>
        <w:numPr>
          <w:ilvl w:val="0"/>
          <w:numId w:val="5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对中立柱无锋利棱边，硬度和夹紧力合适，不损伤玻璃。X向及Y向夹紧均配备独立调压阀，可独立调节夹紧气压。</w:t>
      </w:r>
    </w:p>
    <w:p w14:paraId="5F815880">
      <w:pPr>
        <w:keepNext w:val="0"/>
        <w:keepLines w:val="0"/>
        <w:pageBreakBefore w:val="0"/>
        <w:widowControl w:val="0"/>
        <w:numPr>
          <w:ilvl w:val="0"/>
          <w:numId w:val="5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活动部件设置润滑口，对齿轮/齿条/导轨滑块等进行注油润滑，保证行走的稳定性。</w:t>
      </w:r>
    </w:p>
    <w:p w14:paraId="2302D75B">
      <w:pPr>
        <w:keepNext w:val="0"/>
        <w:keepLines w:val="0"/>
        <w:pageBreakBefore w:val="0"/>
        <w:widowControl w:val="0"/>
        <w:numPr>
          <w:ilvl w:val="0"/>
          <w:numId w:val="5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对中台配备位移传感器，可测量玻璃X、Y方向尺寸。为了对中定位时自动判断车型，要求每个车型、每种玻璃分开设置；参数设置须输入密码。</w:t>
      </w:r>
    </w:p>
    <w:p w14:paraId="5CFDFFBE">
      <w:pPr>
        <w:keepNext w:val="0"/>
        <w:keepLines w:val="0"/>
        <w:pageBreakBefore w:val="0"/>
        <w:widowControl w:val="0"/>
        <w:numPr>
          <w:ilvl w:val="0"/>
          <w:numId w:val="5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玻璃识别后，与从生产管理系统或者人工按钮输入获取的车型进行比对，比对不通过声光报警，不进行下一步动作。设备设置上料车型按钮，员工上料时确认车型并按下对应车型按钮。设备自动比对识别出的车型，以及员工选择的车型，不一致时声光报警。现场安调时，如有生产管理系统，则与生产管理系统联调，如没有生产管理系统，则采用按钮方案。</w:t>
      </w:r>
    </w:p>
    <w:p w14:paraId="45E3FC6E">
      <w:pPr>
        <w:keepNext w:val="0"/>
        <w:keepLines w:val="0"/>
        <w:pageBreakBefore w:val="0"/>
        <w:widowControl w:val="0"/>
        <w:numPr>
          <w:ilvl w:val="0"/>
          <w:numId w:val="5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玻璃识别不一致报警时，需要员工对玻璃类别进行确认，根据确认的结果，在触摸屏上选择继续涂胶，或者结束涂胶流程，进入围栏区域手动取出玻璃。</w:t>
      </w:r>
    </w:p>
    <w:p w14:paraId="1A5EE484">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玻璃对中台技术要求</w:t>
      </w:r>
    </w:p>
    <w:p w14:paraId="13FC1B57">
      <w:pPr>
        <w:keepNext w:val="0"/>
        <w:keepLines w:val="0"/>
        <w:pageBreakBefore w:val="0"/>
        <w:widowControl w:val="0"/>
        <w:numPr>
          <w:ilvl w:val="0"/>
          <w:numId w:val="575"/>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翻转机工作过程中要求对玻璃无划伤、压伤，玻璃抓取可靠。</w:t>
      </w:r>
    </w:p>
    <w:p w14:paraId="5DB80243">
      <w:pPr>
        <w:keepNext w:val="0"/>
        <w:keepLines w:val="0"/>
        <w:pageBreakBefore w:val="0"/>
        <w:widowControl w:val="0"/>
        <w:numPr>
          <w:ilvl w:val="0"/>
          <w:numId w:val="575"/>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翻转机抓手设置至少2个玻璃真空吸盘，真空发生器独立控制，吸盘直径不小于Φ50 mm，同时配置负压表，以便于判定真空回路故障，具备吸盘真空检测、报警功能。</w:t>
      </w:r>
    </w:p>
    <w:p w14:paraId="7814FB7F">
      <w:pPr>
        <w:keepNext w:val="0"/>
        <w:keepLines w:val="0"/>
        <w:pageBreakBefore w:val="0"/>
        <w:widowControl w:val="0"/>
        <w:numPr>
          <w:ilvl w:val="0"/>
          <w:numId w:val="575"/>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配备断气保护功能等安全装置，防止因管路突然断气而导致工件从夹具上掉落。</w:t>
      </w:r>
    </w:p>
    <w:p w14:paraId="570DBFA5">
      <w:pPr>
        <w:keepNext w:val="0"/>
        <w:keepLines w:val="0"/>
        <w:pageBreakBefore w:val="0"/>
        <w:widowControl w:val="0"/>
        <w:numPr>
          <w:ilvl w:val="0"/>
          <w:numId w:val="575"/>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吸盘的供气系统设计应设置压力平衡回路，保证在抓取和释放时对工件位置不造成影响，重复抓取和释放工件的重复性精度≤±1mm。</w:t>
      </w:r>
    </w:p>
    <w:p w14:paraId="0F3757C5">
      <w:pPr>
        <w:keepNext w:val="0"/>
        <w:keepLines w:val="0"/>
        <w:pageBreakBefore w:val="0"/>
        <w:widowControl w:val="0"/>
        <w:numPr>
          <w:ilvl w:val="0"/>
          <w:numId w:val="575"/>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活动部件设置润滑口，对齿轮/齿条/导轨滑块等进行注油润滑，保证行走的稳定性。</w:t>
      </w:r>
    </w:p>
    <w:p w14:paraId="07FAABE9">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清胶装置技术要求</w:t>
      </w:r>
    </w:p>
    <w:p w14:paraId="1A02A32D">
      <w:pPr>
        <w:keepNext w:val="0"/>
        <w:keepLines w:val="0"/>
        <w:pageBreakBefore w:val="0"/>
        <w:widowControl w:val="0"/>
        <w:numPr>
          <w:ilvl w:val="0"/>
          <w:numId w:val="5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配备清胶装置，在清胶装置上清除胶枪口残胶，清胶程序可自动按设定频次启动及手动启动，设定频次可在人机界面上修改。</w:t>
      </w:r>
    </w:p>
    <w:p w14:paraId="4500A277">
      <w:pPr>
        <w:keepNext w:val="0"/>
        <w:keepLines w:val="0"/>
        <w:pageBreakBefore w:val="0"/>
        <w:widowControl w:val="0"/>
        <w:numPr>
          <w:ilvl w:val="0"/>
          <w:numId w:val="5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清胶装置上设置胶枪存放点，在设备停用期间胶枪口使用专用防凝油液密封，供方提供油液存储容器及相关支架。</w:t>
      </w:r>
    </w:p>
    <w:p w14:paraId="354B09FE">
      <w:pPr>
        <w:keepNext w:val="0"/>
        <w:keepLines w:val="0"/>
        <w:pageBreakBefore w:val="0"/>
        <w:widowControl w:val="0"/>
        <w:numPr>
          <w:ilvl w:val="0"/>
          <w:numId w:val="5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清胶装置配置增压泵和储气罐，采用钢丝刮划，多口吹气清胶方式。</w:t>
      </w:r>
    </w:p>
    <w:p w14:paraId="7A7B7B7A">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助力装置技术要求</w:t>
      </w:r>
    </w:p>
    <w:p w14:paraId="4EDF239B">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采用自由轨道人工拖拽形式，整个助力机构为纯气动。</w:t>
      </w:r>
    </w:p>
    <w:p w14:paraId="6DCAF6DA">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气动葫芦负责升降，气动控制吸盘进行玻璃拿取，参考下图。</w:t>
      </w:r>
    </w:p>
    <w:p w14:paraId="1DB812A2">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螺母紧固的地方需要使用全金属自锁螺母</w:t>
      </w:r>
      <w:r>
        <w:rPr>
          <w:rFonts w:hint="eastAsia" w:ascii="Times New Roman" w:hAnsi="Times New Roman" w:eastAsia="宋体" w:cs="Times New Roman"/>
          <w:color w:val="000000"/>
          <w:sz w:val="24"/>
          <w:lang w:eastAsia="zh-CN"/>
        </w:rPr>
        <w:t>。</w:t>
      </w:r>
    </w:p>
    <w:p w14:paraId="1B614B93">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螺丝紧固的地方需要使用高强度螺纹紧固胶、开口插销等防松应对</w:t>
      </w:r>
      <w:r>
        <w:rPr>
          <w:rFonts w:hint="eastAsia" w:ascii="Times New Roman" w:hAnsi="Times New Roman" w:eastAsia="宋体" w:cs="Times New Roman"/>
          <w:color w:val="000000"/>
          <w:sz w:val="24"/>
          <w:lang w:eastAsia="zh-CN"/>
        </w:rPr>
        <w:t>。</w:t>
      </w:r>
    </w:p>
    <w:p w14:paraId="7614A95A">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轨道末端需要设置金属阻挡，防止滑车滑出轨道</w:t>
      </w:r>
      <w:r>
        <w:rPr>
          <w:rFonts w:hint="eastAsia" w:ascii="Times New Roman" w:hAnsi="Times New Roman" w:eastAsia="宋体" w:cs="Times New Roman"/>
          <w:color w:val="000000"/>
          <w:sz w:val="24"/>
          <w:lang w:eastAsia="zh-CN"/>
        </w:rPr>
        <w:t>。</w:t>
      </w:r>
    </w:p>
    <w:p w14:paraId="03878AC8">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轨道、横梁、滑车都需要安装专用安全吊挂钢丝绳二次保护</w:t>
      </w:r>
      <w:r>
        <w:rPr>
          <w:rFonts w:hint="eastAsia" w:ascii="Times New Roman" w:hAnsi="Times New Roman" w:eastAsia="宋体" w:cs="Times New Roman"/>
          <w:color w:val="000000"/>
          <w:sz w:val="24"/>
          <w:lang w:eastAsia="zh-CN"/>
        </w:rPr>
        <w:t>。</w:t>
      </w:r>
    </w:p>
    <w:p w14:paraId="0AC10A32">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设备滑动过程中保证顺滑、低阻力、无噪音</w:t>
      </w:r>
      <w:r>
        <w:rPr>
          <w:rFonts w:hint="eastAsia" w:ascii="Times New Roman" w:hAnsi="Times New Roman" w:eastAsia="宋体" w:cs="Times New Roman"/>
          <w:color w:val="000000"/>
          <w:sz w:val="24"/>
          <w:lang w:eastAsia="zh-CN"/>
        </w:rPr>
        <w:t>。</w:t>
      </w:r>
    </w:p>
    <w:p w14:paraId="39F33586">
      <w:pPr>
        <w:keepNext w:val="0"/>
        <w:keepLines w:val="0"/>
        <w:pageBreakBefore w:val="0"/>
        <w:widowControl w:val="0"/>
        <w:numPr>
          <w:ilvl w:val="0"/>
          <w:numId w:val="5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轨道末端安装缓冲器，实现软停车</w:t>
      </w:r>
      <w:r>
        <w:rPr>
          <w:rFonts w:hint="eastAsia" w:ascii="Times New Roman" w:hAnsi="Times New Roman" w:eastAsia="宋体" w:cs="Times New Roman"/>
          <w:color w:val="000000"/>
          <w:sz w:val="24"/>
          <w:lang w:eastAsia="zh-CN"/>
        </w:rPr>
        <w:t>。</w:t>
      </w:r>
    </w:p>
    <w:p w14:paraId="55587C1E">
      <w:pPr>
        <w:keepNext w:val="0"/>
        <w:keepLines w:val="0"/>
        <w:pageBreakBefore w:val="0"/>
        <w:kinsoku/>
        <w:overflowPunct/>
        <w:topLinePunct w:val="0"/>
        <w:bidi w:val="0"/>
        <w:adjustRightInd w:val="0"/>
        <w:snapToGrid w:val="0"/>
        <w:spacing w:afterAutospacing="0" w:line="360" w:lineRule="auto"/>
        <w:jc w:val="center"/>
        <w:rPr>
          <w:rFonts w:eastAsia="宋体" w:cs="宋体-方正超大字符集" w:asciiTheme="minorEastAsia" w:hAnsiTheme="minorEastAsia"/>
          <w:sz w:val="24"/>
          <w:szCs w:val="20"/>
        </w:rPr>
      </w:pPr>
      <w:r>
        <w:rPr>
          <w:rFonts w:ascii="Times New Roman" w:hAnsi="Times New Roman" w:eastAsia="宋体" w:cs="Times New Roman"/>
          <w:szCs w:val="20"/>
        </w:rPr>
        <w:drawing>
          <wp:inline distT="0" distB="0" distL="0" distR="0">
            <wp:extent cx="5274310" cy="3068320"/>
            <wp:effectExtent l="0" t="0" r="13970" b="10160"/>
            <wp:docPr id="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1"/>
                    <pic:cNvPicPr>
                      <a:picLocks noChangeAspect="1"/>
                    </pic:cNvPicPr>
                  </pic:nvPicPr>
                  <pic:blipFill>
                    <a:blip r:embed="rId58"/>
                    <a:stretch>
                      <a:fillRect/>
                    </a:stretch>
                  </pic:blipFill>
                  <pic:spPr>
                    <a:xfrm>
                      <a:off x="0" y="0"/>
                      <a:ext cx="5274310" cy="3073359"/>
                    </a:xfrm>
                    <a:prstGeom prst="rect">
                      <a:avLst/>
                    </a:prstGeom>
                  </pic:spPr>
                </pic:pic>
              </a:graphicData>
            </a:graphic>
          </wp:inline>
        </w:drawing>
      </w:r>
    </w:p>
    <w:p w14:paraId="02FDAF16">
      <w:pPr>
        <w:keepNext w:val="0"/>
        <w:keepLines w:val="0"/>
        <w:pageBreakBefore w:val="0"/>
        <w:kinsoku/>
        <w:overflowPunct/>
        <w:topLinePunct w:val="0"/>
        <w:bidi w:val="0"/>
        <w:adjustRightInd w:val="0"/>
        <w:snapToGrid w:val="0"/>
        <w:spacing w:afterAutospacing="0" w:line="360" w:lineRule="auto"/>
        <w:rPr>
          <w:rFonts w:eastAsia="宋体" w:cs="宋体-方正超大字符集" w:asciiTheme="minorEastAsia" w:hAnsiTheme="minorEastAsia"/>
          <w:sz w:val="24"/>
          <w:szCs w:val="20"/>
        </w:rPr>
      </w:pPr>
    </w:p>
    <w:p w14:paraId="2335F6AC">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轨道配置清单：</w:t>
      </w:r>
    </w:p>
    <w:tbl>
      <w:tblPr>
        <w:tblStyle w:val="44"/>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289"/>
        <w:gridCol w:w="1505"/>
        <w:gridCol w:w="4448"/>
      </w:tblGrid>
      <w:tr w14:paraId="33D6E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32F3A3E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289" w:type="dxa"/>
            <w:shd w:val="clear" w:color="auto" w:fill="auto"/>
            <w:vAlign w:val="center"/>
          </w:tcPr>
          <w:p w14:paraId="273A085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名称</w:t>
            </w:r>
          </w:p>
        </w:tc>
        <w:tc>
          <w:tcPr>
            <w:tcW w:w="1505" w:type="dxa"/>
            <w:shd w:val="clear" w:color="auto" w:fill="auto"/>
            <w:vAlign w:val="center"/>
          </w:tcPr>
          <w:p w14:paraId="4A6758F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数量</w:t>
            </w:r>
          </w:p>
        </w:tc>
        <w:tc>
          <w:tcPr>
            <w:tcW w:w="4448" w:type="dxa"/>
            <w:shd w:val="clear" w:color="auto" w:fill="auto"/>
            <w:vAlign w:val="center"/>
          </w:tcPr>
          <w:p w14:paraId="6930F3F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内容</w:t>
            </w:r>
          </w:p>
        </w:tc>
      </w:tr>
      <w:tr w14:paraId="3730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3CF6DC3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1</w:t>
            </w:r>
          </w:p>
        </w:tc>
        <w:tc>
          <w:tcPr>
            <w:tcW w:w="2289" w:type="dxa"/>
            <w:shd w:val="clear" w:color="auto" w:fill="auto"/>
            <w:vAlign w:val="center"/>
          </w:tcPr>
          <w:p w14:paraId="0FDB96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铝合金轨道</w:t>
            </w:r>
          </w:p>
        </w:tc>
        <w:tc>
          <w:tcPr>
            <w:tcW w:w="1505" w:type="dxa"/>
            <w:shd w:val="clear" w:color="auto" w:fill="auto"/>
            <w:vAlign w:val="center"/>
          </w:tcPr>
          <w:p w14:paraId="37DD42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若干</w:t>
            </w:r>
          </w:p>
        </w:tc>
        <w:tc>
          <w:tcPr>
            <w:tcW w:w="4448" w:type="dxa"/>
            <w:shd w:val="clear" w:color="auto" w:fill="auto"/>
            <w:vAlign w:val="center"/>
          </w:tcPr>
          <w:p w14:paraId="337A8626">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全封闭式铝合金轨道，承载力满足最大玻璃</w:t>
            </w:r>
          </w:p>
        </w:tc>
      </w:tr>
      <w:tr w14:paraId="00ABE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4DFCAE6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2</w:t>
            </w:r>
          </w:p>
        </w:tc>
        <w:tc>
          <w:tcPr>
            <w:tcW w:w="2289" w:type="dxa"/>
            <w:shd w:val="clear" w:color="auto" w:fill="auto"/>
            <w:vAlign w:val="center"/>
          </w:tcPr>
          <w:p w14:paraId="4034AA1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轨道专用吊挂件</w:t>
            </w:r>
          </w:p>
        </w:tc>
        <w:tc>
          <w:tcPr>
            <w:tcW w:w="1505" w:type="dxa"/>
            <w:shd w:val="clear" w:color="auto" w:fill="auto"/>
            <w:vAlign w:val="center"/>
          </w:tcPr>
          <w:p w14:paraId="7171862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若干</w:t>
            </w:r>
          </w:p>
        </w:tc>
        <w:tc>
          <w:tcPr>
            <w:tcW w:w="4448" w:type="dxa"/>
            <w:shd w:val="clear" w:color="auto" w:fill="auto"/>
            <w:vAlign w:val="center"/>
          </w:tcPr>
          <w:p w14:paraId="34BD1FD9">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可调刚性吊挂件，可满足现场工字钢梁的吊挂需求</w:t>
            </w:r>
          </w:p>
        </w:tc>
      </w:tr>
      <w:tr w14:paraId="2E7A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2DB4B9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3</w:t>
            </w:r>
          </w:p>
        </w:tc>
        <w:tc>
          <w:tcPr>
            <w:tcW w:w="2289" w:type="dxa"/>
            <w:shd w:val="clear" w:color="auto" w:fill="auto"/>
            <w:vAlign w:val="center"/>
          </w:tcPr>
          <w:p w14:paraId="3749DBD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低摩擦轨道滑车</w:t>
            </w:r>
          </w:p>
        </w:tc>
        <w:tc>
          <w:tcPr>
            <w:tcW w:w="1505" w:type="dxa"/>
            <w:shd w:val="clear" w:color="auto" w:fill="auto"/>
            <w:vAlign w:val="center"/>
          </w:tcPr>
          <w:p w14:paraId="07D4F876">
            <w:pPr>
              <w:keepNext w:val="0"/>
              <w:keepLines w:val="0"/>
              <w:pageBreakBefore w:val="0"/>
              <w:kinsoku/>
              <w:overflowPunct/>
              <w:topLinePunct w:val="0"/>
              <w:bidi w:val="0"/>
              <w:adjustRightInd w:val="0"/>
              <w:snapToGrid w:val="0"/>
              <w:spacing w:afterAutospacing="0" w:line="240" w:lineRule="auto"/>
              <w:jc w:val="center"/>
              <w:rPr>
                <w:rFonts w:ascii="Times New Roman" w:hAnsi="Times New Roman" w:eastAsia="宋体" w:cs="Times New Roman"/>
                <w:sz w:val="24"/>
                <w:szCs w:val="24"/>
              </w:rPr>
            </w:pPr>
            <w:r>
              <w:rPr>
                <w:rFonts w:hint="eastAsia" w:ascii="宋体" w:hAnsi="宋体" w:eastAsia="宋体" w:cs="Times New Roman"/>
                <w:color w:val="000000"/>
                <w:sz w:val="24"/>
                <w:szCs w:val="24"/>
              </w:rPr>
              <w:t>若干</w:t>
            </w:r>
          </w:p>
        </w:tc>
        <w:tc>
          <w:tcPr>
            <w:tcW w:w="4448" w:type="dxa"/>
            <w:shd w:val="clear" w:color="auto" w:fill="auto"/>
            <w:vAlign w:val="center"/>
          </w:tcPr>
          <w:p w14:paraId="4AE221EE">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铝制压铸轨道滑车</w:t>
            </w:r>
          </w:p>
        </w:tc>
      </w:tr>
      <w:tr w14:paraId="2DC9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36217CC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4</w:t>
            </w:r>
          </w:p>
        </w:tc>
        <w:tc>
          <w:tcPr>
            <w:tcW w:w="2289" w:type="dxa"/>
            <w:shd w:val="clear" w:color="auto" w:fill="auto"/>
            <w:vAlign w:val="center"/>
          </w:tcPr>
          <w:p w14:paraId="4338854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轨道末端插销</w:t>
            </w:r>
          </w:p>
        </w:tc>
        <w:tc>
          <w:tcPr>
            <w:tcW w:w="1505" w:type="dxa"/>
            <w:shd w:val="clear" w:color="auto" w:fill="auto"/>
            <w:vAlign w:val="center"/>
          </w:tcPr>
          <w:p w14:paraId="59BF4B30">
            <w:pPr>
              <w:keepNext w:val="0"/>
              <w:keepLines w:val="0"/>
              <w:pageBreakBefore w:val="0"/>
              <w:kinsoku/>
              <w:overflowPunct/>
              <w:topLinePunct w:val="0"/>
              <w:bidi w:val="0"/>
              <w:adjustRightInd w:val="0"/>
              <w:snapToGrid w:val="0"/>
              <w:spacing w:afterAutospacing="0" w:line="240" w:lineRule="auto"/>
              <w:jc w:val="center"/>
              <w:rPr>
                <w:rFonts w:ascii="Times New Roman" w:hAnsi="Times New Roman" w:eastAsia="宋体" w:cs="Times New Roman"/>
                <w:sz w:val="24"/>
                <w:szCs w:val="24"/>
              </w:rPr>
            </w:pPr>
            <w:r>
              <w:rPr>
                <w:rFonts w:hint="eastAsia" w:ascii="宋体" w:hAnsi="宋体" w:eastAsia="宋体" w:cs="Times New Roman"/>
                <w:color w:val="000000"/>
                <w:sz w:val="24"/>
                <w:szCs w:val="24"/>
              </w:rPr>
              <w:t>若干</w:t>
            </w:r>
          </w:p>
        </w:tc>
        <w:tc>
          <w:tcPr>
            <w:tcW w:w="4448" w:type="dxa"/>
            <w:shd w:val="clear" w:color="auto" w:fill="auto"/>
            <w:vAlign w:val="center"/>
          </w:tcPr>
          <w:p w14:paraId="3DBCA6C0">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防止滑车滑出轨道</w:t>
            </w:r>
          </w:p>
        </w:tc>
      </w:tr>
      <w:tr w14:paraId="4CC5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683D6B3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5</w:t>
            </w:r>
          </w:p>
        </w:tc>
        <w:tc>
          <w:tcPr>
            <w:tcW w:w="2289" w:type="dxa"/>
            <w:shd w:val="clear" w:color="auto" w:fill="auto"/>
            <w:vAlign w:val="center"/>
          </w:tcPr>
          <w:p w14:paraId="3969FA5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安全吊挂绳及附件</w:t>
            </w:r>
          </w:p>
        </w:tc>
        <w:tc>
          <w:tcPr>
            <w:tcW w:w="1505" w:type="dxa"/>
            <w:shd w:val="clear" w:color="auto" w:fill="auto"/>
            <w:vAlign w:val="center"/>
          </w:tcPr>
          <w:p w14:paraId="2EAD115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若干</w:t>
            </w:r>
          </w:p>
        </w:tc>
        <w:tc>
          <w:tcPr>
            <w:tcW w:w="4448" w:type="dxa"/>
            <w:shd w:val="clear" w:color="auto" w:fill="auto"/>
            <w:vAlign w:val="center"/>
          </w:tcPr>
          <w:p w14:paraId="2308DB23">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轨道、横梁、滑车专用安全吊挂钢丝绳二次保护</w:t>
            </w:r>
          </w:p>
        </w:tc>
      </w:tr>
      <w:tr w14:paraId="1541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99" w:type="dxa"/>
            <w:shd w:val="clear" w:color="auto" w:fill="auto"/>
            <w:noWrap/>
            <w:vAlign w:val="center"/>
          </w:tcPr>
          <w:p w14:paraId="6BAB39B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6</w:t>
            </w:r>
          </w:p>
        </w:tc>
        <w:tc>
          <w:tcPr>
            <w:tcW w:w="2289" w:type="dxa"/>
            <w:shd w:val="clear" w:color="auto" w:fill="auto"/>
            <w:vAlign w:val="center"/>
          </w:tcPr>
          <w:p w14:paraId="532C556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端盖</w:t>
            </w:r>
          </w:p>
        </w:tc>
        <w:tc>
          <w:tcPr>
            <w:tcW w:w="1505" w:type="dxa"/>
            <w:shd w:val="clear" w:color="auto" w:fill="auto"/>
            <w:vAlign w:val="center"/>
          </w:tcPr>
          <w:p w14:paraId="1EBE01D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color w:val="000000"/>
                <w:sz w:val="24"/>
                <w:szCs w:val="24"/>
              </w:rPr>
            </w:pPr>
            <w:r>
              <w:rPr>
                <w:rFonts w:ascii="宋体" w:hAnsi="宋体" w:eastAsia="宋体" w:cs="Times New Roman"/>
                <w:color w:val="000000"/>
                <w:sz w:val="24"/>
                <w:szCs w:val="24"/>
              </w:rPr>
              <w:t>轨道端面</w:t>
            </w:r>
          </w:p>
        </w:tc>
        <w:tc>
          <w:tcPr>
            <w:tcW w:w="4448" w:type="dxa"/>
            <w:shd w:val="clear" w:color="auto" w:fill="auto"/>
            <w:vAlign w:val="center"/>
          </w:tcPr>
          <w:p w14:paraId="5F0AEA10">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安全防护轨道端面</w:t>
            </w:r>
          </w:p>
        </w:tc>
      </w:tr>
    </w:tbl>
    <w:p w14:paraId="372182F2">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安全系统技术要求</w:t>
      </w:r>
    </w:p>
    <w:p w14:paraId="2B8B0356">
      <w:pPr>
        <w:keepNext w:val="0"/>
        <w:keepLines w:val="0"/>
        <w:pageBreakBefore w:val="0"/>
        <w:widowControl w:val="0"/>
        <w:numPr>
          <w:ilvl w:val="0"/>
          <w:numId w:val="5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输送线及各机器人作业区域采用安全围栏防护，保证与人员作业区域有效隔离。</w:t>
      </w:r>
    </w:p>
    <w:p w14:paraId="612D448F">
      <w:pPr>
        <w:keepNext w:val="0"/>
        <w:keepLines w:val="0"/>
        <w:pageBreakBefore w:val="0"/>
        <w:widowControl w:val="0"/>
        <w:numPr>
          <w:ilvl w:val="0"/>
          <w:numId w:val="5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固定围栏配备安全门供维修进入，安全门上安装相应安全门锁，拔出时硬件回路断电锁死机器人动作。</w:t>
      </w:r>
    </w:p>
    <w:p w14:paraId="425CA824">
      <w:pPr>
        <w:keepNext w:val="0"/>
        <w:keepLines w:val="0"/>
        <w:pageBreakBefore w:val="0"/>
        <w:widowControl w:val="0"/>
        <w:numPr>
          <w:ilvl w:val="0"/>
          <w:numId w:val="5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安全围栏选用参照关键外购件选型清单。</w:t>
      </w:r>
    </w:p>
    <w:p w14:paraId="25B00348">
      <w:pPr>
        <w:keepNext w:val="0"/>
        <w:keepLines w:val="0"/>
        <w:pageBreakBefore w:val="0"/>
        <w:widowControl w:val="0"/>
        <w:numPr>
          <w:ilvl w:val="0"/>
          <w:numId w:val="5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安全围栏及安全光栅的布置需经过需方会签确认</w:t>
      </w:r>
    </w:p>
    <w:p w14:paraId="2A4BD814">
      <w:pPr>
        <w:keepNext w:val="0"/>
        <w:keepLines w:val="0"/>
        <w:pageBreakBefore w:val="0"/>
        <w:widowControl w:val="0"/>
        <w:numPr>
          <w:ilvl w:val="0"/>
          <w:numId w:val="57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电控系统技术要求</w:t>
      </w:r>
    </w:p>
    <w:p w14:paraId="729A7194">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能进行整套系统的自动控制、检测、显示、保护、报警等功能，且能对系统故障自诊断。</w:t>
      </w:r>
    </w:p>
    <w:p w14:paraId="67CBA032">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整个系统的总控电气柜由PLC、12寸触摸屏，以及继电器、开关、按钮、指示灯等电气辅料等组成。电器元件都通过DIN导轨挂载的方式固定在控制柜箱体内。</w:t>
      </w:r>
    </w:p>
    <w:p w14:paraId="7E046559">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电控箱内线路布局合理，线束可将不同直径的连接线固定至布线板后方，整齐，美观，散热性好，方便维护</w:t>
      </w:r>
      <w:r>
        <w:rPr>
          <w:rFonts w:hint="eastAsia" w:ascii="Times New Roman" w:hAnsi="Times New Roman" w:eastAsia="宋体" w:cs="Times New Roman"/>
          <w:sz w:val="24"/>
          <w:lang w:eastAsia="zh-CN"/>
        </w:rPr>
        <w:t>，</w:t>
      </w:r>
      <w:r>
        <w:rPr>
          <w:rFonts w:ascii="Times New Roman" w:hAnsi="Times New Roman" w:eastAsia="宋体" w:cs="Times New Roman"/>
          <w:sz w:val="24"/>
        </w:rPr>
        <w:t>电气接线和气路接线都需要有标识。</w:t>
      </w:r>
    </w:p>
    <w:p w14:paraId="2D50B0EF">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人机界面采用12寸触摸屏，触摸屏中心的高度离开地面约为1550mm（图纸会签时确定最终高度）。通过人机界面设定相应的工艺参数。</w:t>
      </w:r>
    </w:p>
    <w:p w14:paraId="77F5BF39">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系统的总控电气柜中配有照明、配电插座，并配备自蒸发式空调对控制柜进行温度控制。</w:t>
      </w:r>
    </w:p>
    <w:p w14:paraId="5A81BB6B">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电控系统作为独立的电控组，机器人及视觉系统外其余外部设备都分别由总线耦合器作为从站通过以太网接入总控PLC。</w:t>
      </w:r>
    </w:p>
    <w:p w14:paraId="68A79A79">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设备配有三色指示灯，绿色为正常运行，黄色为故障，红色为停止，绿色黄色同时亮为手动运行状态，红色与黄色同时亮为维修状态。</w:t>
      </w:r>
    </w:p>
    <w:p w14:paraId="21A48ED1">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设备具有出错声光报警功能。</w:t>
      </w:r>
    </w:p>
    <w:p w14:paraId="6A3B1BA3">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系统的启动、停止以及暂停、急停等运转方式均可通过PLC 控制面板控制。</w:t>
      </w:r>
    </w:p>
    <w:p w14:paraId="771A98E3">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触摸屏可显示整个机器人工作站的运行状态；当系统出现故障时，屏幕可自动弹出相关警告画面或警告语句，并能以画面形式显示故障点。</w:t>
      </w:r>
    </w:p>
    <w:p w14:paraId="6D8B655F">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系统具有自动、手动运行状态。</w:t>
      </w:r>
    </w:p>
    <w:p w14:paraId="745AEDA2">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机器人控制柜正常运行的温度应适应</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现场环境，保证在高温或者低温条件下控制柜能够正常工作。</w:t>
      </w:r>
    </w:p>
    <w:p w14:paraId="6DCB074F">
      <w:pPr>
        <w:keepNext w:val="0"/>
        <w:keepLines w:val="0"/>
        <w:pageBreakBefore w:val="0"/>
        <w:widowControl w:val="0"/>
        <w:numPr>
          <w:ilvl w:val="0"/>
          <w:numId w:val="5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控制柜内要求冷却装置，温度不得高于45℃。</w:t>
      </w:r>
    </w:p>
    <w:p w14:paraId="36E34ED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val="en-US" w:eastAsia="zh-CN"/>
        </w:rPr>
      </w:pPr>
      <w:r>
        <w:rPr>
          <w:rFonts w:ascii="Times New Roman" w:hAnsi="Times New Roman" w:eastAsia="宋体" w:cs="Times New Roman"/>
          <w:sz w:val="24"/>
        </w:rPr>
        <w:t>触摸屏显示界面</w:t>
      </w:r>
      <w:r>
        <w:rPr>
          <w:rFonts w:hint="eastAsia" w:cs="Times New Roman"/>
          <w:sz w:val="24"/>
          <w:lang w:eastAsia="zh-CN"/>
        </w:rPr>
        <w:t>：</w:t>
      </w:r>
    </w:p>
    <w:p w14:paraId="13C25FE8">
      <w:pPr>
        <w:keepNext w:val="0"/>
        <w:keepLines w:val="0"/>
        <w:pageBreakBefore w:val="0"/>
        <w:widowControl w:val="0"/>
        <w:numPr>
          <w:ilvl w:val="0"/>
          <w:numId w:val="5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显示系统的运行状态、设备状态信息，监控PLC程序的实时运行状态。</w:t>
      </w:r>
    </w:p>
    <w:p w14:paraId="46D02DD8">
      <w:pPr>
        <w:keepNext w:val="0"/>
        <w:keepLines w:val="0"/>
        <w:pageBreakBefore w:val="0"/>
        <w:widowControl w:val="0"/>
        <w:numPr>
          <w:ilvl w:val="0"/>
          <w:numId w:val="5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显示异常记录。要求记录异常代码、内容、发生时间、复位时间。报警时用红字显示，复位后用绿字显示，至少可记录200条信息。</w:t>
      </w:r>
    </w:p>
    <w:p w14:paraId="6C1FA71E">
      <w:pPr>
        <w:keepNext w:val="0"/>
        <w:keepLines w:val="0"/>
        <w:pageBreakBefore w:val="0"/>
        <w:widowControl w:val="0"/>
        <w:numPr>
          <w:ilvl w:val="0"/>
          <w:numId w:val="5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显示系统的报警信息和维修提示。</w:t>
      </w:r>
    </w:p>
    <w:p w14:paraId="4C184B26">
      <w:pPr>
        <w:keepNext w:val="0"/>
        <w:keepLines w:val="0"/>
        <w:pageBreakBefore w:val="0"/>
        <w:widowControl w:val="0"/>
        <w:numPr>
          <w:ilvl w:val="0"/>
          <w:numId w:val="58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显示系统的操作规程及其他有用信息便于操作。</w:t>
      </w:r>
    </w:p>
    <w:p w14:paraId="55552CE3">
      <w:pPr>
        <w:keepNext w:val="0"/>
        <w:keepLines w:val="0"/>
        <w:pageBreakBefore w:val="0"/>
        <w:widowControl w:val="0"/>
        <w:numPr>
          <w:ilvl w:val="0"/>
          <w:numId w:val="569"/>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涂胶设备品牌要求</w:t>
      </w:r>
    </w:p>
    <w:p w14:paraId="71F0128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涂胶设备部分元器件品牌优先选择如下表，如选择清单规定外品牌，需经需方同意，未经需方同意，不得单方面替换。</w:t>
      </w:r>
    </w:p>
    <w:tbl>
      <w:tblPr>
        <w:tblStyle w:val="4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2242"/>
        <w:gridCol w:w="1546"/>
        <w:gridCol w:w="1798"/>
        <w:gridCol w:w="1667"/>
        <w:gridCol w:w="1573"/>
      </w:tblGrid>
      <w:tr w14:paraId="2D081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shd w:val="clear" w:color="auto" w:fill="auto"/>
            <w:noWrap/>
            <w:vAlign w:val="center"/>
          </w:tcPr>
          <w:p w14:paraId="4A896FB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1162" w:type="pct"/>
            <w:shd w:val="clear" w:color="auto" w:fill="auto"/>
            <w:noWrap/>
            <w:vAlign w:val="center"/>
          </w:tcPr>
          <w:p w14:paraId="3A5D246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元器件名称</w:t>
            </w:r>
          </w:p>
        </w:tc>
        <w:tc>
          <w:tcPr>
            <w:tcW w:w="2597" w:type="pct"/>
            <w:gridSpan w:val="3"/>
            <w:shd w:val="clear" w:color="auto" w:fill="auto"/>
            <w:noWrap/>
            <w:vAlign w:val="center"/>
          </w:tcPr>
          <w:p w14:paraId="1260024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相当于或优于以下品牌</w:t>
            </w:r>
          </w:p>
        </w:tc>
        <w:tc>
          <w:tcPr>
            <w:tcW w:w="815" w:type="pct"/>
            <w:shd w:val="clear" w:color="auto" w:fill="auto"/>
            <w:noWrap/>
            <w:vAlign w:val="center"/>
          </w:tcPr>
          <w:p w14:paraId="7F0FAB2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备注</w:t>
            </w:r>
          </w:p>
        </w:tc>
      </w:tr>
      <w:tr w14:paraId="5A247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shd w:val="clear" w:color="auto" w:fill="auto"/>
            <w:noWrap/>
            <w:vAlign w:val="center"/>
          </w:tcPr>
          <w:p w14:paraId="66A951A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1162" w:type="pct"/>
            <w:shd w:val="clear" w:color="auto" w:fill="auto"/>
            <w:vAlign w:val="center"/>
          </w:tcPr>
          <w:p w14:paraId="0179F9E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激光测距仪</w:t>
            </w:r>
          </w:p>
        </w:tc>
        <w:tc>
          <w:tcPr>
            <w:tcW w:w="801" w:type="pct"/>
            <w:shd w:val="clear" w:color="auto" w:fill="auto"/>
            <w:vAlign w:val="center"/>
          </w:tcPr>
          <w:p w14:paraId="0B1290C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SICK</w:t>
            </w:r>
          </w:p>
        </w:tc>
        <w:tc>
          <w:tcPr>
            <w:tcW w:w="932" w:type="pct"/>
            <w:shd w:val="clear" w:color="auto" w:fill="auto"/>
            <w:vAlign w:val="center"/>
          </w:tcPr>
          <w:p w14:paraId="1AA9DD52">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基恩士</w:t>
            </w:r>
          </w:p>
        </w:tc>
        <w:tc>
          <w:tcPr>
            <w:tcW w:w="863" w:type="pct"/>
            <w:shd w:val="clear" w:color="auto" w:fill="auto"/>
            <w:vAlign w:val="center"/>
          </w:tcPr>
          <w:p w14:paraId="6279ECA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倍加福</w:t>
            </w:r>
          </w:p>
        </w:tc>
        <w:tc>
          <w:tcPr>
            <w:tcW w:w="815" w:type="pct"/>
            <w:shd w:val="clear" w:color="auto" w:fill="auto"/>
            <w:noWrap/>
            <w:vAlign w:val="center"/>
          </w:tcPr>
          <w:p w14:paraId="2D93C5F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trike/>
                <w:color w:val="000000"/>
                <w:kern w:val="0"/>
                <w:sz w:val="24"/>
                <w:szCs w:val="24"/>
              </w:rPr>
            </w:pPr>
          </w:p>
        </w:tc>
      </w:tr>
      <w:tr w14:paraId="5D73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shd w:val="clear" w:color="auto" w:fill="auto"/>
            <w:noWrap/>
            <w:vAlign w:val="center"/>
          </w:tcPr>
          <w:p w14:paraId="2F53A63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1162" w:type="pct"/>
            <w:shd w:val="clear" w:color="auto" w:fill="auto"/>
            <w:vAlign w:val="center"/>
          </w:tcPr>
          <w:p w14:paraId="78E649A1">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真空压力传感器</w:t>
            </w:r>
          </w:p>
        </w:tc>
        <w:tc>
          <w:tcPr>
            <w:tcW w:w="801" w:type="pct"/>
            <w:shd w:val="clear" w:color="auto" w:fill="auto"/>
            <w:vAlign w:val="center"/>
          </w:tcPr>
          <w:p w14:paraId="464D0A2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FESTO</w:t>
            </w:r>
          </w:p>
        </w:tc>
        <w:tc>
          <w:tcPr>
            <w:tcW w:w="932" w:type="pct"/>
            <w:shd w:val="clear" w:color="auto" w:fill="auto"/>
            <w:vAlign w:val="center"/>
          </w:tcPr>
          <w:p w14:paraId="60C8E1F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SMC</w:t>
            </w:r>
          </w:p>
        </w:tc>
        <w:tc>
          <w:tcPr>
            <w:tcW w:w="863" w:type="pct"/>
            <w:shd w:val="clear" w:color="auto" w:fill="auto"/>
            <w:vAlign w:val="center"/>
          </w:tcPr>
          <w:p w14:paraId="68AA2B9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trike/>
                <w:color w:val="000000"/>
                <w:kern w:val="0"/>
                <w:sz w:val="24"/>
                <w:szCs w:val="24"/>
              </w:rPr>
            </w:pPr>
            <w:r>
              <w:rPr>
                <w:rFonts w:ascii="宋体" w:hAnsi="宋体" w:eastAsia="宋体" w:cs="宋体"/>
                <w:color w:val="auto"/>
                <w:kern w:val="0"/>
                <w:sz w:val="24"/>
                <w:szCs w:val="24"/>
                <w:lang w:val="en-US" w:eastAsia="zh-CN" w:bidi="ar"/>
              </w:rPr>
              <w:t>UNIVER</w:t>
            </w:r>
          </w:p>
        </w:tc>
        <w:tc>
          <w:tcPr>
            <w:tcW w:w="815" w:type="pct"/>
            <w:shd w:val="clear" w:color="auto" w:fill="auto"/>
            <w:noWrap/>
            <w:vAlign w:val="center"/>
          </w:tcPr>
          <w:p w14:paraId="736D205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trike/>
                <w:color w:val="000000"/>
                <w:kern w:val="0"/>
                <w:sz w:val="24"/>
                <w:szCs w:val="24"/>
              </w:rPr>
            </w:pPr>
          </w:p>
        </w:tc>
      </w:tr>
      <w:tr w14:paraId="7A63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shd w:val="clear" w:color="auto" w:fill="auto"/>
            <w:noWrap/>
            <w:vAlign w:val="center"/>
          </w:tcPr>
          <w:p w14:paraId="6538BF7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162" w:type="pct"/>
            <w:shd w:val="clear" w:color="auto" w:fill="auto"/>
            <w:vAlign w:val="center"/>
          </w:tcPr>
          <w:p w14:paraId="7718205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流量计</w:t>
            </w:r>
          </w:p>
        </w:tc>
        <w:tc>
          <w:tcPr>
            <w:tcW w:w="801" w:type="pct"/>
            <w:shd w:val="clear" w:color="auto" w:fill="auto"/>
            <w:vAlign w:val="center"/>
          </w:tcPr>
          <w:p w14:paraId="58BFBF9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KRACHT</w:t>
            </w:r>
          </w:p>
        </w:tc>
        <w:tc>
          <w:tcPr>
            <w:tcW w:w="932" w:type="pct"/>
            <w:shd w:val="clear" w:color="auto" w:fill="auto"/>
            <w:vAlign w:val="center"/>
          </w:tcPr>
          <w:p w14:paraId="7524748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SMC</w:t>
            </w:r>
          </w:p>
        </w:tc>
        <w:tc>
          <w:tcPr>
            <w:tcW w:w="863" w:type="pct"/>
            <w:shd w:val="clear" w:color="auto" w:fill="auto"/>
            <w:vAlign w:val="center"/>
          </w:tcPr>
          <w:p w14:paraId="14FFE16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trike/>
                <w:color w:val="000000"/>
                <w:kern w:val="0"/>
                <w:sz w:val="24"/>
                <w:szCs w:val="24"/>
              </w:rPr>
            </w:pPr>
            <w:r>
              <w:rPr>
                <w:rFonts w:ascii="宋体" w:hAnsi="宋体" w:eastAsia="宋体" w:cs="宋体"/>
                <w:color w:val="auto"/>
                <w:kern w:val="0"/>
                <w:sz w:val="24"/>
                <w:szCs w:val="24"/>
                <w:lang w:val="en-US" w:eastAsia="zh-CN" w:bidi="ar"/>
              </w:rPr>
              <w:t>UNIVER</w:t>
            </w:r>
          </w:p>
        </w:tc>
        <w:tc>
          <w:tcPr>
            <w:tcW w:w="815" w:type="pct"/>
            <w:shd w:val="clear" w:color="auto" w:fill="auto"/>
            <w:noWrap/>
            <w:vAlign w:val="center"/>
          </w:tcPr>
          <w:p w14:paraId="4F7D6FD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trike/>
                <w:color w:val="000000"/>
                <w:kern w:val="0"/>
                <w:sz w:val="24"/>
                <w:szCs w:val="24"/>
              </w:rPr>
            </w:pPr>
          </w:p>
        </w:tc>
      </w:tr>
      <w:tr w14:paraId="1D8A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shd w:val="clear" w:color="auto" w:fill="auto"/>
            <w:noWrap/>
            <w:vAlign w:val="center"/>
          </w:tcPr>
          <w:p w14:paraId="25007D7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1162" w:type="pct"/>
            <w:shd w:val="clear" w:color="auto" w:fill="auto"/>
            <w:vAlign w:val="center"/>
          </w:tcPr>
          <w:p w14:paraId="078EAF5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真空元件</w:t>
            </w:r>
          </w:p>
        </w:tc>
        <w:tc>
          <w:tcPr>
            <w:tcW w:w="801" w:type="pct"/>
            <w:shd w:val="clear" w:color="auto" w:fill="auto"/>
            <w:vAlign w:val="center"/>
          </w:tcPr>
          <w:p w14:paraId="19F2FD5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Schmalz</w:t>
            </w:r>
          </w:p>
        </w:tc>
        <w:tc>
          <w:tcPr>
            <w:tcW w:w="932" w:type="pct"/>
            <w:shd w:val="clear" w:color="auto" w:fill="auto"/>
            <w:vAlign w:val="center"/>
          </w:tcPr>
          <w:p w14:paraId="4575C3E7">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FESTO</w:t>
            </w:r>
          </w:p>
        </w:tc>
        <w:tc>
          <w:tcPr>
            <w:tcW w:w="863" w:type="pct"/>
            <w:shd w:val="clear" w:color="auto" w:fill="auto"/>
            <w:vAlign w:val="center"/>
          </w:tcPr>
          <w:p w14:paraId="10D0235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SMC</w:t>
            </w:r>
          </w:p>
        </w:tc>
        <w:tc>
          <w:tcPr>
            <w:tcW w:w="815" w:type="pct"/>
            <w:shd w:val="clear" w:color="auto" w:fill="auto"/>
            <w:noWrap/>
            <w:vAlign w:val="center"/>
          </w:tcPr>
          <w:p w14:paraId="1089E3E4">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r w14:paraId="2FCAD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25" w:type="pct"/>
            <w:shd w:val="clear" w:color="auto" w:fill="auto"/>
            <w:noWrap/>
            <w:vAlign w:val="center"/>
          </w:tcPr>
          <w:p w14:paraId="3C5C695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162" w:type="pct"/>
            <w:shd w:val="clear" w:color="auto" w:fill="auto"/>
            <w:vAlign w:val="center"/>
          </w:tcPr>
          <w:p w14:paraId="4DC9E49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供胶系统</w:t>
            </w:r>
          </w:p>
        </w:tc>
        <w:tc>
          <w:tcPr>
            <w:tcW w:w="801" w:type="pct"/>
            <w:shd w:val="clear" w:color="auto" w:fill="auto"/>
            <w:vAlign w:val="center"/>
          </w:tcPr>
          <w:p w14:paraId="5381356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kern w:val="0"/>
                <w:sz w:val="24"/>
                <w:szCs w:val="24"/>
              </w:rPr>
              <w:t>KTR</w:t>
            </w:r>
          </w:p>
        </w:tc>
        <w:tc>
          <w:tcPr>
            <w:tcW w:w="932" w:type="pct"/>
            <w:shd w:val="clear" w:color="auto" w:fill="auto"/>
            <w:vAlign w:val="center"/>
          </w:tcPr>
          <w:p w14:paraId="4897E2E3">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ATM</w:t>
            </w:r>
          </w:p>
        </w:tc>
        <w:tc>
          <w:tcPr>
            <w:tcW w:w="863" w:type="pct"/>
            <w:shd w:val="clear" w:color="auto" w:fill="auto"/>
            <w:vAlign w:val="center"/>
          </w:tcPr>
          <w:p w14:paraId="66F2FD9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FIVES</w:t>
            </w:r>
          </w:p>
        </w:tc>
        <w:tc>
          <w:tcPr>
            <w:tcW w:w="815" w:type="pct"/>
            <w:shd w:val="clear" w:color="auto" w:fill="auto"/>
            <w:noWrap/>
            <w:vAlign w:val="center"/>
          </w:tcPr>
          <w:p w14:paraId="4D0A4CA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rPr>
            </w:pPr>
          </w:p>
        </w:tc>
      </w:tr>
    </w:tbl>
    <w:p w14:paraId="523905E6">
      <w:pPr>
        <w:keepNext w:val="0"/>
        <w:keepLines w:val="0"/>
        <w:pageBreakBefore w:val="0"/>
        <w:kinsoku/>
        <w:overflowPunct/>
        <w:topLinePunct w:val="0"/>
        <w:bidi w:val="0"/>
        <w:adjustRightInd w:val="0"/>
        <w:snapToGrid w:val="0"/>
        <w:spacing w:afterAutospacing="0" w:line="360" w:lineRule="auto"/>
        <w:rPr>
          <w:rFonts w:ascii="Times New Roman" w:hAnsi="Times New Roman" w:eastAsia="宋体" w:cs="Times New Roman"/>
          <w:szCs w:val="20"/>
        </w:rPr>
      </w:pPr>
    </w:p>
    <w:p w14:paraId="7FC6E6A6">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前后桥分装台设备技术要求</w:t>
      </w:r>
    </w:p>
    <w:p w14:paraId="4BE9A9CC">
      <w:pPr>
        <w:keepNext w:val="0"/>
        <w:keepLines w:val="0"/>
        <w:pageBreakBefore w:val="0"/>
        <w:widowControl w:val="0"/>
        <w:numPr>
          <w:ilvl w:val="0"/>
          <w:numId w:val="581"/>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供货内容</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2618"/>
        <w:gridCol w:w="1186"/>
        <w:gridCol w:w="3976"/>
        <w:gridCol w:w="958"/>
      </w:tblGrid>
      <w:tr w14:paraId="5882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73" w:type="pct"/>
            <w:vAlign w:val="center"/>
          </w:tcPr>
          <w:p w14:paraId="3E46FCD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序号</w:t>
            </w:r>
          </w:p>
        </w:tc>
        <w:tc>
          <w:tcPr>
            <w:tcW w:w="1356" w:type="pct"/>
            <w:vAlign w:val="center"/>
          </w:tcPr>
          <w:p w14:paraId="28417E1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供货对象</w:t>
            </w:r>
          </w:p>
        </w:tc>
        <w:tc>
          <w:tcPr>
            <w:tcW w:w="614" w:type="pct"/>
            <w:vAlign w:val="center"/>
          </w:tcPr>
          <w:p w14:paraId="795680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数量</w:t>
            </w:r>
          </w:p>
        </w:tc>
        <w:tc>
          <w:tcPr>
            <w:tcW w:w="2059" w:type="pct"/>
            <w:vAlign w:val="center"/>
          </w:tcPr>
          <w:p w14:paraId="00B161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内容</w:t>
            </w:r>
          </w:p>
        </w:tc>
        <w:tc>
          <w:tcPr>
            <w:tcW w:w="496" w:type="pct"/>
            <w:vAlign w:val="center"/>
          </w:tcPr>
          <w:p w14:paraId="1F680E0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备注</w:t>
            </w:r>
          </w:p>
        </w:tc>
      </w:tr>
      <w:tr w14:paraId="4F23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61552127">
            <w:pPr>
              <w:keepNext w:val="0"/>
              <w:keepLines w:val="0"/>
              <w:pageBreakBefore w:val="0"/>
              <w:widowControl w:val="0"/>
              <w:numPr>
                <w:ilvl w:val="255"/>
                <w:numId w:val="0"/>
              </w:numPr>
              <w:kinsoku/>
              <w:overflowPunct/>
              <w:topLinePunct w:val="0"/>
              <w:bidi w:val="0"/>
              <w:adjustRightInd w:val="0"/>
              <w:snapToGrid w:val="0"/>
              <w:spacing w:afterAutospacing="0" w:line="240" w:lineRule="auto"/>
              <w:ind w:firstLine="480" w:firstLineChars="200"/>
              <w:jc w:val="center"/>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w:t>
            </w:r>
          </w:p>
        </w:tc>
        <w:tc>
          <w:tcPr>
            <w:tcW w:w="1356" w:type="pct"/>
            <w:vAlign w:val="center"/>
          </w:tcPr>
          <w:p w14:paraId="447DD3E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前桥分装台</w:t>
            </w:r>
          </w:p>
        </w:tc>
        <w:tc>
          <w:tcPr>
            <w:tcW w:w="614" w:type="pct"/>
            <w:vAlign w:val="center"/>
          </w:tcPr>
          <w:p w14:paraId="7DBC622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2台</w:t>
            </w:r>
          </w:p>
        </w:tc>
        <w:tc>
          <w:tcPr>
            <w:tcW w:w="2059" w:type="pct"/>
            <w:vAlign w:val="center"/>
          </w:tcPr>
          <w:p w14:paraId="173AD31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p>
        </w:tc>
        <w:tc>
          <w:tcPr>
            <w:tcW w:w="496" w:type="pct"/>
            <w:vAlign w:val="center"/>
          </w:tcPr>
          <w:p w14:paraId="6AEA77E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p>
        </w:tc>
      </w:tr>
      <w:tr w14:paraId="3304B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24A54B21">
            <w:pPr>
              <w:keepNext w:val="0"/>
              <w:keepLines w:val="0"/>
              <w:pageBreakBefore w:val="0"/>
              <w:widowControl w:val="0"/>
              <w:numPr>
                <w:ilvl w:val="255"/>
                <w:numId w:val="0"/>
              </w:numPr>
              <w:kinsoku/>
              <w:overflowPunct/>
              <w:topLinePunct w:val="0"/>
              <w:bidi w:val="0"/>
              <w:adjustRightInd w:val="0"/>
              <w:snapToGrid w:val="0"/>
              <w:spacing w:afterAutospacing="0" w:line="240" w:lineRule="auto"/>
              <w:ind w:firstLine="480" w:firstLineChars="200"/>
              <w:jc w:val="center"/>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w:t>
            </w:r>
          </w:p>
        </w:tc>
        <w:tc>
          <w:tcPr>
            <w:tcW w:w="1356" w:type="pct"/>
            <w:vAlign w:val="center"/>
          </w:tcPr>
          <w:p w14:paraId="57E60B2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后桥分装台</w:t>
            </w:r>
          </w:p>
        </w:tc>
        <w:tc>
          <w:tcPr>
            <w:tcW w:w="614" w:type="pct"/>
            <w:vAlign w:val="center"/>
          </w:tcPr>
          <w:p w14:paraId="16EDC80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r>
              <w:rPr>
                <w:rFonts w:hint="eastAsia" w:ascii="宋体" w:hAnsi="宋体" w:eastAsia="宋体" w:cs="Times New Roman"/>
                <w:kern w:val="0"/>
                <w:sz w:val="24"/>
                <w:szCs w:val="24"/>
              </w:rPr>
              <w:t>2台</w:t>
            </w:r>
          </w:p>
        </w:tc>
        <w:tc>
          <w:tcPr>
            <w:tcW w:w="2059" w:type="pct"/>
            <w:vAlign w:val="center"/>
          </w:tcPr>
          <w:p w14:paraId="340472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p>
        </w:tc>
        <w:tc>
          <w:tcPr>
            <w:tcW w:w="496" w:type="pct"/>
            <w:vAlign w:val="center"/>
          </w:tcPr>
          <w:p w14:paraId="070A610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kern w:val="0"/>
                <w:sz w:val="24"/>
                <w:szCs w:val="24"/>
              </w:rPr>
            </w:pPr>
          </w:p>
        </w:tc>
      </w:tr>
    </w:tbl>
    <w:p w14:paraId="060437DC">
      <w:pPr>
        <w:keepNext w:val="0"/>
        <w:keepLines w:val="0"/>
        <w:pageBreakBefore w:val="0"/>
        <w:widowControl w:val="0"/>
        <w:numPr>
          <w:ilvl w:val="0"/>
          <w:numId w:val="581"/>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技术要求</w:t>
      </w:r>
    </w:p>
    <w:p w14:paraId="5C56B08C">
      <w:pPr>
        <w:keepNext w:val="0"/>
        <w:keepLines w:val="0"/>
        <w:pageBreakBefore w:val="0"/>
        <w:widowControl w:val="0"/>
        <w:numPr>
          <w:ilvl w:val="0"/>
          <w:numId w:val="58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设备功能：用于非承载式车型前后车桥的板簧装配和承载式车型前后悬的装配。 </w:t>
      </w:r>
    </w:p>
    <w:p w14:paraId="529BBF5B">
      <w:pPr>
        <w:keepNext w:val="0"/>
        <w:keepLines w:val="0"/>
        <w:pageBreakBefore w:val="0"/>
        <w:widowControl w:val="0"/>
        <w:numPr>
          <w:ilvl w:val="0"/>
          <w:numId w:val="58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设备结构说明：分装台主要由底框架、板簧固定座、可调式滑座等组成。</w:t>
      </w:r>
    </w:p>
    <w:p w14:paraId="19FD3A46">
      <w:pPr>
        <w:keepNext w:val="0"/>
        <w:keepLines w:val="0"/>
        <w:pageBreakBefore w:val="0"/>
        <w:widowControl w:val="0"/>
        <w:numPr>
          <w:ilvl w:val="0"/>
          <w:numId w:val="58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底框架作为承载平台由型材焊接成型，必须牢固可靠。</w:t>
      </w:r>
    </w:p>
    <w:p w14:paraId="0AE9D22F">
      <w:pPr>
        <w:keepNext w:val="0"/>
        <w:keepLines w:val="0"/>
        <w:pageBreakBefore w:val="0"/>
        <w:widowControl w:val="0"/>
        <w:numPr>
          <w:ilvl w:val="0"/>
          <w:numId w:val="58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板簧固定座为</w:t>
      </w:r>
      <w:r>
        <w:rPr>
          <w:rFonts w:hint="eastAsia" w:ascii="Times New Roman" w:hAnsi="Times New Roman" w:eastAsia="宋体" w:cs="Times New Roman"/>
          <w:sz w:val="24"/>
          <w:lang w:eastAsia="zh-CN"/>
        </w:rPr>
        <w:t>支撑</w:t>
      </w:r>
      <w:r>
        <w:rPr>
          <w:rFonts w:ascii="Times New Roman" w:hAnsi="Times New Roman" w:eastAsia="宋体" w:cs="Times New Roman"/>
          <w:sz w:val="24"/>
        </w:rPr>
        <w:t>板簧的支架，根据板簧的长度调整其支撑位置。</w:t>
      </w:r>
    </w:p>
    <w:p w14:paraId="12EE3512">
      <w:pPr>
        <w:keepNext w:val="0"/>
        <w:keepLines w:val="0"/>
        <w:pageBreakBefore w:val="0"/>
        <w:widowControl w:val="0"/>
        <w:numPr>
          <w:ilvl w:val="0"/>
          <w:numId w:val="58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可调式滑座由支撑底板、滑轨、丝杆、手摇手柄等组成，对于不同产品可进行X轴和Y轴方向手动调整。</w:t>
      </w:r>
    </w:p>
    <w:p w14:paraId="58291A1B">
      <w:pPr>
        <w:keepNext w:val="0"/>
        <w:keepLines w:val="0"/>
        <w:pageBreakBefore w:val="0"/>
        <w:widowControl w:val="0"/>
        <w:numPr>
          <w:ilvl w:val="0"/>
          <w:numId w:val="58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考虑到承载式和非承载式车桥的装配，整个底框架底部设有旋转盘，在装配过程中可进行手动旋转整个台架来方便人员装配作业</w:t>
      </w:r>
      <w:r>
        <w:rPr>
          <w:rFonts w:hint="eastAsia" w:ascii="Times New Roman" w:hAnsi="Times New Roman" w:eastAsia="宋体" w:cs="Times New Roman"/>
          <w:sz w:val="24"/>
          <w:lang w:eastAsia="zh-CN"/>
        </w:rPr>
        <w:t>。</w:t>
      </w:r>
    </w:p>
    <w:p w14:paraId="145F2CD8">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具体分装台设计方案以图纸会签为准</w:t>
      </w:r>
    </w:p>
    <w:p w14:paraId="0BA2D5B6">
      <w:pPr>
        <w:keepNext w:val="0"/>
        <w:keepLines w:val="0"/>
        <w:pageBreakBefore w:val="0"/>
        <w:kinsoku/>
        <w:overflowPunct/>
        <w:topLinePunct w:val="0"/>
        <w:bidi w:val="0"/>
        <w:adjustRightInd w:val="0"/>
        <w:snapToGrid w:val="0"/>
        <w:spacing w:afterAutospacing="0" w:line="360" w:lineRule="auto"/>
        <w:rPr>
          <w:rFonts w:ascii="Times New Roman" w:hAnsi="Times New Roman" w:eastAsia="宋体" w:cs="Times New Roman"/>
          <w:szCs w:val="20"/>
        </w:rPr>
      </w:pPr>
      <w:r>
        <w:rPr>
          <w:rFonts w:hint="eastAsia" w:ascii="Times New Roman" w:hAnsi="Times New Roman" w:eastAsia="宋体" w:cs="Times New Roman"/>
          <w:szCs w:val="20"/>
        </w:rPr>
        <w:drawing>
          <wp:anchor distT="0" distB="0" distL="114300" distR="114300" simplePos="0" relativeHeight="251677696" behindDoc="1" locked="0" layoutInCell="1" allowOverlap="1">
            <wp:simplePos x="0" y="0"/>
            <wp:positionH relativeFrom="column">
              <wp:posOffset>3042285</wp:posOffset>
            </wp:positionH>
            <wp:positionV relativeFrom="paragraph">
              <wp:posOffset>42545</wp:posOffset>
            </wp:positionV>
            <wp:extent cx="2969260" cy="3071495"/>
            <wp:effectExtent l="0" t="0" r="2540" b="24130"/>
            <wp:wrapTight wrapText="bothSides">
              <wp:wrapPolygon>
                <wp:start x="0" y="0"/>
                <wp:lineTo x="0" y="21502"/>
                <wp:lineTo x="21549" y="21502"/>
                <wp:lineTo x="21549" y="0"/>
                <wp:lineTo x="0" y="0"/>
              </wp:wrapPolygon>
            </wp:wrapTight>
            <wp:docPr id="7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pic:cNvPicPr>
                      <a:picLocks noChangeAspect="1" noChangeArrowheads="1"/>
                    </pic:cNvPicPr>
                  </pic:nvPicPr>
                  <pic:blipFill>
                    <a:blip r:embed="rId59"/>
                    <a:srcRect/>
                    <a:stretch>
                      <a:fillRect/>
                    </a:stretch>
                  </pic:blipFill>
                  <pic:spPr>
                    <a:xfrm>
                      <a:off x="0" y="0"/>
                      <a:ext cx="2969260" cy="3071495"/>
                    </a:xfrm>
                    <a:prstGeom prst="rect">
                      <a:avLst/>
                    </a:prstGeom>
                    <a:noFill/>
                    <a:ln w="9525">
                      <a:noFill/>
                      <a:miter lim="800000"/>
                      <a:headEnd/>
                      <a:tailEnd/>
                    </a:ln>
                  </pic:spPr>
                </pic:pic>
              </a:graphicData>
            </a:graphic>
          </wp:anchor>
        </w:drawing>
      </w:r>
      <w:r>
        <w:rPr>
          <w:rFonts w:ascii="Times New Roman" w:hAnsi="Times New Roman" w:eastAsia="宋体" w:cs="Times New Roman"/>
          <w:szCs w:val="20"/>
        </w:rPr>
        <w:drawing>
          <wp:inline distT="0" distB="0" distL="114300" distR="114300">
            <wp:extent cx="2738120" cy="3137535"/>
            <wp:effectExtent l="0" t="0" r="5080" b="190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noChangeArrowheads="1"/>
                    </pic:cNvPicPr>
                  </pic:nvPicPr>
                  <pic:blipFill>
                    <a:blip r:embed="rId60"/>
                    <a:srcRect/>
                    <a:stretch>
                      <a:fillRect/>
                    </a:stretch>
                  </pic:blipFill>
                  <pic:spPr>
                    <a:xfrm>
                      <a:off x="0" y="0"/>
                      <a:ext cx="2738120" cy="3137535"/>
                    </a:xfrm>
                    <a:prstGeom prst="rect">
                      <a:avLst/>
                    </a:prstGeom>
                    <a:noFill/>
                    <a:ln w="9525">
                      <a:noFill/>
                      <a:miter lim="800000"/>
                      <a:headEnd/>
                      <a:tailEnd/>
                    </a:ln>
                  </pic:spPr>
                </pic:pic>
              </a:graphicData>
            </a:graphic>
          </wp:inline>
        </w:drawing>
      </w:r>
    </w:p>
    <w:p w14:paraId="1225E1BB">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AGV设备技术要求</w:t>
      </w:r>
    </w:p>
    <w:p w14:paraId="1D44CE77">
      <w:pPr>
        <w:keepNext w:val="0"/>
        <w:keepLines w:val="0"/>
        <w:pageBreakBefore w:val="0"/>
        <w:widowControl w:val="0"/>
        <w:numPr>
          <w:ilvl w:val="0"/>
          <w:numId w:val="58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供货内容</w:t>
      </w:r>
    </w:p>
    <w:tbl>
      <w:tblPr>
        <w:tblStyle w:val="4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
        <w:gridCol w:w="2619"/>
        <w:gridCol w:w="1186"/>
        <w:gridCol w:w="3976"/>
        <w:gridCol w:w="956"/>
      </w:tblGrid>
      <w:tr w14:paraId="120E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473" w:type="pct"/>
            <w:vAlign w:val="center"/>
          </w:tcPr>
          <w:p w14:paraId="3FA066E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序号</w:t>
            </w:r>
          </w:p>
        </w:tc>
        <w:tc>
          <w:tcPr>
            <w:tcW w:w="1356" w:type="pct"/>
            <w:vAlign w:val="center"/>
          </w:tcPr>
          <w:p w14:paraId="2826A8A9">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供货对象</w:t>
            </w:r>
          </w:p>
        </w:tc>
        <w:tc>
          <w:tcPr>
            <w:tcW w:w="614" w:type="pct"/>
            <w:vAlign w:val="center"/>
          </w:tcPr>
          <w:p w14:paraId="7102AFE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数量</w:t>
            </w:r>
          </w:p>
        </w:tc>
        <w:tc>
          <w:tcPr>
            <w:tcW w:w="2059" w:type="pct"/>
            <w:vAlign w:val="center"/>
          </w:tcPr>
          <w:p w14:paraId="739AE76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内容</w:t>
            </w:r>
          </w:p>
        </w:tc>
        <w:tc>
          <w:tcPr>
            <w:tcW w:w="495" w:type="pct"/>
            <w:vAlign w:val="center"/>
          </w:tcPr>
          <w:p w14:paraId="2EBD91F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备注</w:t>
            </w:r>
          </w:p>
        </w:tc>
      </w:tr>
      <w:tr w14:paraId="05EB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5E27F33A">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1</w:t>
            </w:r>
          </w:p>
        </w:tc>
        <w:tc>
          <w:tcPr>
            <w:tcW w:w="1356" w:type="pct"/>
            <w:vAlign w:val="center"/>
          </w:tcPr>
          <w:p w14:paraId="2968C28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动力电池合装AGV</w:t>
            </w:r>
          </w:p>
        </w:tc>
        <w:tc>
          <w:tcPr>
            <w:tcW w:w="614" w:type="pct"/>
            <w:vAlign w:val="center"/>
          </w:tcPr>
          <w:p w14:paraId="7597B3B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3台</w:t>
            </w:r>
          </w:p>
        </w:tc>
        <w:tc>
          <w:tcPr>
            <w:tcW w:w="2059" w:type="pct"/>
            <w:vAlign w:val="center"/>
          </w:tcPr>
          <w:p w14:paraId="4BBF2F89">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AGV本体含托盘</w:t>
            </w:r>
          </w:p>
        </w:tc>
        <w:tc>
          <w:tcPr>
            <w:tcW w:w="495" w:type="pct"/>
            <w:vAlign w:val="center"/>
          </w:tcPr>
          <w:p w14:paraId="20637AC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0108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7CDC0E9C">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2</w:t>
            </w:r>
          </w:p>
        </w:tc>
        <w:tc>
          <w:tcPr>
            <w:tcW w:w="1356" w:type="pct"/>
            <w:vAlign w:val="center"/>
          </w:tcPr>
          <w:p w14:paraId="1456623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前后桥合装AGV</w:t>
            </w:r>
          </w:p>
        </w:tc>
        <w:tc>
          <w:tcPr>
            <w:tcW w:w="614" w:type="pct"/>
            <w:vAlign w:val="center"/>
          </w:tcPr>
          <w:p w14:paraId="35CE6529">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3台</w:t>
            </w:r>
          </w:p>
        </w:tc>
        <w:tc>
          <w:tcPr>
            <w:tcW w:w="2059" w:type="pct"/>
            <w:vAlign w:val="center"/>
          </w:tcPr>
          <w:p w14:paraId="78C2747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AGV本体含托盘</w:t>
            </w:r>
          </w:p>
        </w:tc>
        <w:tc>
          <w:tcPr>
            <w:tcW w:w="495" w:type="pct"/>
            <w:vAlign w:val="center"/>
          </w:tcPr>
          <w:p w14:paraId="5A3E1C9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7D681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36D0B9FF">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3</w:t>
            </w:r>
          </w:p>
        </w:tc>
        <w:tc>
          <w:tcPr>
            <w:tcW w:w="1356" w:type="pct"/>
            <w:vAlign w:val="center"/>
          </w:tcPr>
          <w:p w14:paraId="66265D4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充电机系统</w:t>
            </w:r>
          </w:p>
        </w:tc>
        <w:tc>
          <w:tcPr>
            <w:tcW w:w="614" w:type="pct"/>
            <w:vAlign w:val="center"/>
          </w:tcPr>
          <w:p w14:paraId="0D89D02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2套</w:t>
            </w:r>
          </w:p>
        </w:tc>
        <w:tc>
          <w:tcPr>
            <w:tcW w:w="2059" w:type="pct"/>
            <w:vAlign w:val="center"/>
          </w:tcPr>
          <w:p w14:paraId="7DDFA76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2台充电机，电池合装AGV线和前后桥合装AGV线各配置一台</w:t>
            </w:r>
          </w:p>
        </w:tc>
        <w:tc>
          <w:tcPr>
            <w:tcW w:w="495" w:type="pct"/>
            <w:vAlign w:val="center"/>
          </w:tcPr>
          <w:p w14:paraId="14D233F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6ED1F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5E201854">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4</w:t>
            </w:r>
          </w:p>
        </w:tc>
        <w:tc>
          <w:tcPr>
            <w:tcW w:w="1356" w:type="pct"/>
            <w:vAlign w:val="center"/>
          </w:tcPr>
          <w:p w14:paraId="3816BF5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AGV引导系统</w:t>
            </w:r>
          </w:p>
        </w:tc>
        <w:tc>
          <w:tcPr>
            <w:tcW w:w="614" w:type="pct"/>
            <w:vAlign w:val="center"/>
          </w:tcPr>
          <w:p w14:paraId="656057E0">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2套</w:t>
            </w:r>
          </w:p>
        </w:tc>
        <w:tc>
          <w:tcPr>
            <w:tcW w:w="2059" w:type="pct"/>
            <w:vAlign w:val="center"/>
          </w:tcPr>
          <w:p w14:paraId="24A2E7F0">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磁条、RFID及相应保护带</w:t>
            </w:r>
          </w:p>
        </w:tc>
        <w:tc>
          <w:tcPr>
            <w:tcW w:w="495" w:type="pct"/>
            <w:vAlign w:val="center"/>
          </w:tcPr>
          <w:p w14:paraId="6DA4BAF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2893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45A23082">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5</w:t>
            </w:r>
          </w:p>
        </w:tc>
        <w:tc>
          <w:tcPr>
            <w:tcW w:w="1356" w:type="pct"/>
            <w:vAlign w:val="center"/>
          </w:tcPr>
          <w:p w14:paraId="795FC42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AGV控制台及调度管理系统</w:t>
            </w:r>
          </w:p>
        </w:tc>
        <w:tc>
          <w:tcPr>
            <w:tcW w:w="614" w:type="pct"/>
            <w:vAlign w:val="center"/>
          </w:tcPr>
          <w:p w14:paraId="36BE80E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2套</w:t>
            </w:r>
          </w:p>
        </w:tc>
        <w:tc>
          <w:tcPr>
            <w:tcW w:w="2059" w:type="pct"/>
            <w:vAlign w:val="center"/>
          </w:tcPr>
          <w:p w14:paraId="7E3CB14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采用PLC上位控制</w:t>
            </w:r>
          </w:p>
        </w:tc>
        <w:tc>
          <w:tcPr>
            <w:tcW w:w="495" w:type="pct"/>
            <w:vAlign w:val="center"/>
          </w:tcPr>
          <w:p w14:paraId="1BD8CE3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3CB2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473" w:type="pct"/>
            <w:vAlign w:val="center"/>
          </w:tcPr>
          <w:p w14:paraId="771DCC69">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6</w:t>
            </w:r>
          </w:p>
        </w:tc>
        <w:tc>
          <w:tcPr>
            <w:tcW w:w="1356" w:type="pct"/>
            <w:vAlign w:val="center"/>
          </w:tcPr>
          <w:p w14:paraId="5FC751F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无线通讯系统</w:t>
            </w:r>
          </w:p>
        </w:tc>
        <w:tc>
          <w:tcPr>
            <w:tcW w:w="614" w:type="pct"/>
            <w:vAlign w:val="center"/>
          </w:tcPr>
          <w:p w14:paraId="25F671B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2套</w:t>
            </w:r>
          </w:p>
        </w:tc>
        <w:tc>
          <w:tcPr>
            <w:tcW w:w="2059" w:type="pct"/>
            <w:vAlign w:val="center"/>
          </w:tcPr>
          <w:p w14:paraId="51883A7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采用工业AP搭建无线网络，用于AGV与上位调度之间的通讯</w:t>
            </w:r>
          </w:p>
        </w:tc>
        <w:tc>
          <w:tcPr>
            <w:tcW w:w="495" w:type="pct"/>
            <w:vAlign w:val="center"/>
          </w:tcPr>
          <w:p w14:paraId="5F738BE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1432B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664D736F">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7</w:t>
            </w:r>
          </w:p>
        </w:tc>
        <w:tc>
          <w:tcPr>
            <w:tcW w:w="1356" w:type="pct"/>
            <w:vAlign w:val="center"/>
          </w:tcPr>
          <w:p w14:paraId="2A8FBE1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AGV手柄</w:t>
            </w:r>
          </w:p>
        </w:tc>
        <w:tc>
          <w:tcPr>
            <w:tcW w:w="614" w:type="pct"/>
            <w:vAlign w:val="center"/>
          </w:tcPr>
          <w:p w14:paraId="51B371E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2个</w:t>
            </w:r>
          </w:p>
        </w:tc>
        <w:tc>
          <w:tcPr>
            <w:tcW w:w="2059" w:type="pct"/>
            <w:vAlign w:val="center"/>
          </w:tcPr>
          <w:p w14:paraId="4C00607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用于手动操作AGV，采用有线手柄，2款AGV可以通用</w:t>
            </w:r>
          </w:p>
        </w:tc>
        <w:tc>
          <w:tcPr>
            <w:tcW w:w="495" w:type="pct"/>
            <w:vAlign w:val="center"/>
          </w:tcPr>
          <w:p w14:paraId="000E59C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16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06783903">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8</w:t>
            </w:r>
          </w:p>
        </w:tc>
        <w:tc>
          <w:tcPr>
            <w:tcW w:w="1356" w:type="pct"/>
            <w:vAlign w:val="center"/>
          </w:tcPr>
          <w:p w14:paraId="069E67C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AGV维修工具</w:t>
            </w:r>
          </w:p>
        </w:tc>
        <w:tc>
          <w:tcPr>
            <w:tcW w:w="614" w:type="pct"/>
            <w:vAlign w:val="center"/>
          </w:tcPr>
          <w:p w14:paraId="1447F7C0">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1套</w:t>
            </w:r>
          </w:p>
        </w:tc>
        <w:tc>
          <w:tcPr>
            <w:tcW w:w="2059" w:type="pct"/>
            <w:vAlign w:val="center"/>
          </w:tcPr>
          <w:p w14:paraId="72CDE65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包括千斤顶4个、地坦克3个、手持充电机1台</w:t>
            </w:r>
          </w:p>
        </w:tc>
        <w:tc>
          <w:tcPr>
            <w:tcW w:w="495" w:type="pct"/>
            <w:vAlign w:val="center"/>
          </w:tcPr>
          <w:p w14:paraId="4765E6C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r w14:paraId="0006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3" w:type="pct"/>
            <w:vAlign w:val="center"/>
          </w:tcPr>
          <w:p w14:paraId="2BE2AC71">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lang w:val="en-US" w:eastAsia="zh-CN" w:bidi="ar-SA"/>
              </w:rPr>
            </w:pPr>
            <w:r>
              <w:rPr>
                <w:rFonts w:hint="eastAsia" w:asciiTheme="minorEastAsia" w:hAnsiTheme="minorEastAsia" w:eastAsiaTheme="minorEastAsia" w:cstheme="minorEastAsia"/>
                <w:kern w:val="0"/>
                <w:sz w:val="24"/>
                <w:szCs w:val="24"/>
                <w:lang w:val="en-US" w:eastAsia="zh-CN" w:bidi="ar-SA"/>
              </w:rPr>
              <w:t>9</w:t>
            </w:r>
          </w:p>
        </w:tc>
        <w:tc>
          <w:tcPr>
            <w:tcW w:w="1356" w:type="pct"/>
            <w:vAlign w:val="center"/>
          </w:tcPr>
          <w:p w14:paraId="277674B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其他</w:t>
            </w:r>
          </w:p>
        </w:tc>
        <w:tc>
          <w:tcPr>
            <w:tcW w:w="614" w:type="pct"/>
            <w:vAlign w:val="center"/>
          </w:tcPr>
          <w:p w14:paraId="6173669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1套</w:t>
            </w:r>
          </w:p>
        </w:tc>
        <w:tc>
          <w:tcPr>
            <w:tcW w:w="2059" w:type="pct"/>
            <w:vAlign w:val="center"/>
          </w:tcPr>
          <w:p w14:paraId="3F17E69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包括桥架、线缆的采购、安装；充电板地坑的开挖和预埋工作；磁条和RFID铺设</w:t>
            </w:r>
          </w:p>
        </w:tc>
        <w:tc>
          <w:tcPr>
            <w:tcW w:w="495" w:type="pct"/>
            <w:vAlign w:val="center"/>
          </w:tcPr>
          <w:p w14:paraId="62FEEF60">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kern w:val="0"/>
                <w:sz w:val="24"/>
                <w:szCs w:val="24"/>
              </w:rPr>
            </w:pPr>
          </w:p>
        </w:tc>
      </w:tr>
    </w:tbl>
    <w:p w14:paraId="10147D95">
      <w:pPr>
        <w:keepNext w:val="0"/>
        <w:keepLines w:val="0"/>
        <w:pageBreakBefore w:val="0"/>
        <w:widowControl w:val="0"/>
        <w:numPr>
          <w:ilvl w:val="0"/>
          <w:numId w:val="58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功能描述</w:t>
      </w:r>
    </w:p>
    <w:p w14:paraId="27B19BBE">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本项目新增电池合装AGV、前后桥合装AGV主要用于总装车间各车型的合装作业，满足270s节拍的装配要求。</w:t>
      </w:r>
    </w:p>
    <w:p w14:paraId="77115E66">
      <w:pPr>
        <w:keepNext w:val="0"/>
        <w:keepLines w:val="0"/>
        <w:pageBreakBefore w:val="0"/>
        <w:widowControl w:val="0"/>
        <w:numPr>
          <w:ilvl w:val="0"/>
          <w:numId w:val="5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本项目底盘线电池合装、前后桥合装以AGV为载体，分别以平面环形循环行走，包含3台电池合装AGV、3台前后桥合装AGV、AGV控制台及调度系统、充电系统及附属配件。</w:t>
      </w:r>
    </w:p>
    <w:p w14:paraId="1A886017">
      <w:pPr>
        <w:keepNext w:val="0"/>
        <w:keepLines w:val="0"/>
        <w:pageBreakBefore w:val="0"/>
        <w:widowControl w:val="0"/>
        <w:numPr>
          <w:ilvl w:val="0"/>
          <w:numId w:val="5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底盘线工位间距约7200mm。</w:t>
      </w:r>
    </w:p>
    <w:p w14:paraId="34A70602">
      <w:pPr>
        <w:keepNext w:val="0"/>
        <w:keepLines w:val="0"/>
        <w:pageBreakBefore w:val="0"/>
        <w:widowControl w:val="0"/>
        <w:numPr>
          <w:ilvl w:val="0"/>
          <w:numId w:val="5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吊具及车身最低点至地面高度约1750mm。</w:t>
      </w:r>
    </w:p>
    <w:p w14:paraId="7BBF65EB">
      <w:pPr>
        <w:keepNext w:val="0"/>
        <w:keepLines w:val="0"/>
        <w:pageBreakBefore w:val="0"/>
        <w:widowControl w:val="0"/>
        <w:numPr>
          <w:ilvl w:val="0"/>
          <w:numId w:val="5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电池及前后桥合装采用人工吊装上下料。</w:t>
      </w:r>
    </w:p>
    <w:p w14:paraId="3B78D79E">
      <w:pPr>
        <w:keepNext w:val="0"/>
        <w:keepLines w:val="0"/>
        <w:pageBreakBefore w:val="0"/>
        <w:kinsoku/>
        <w:overflowPunct/>
        <w:topLinePunct w:val="0"/>
        <w:bidi w:val="0"/>
        <w:adjustRightInd w:val="0"/>
        <w:snapToGrid w:val="0"/>
        <w:spacing w:afterAutospacing="0" w:line="360" w:lineRule="auto"/>
        <w:ind w:firstLine="420" w:firstLineChars="200"/>
        <w:rPr>
          <w:rFonts w:ascii="宋体" w:hAnsi="宋体" w:eastAsia="宋体" w:cs="宋体"/>
          <w:bCs/>
          <w:szCs w:val="32"/>
        </w:rPr>
      </w:pPr>
    </w:p>
    <w:p w14:paraId="739EC300">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Cs w:val="20"/>
          <w:lang w:val="zh-CN"/>
        </w:rPr>
      </w:pPr>
      <w:r>
        <w:rPr>
          <w:rFonts w:ascii="宋体" w:hAnsi="宋体" w:eastAsia="宋体" w:cs="宋体"/>
          <w:szCs w:val="20"/>
        </w:rPr>
        <w:drawing>
          <wp:inline distT="0" distB="0" distL="0" distR="0">
            <wp:extent cx="5908040" cy="2701290"/>
            <wp:effectExtent l="0" t="0" r="5080" b="11430"/>
            <wp:docPr id="79" name="图片 79" descr="C:\Users\zhaoyong.qiu\AppData\Local\Temp\企业微信截图_1739434350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C:\Users\zhaoyong.qiu\AppData\Local\Temp\企业微信截图_1739434350100.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a:xfrm>
                      <a:off x="0" y="0"/>
                      <a:ext cx="5908040" cy="2701479"/>
                    </a:xfrm>
                    <a:prstGeom prst="rect">
                      <a:avLst/>
                    </a:prstGeom>
                    <a:noFill/>
                    <a:ln>
                      <a:noFill/>
                    </a:ln>
                  </pic:spPr>
                </pic:pic>
              </a:graphicData>
            </a:graphic>
          </wp:inline>
        </w:drawing>
      </w:r>
    </w:p>
    <w:p w14:paraId="477EFB67">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hint="eastAsia" w:ascii="宋体" w:hAnsi="宋体" w:eastAsia="宋体" w:cs="宋体"/>
          <w:sz w:val="24"/>
          <w:szCs w:val="24"/>
        </w:rPr>
        <w:t>注：工艺布局参考，具体排布以现场实际为准</w:t>
      </w:r>
    </w:p>
    <w:p w14:paraId="0C9A47D4">
      <w:pPr>
        <w:keepNext w:val="0"/>
        <w:keepLines w:val="0"/>
        <w:pageBreakBefore w:val="0"/>
        <w:widowControl w:val="0"/>
        <w:numPr>
          <w:ilvl w:val="0"/>
          <w:numId w:val="58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工艺流程</w:t>
      </w:r>
    </w:p>
    <w:p w14:paraId="53AAB51F">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AGV驶入底盘线→AGV与底盘线随行，电池包、前后桥合装→AGV驶出底盘线→AGV前进至吊装工位，进行电池包、前后桥移载。</w:t>
      </w:r>
    </w:p>
    <w:p w14:paraId="6571B676">
      <w:pPr>
        <w:keepNext w:val="0"/>
        <w:keepLines w:val="0"/>
        <w:pageBreakBefore w:val="0"/>
        <w:widowControl w:val="0"/>
        <w:numPr>
          <w:ilvl w:val="0"/>
          <w:numId w:val="58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技术细节</w:t>
      </w:r>
    </w:p>
    <w:p w14:paraId="788BFC2C">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本项目主要技术要求细节如下：</w:t>
      </w:r>
    </w:p>
    <w:tbl>
      <w:tblPr>
        <w:tblStyle w:val="53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90"/>
        <w:gridCol w:w="2980"/>
        <w:gridCol w:w="2982"/>
      </w:tblGrid>
      <w:tr w14:paraId="79F3C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911" w:type="pct"/>
            <w:vAlign w:val="center"/>
          </w:tcPr>
          <w:p w14:paraId="0BD8CB9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类别</w:t>
            </w:r>
          </w:p>
        </w:tc>
        <w:tc>
          <w:tcPr>
            <w:tcW w:w="1543" w:type="pct"/>
            <w:vAlign w:val="center"/>
          </w:tcPr>
          <w:p w14:paraId="7D52AA0E">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电池合装AGV</w:t>
            </w:r>
          </w:p>
        </w:tc>
        <w:tc>
          <w:tcPr>
            <w:tcW w:w="1544" w:type="pct"/>
            <w:vAlign w:val="center"/>
          </w:tcPr>
          <w:p w14:paraId="165E4FF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前后桥合装AGV</w:t>
            </w:r>
          </w:p>
        </w:tc>
      </w:tr>
      <w:tr w14:paraId="09A07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5CD29FA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导航方式</w:t>
            </w:r>
          </w:p>
        </w:tc>
        <w:tc>
          <w:tcPr>
            <w:tcW w:w="1543" w:type="pct"/>
            <w:vAlign w:val="center"/>
          </w:tcPr>
          <w:p w14:paraId="45FB192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磁条+RFID</w:t>
            </w:r>
          </w:p>
        </w:tc>
        <w:tc>
          <w:tcPr>
            <w:tcW w:w="1544" w:type="pct"/>
            <w:vAlign w:val="center"/>
          </w:tcPr>
          <w:p w14:paraId="495BAC60">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磁条+RFID</w:t>
            </w:r>
          </w:p>
        </w:tc>
      </w:tr>
      <w:tr w14:paraId="4B342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7278F21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驱动方式</w:t>
            </w:r>
          </w:p>
        </w:tc>
        <w:tc>
          <w:tcPr>
            <w:tcW w:w="1543" w:type="pct"/>
            <w:vAlign w:val="center"/>
          </w:tcPr>
          <w:p w14:paraId="74F856B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差速</w:t>
            </w:r>
          </w:p>
        </w:tc>
        <w:tc>
          <w:tcPr>
            <w:tcW w:w="1544" w:type="pct"/>
            <w:vAlign w:val="center"/>
          </w:tcPr>
          <w:p w14:paraId="434C306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舵轮</w:t>
            </w:r>
          </w:p>
        </w:tc>
      </w:tr>
      <w:tr w14:paraId="24FD7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4F48E455">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运行模式</w:t>
            </w:r>
          </w:p>
        </w:tc>
        <w:tc>
          <w:tcPr>
            <w:tcW w:w="1543" w:type="pct"/>
            <w:vAlign w:val="center"/>
          </w:tcPr>
          <w:p w14:paraId="46F6D85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与底盘吊具随行</w:t>
            </w:r>
          </w:p>
        </w:tc>
        <w:tc>
          <w:tcPr>
            <w:tcW w:w="1544" w:type="pct"/>
            <w:vAlign w:val="center"/>
          </w:tcPr>
          <w:p w14:paraId="35879B3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与底盘吊具随行</w:t>
            </w:r>
          </w:p>
        </w:tc>
      </w:tr>
      <w:tr w14:paraId="0821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4B3B35F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行进方式</w:t>
            </w:r>
          </w:p>
        </w:tc>
        <w:tc>
          <w:tcPr>
            <w:tcW w:w="1543" w:type="pct"/>
            <w:vAlign w:val="center"/>
          </w:tcPr>
          <w:p w14:paraId="57FFD53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向前、向后、转弯</w:t>
            </w:r>
          </w:p>
        </w:tc>
        <w:tc>
          <w:tcPr>
            <w:tcW w:w="1544" w:type="pct"/>
            <w:vAlign w:val="center"/>
          </w:tcPr>
          <w:p w14:paraId="4835907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向前、向后、转弯、侧移</w:t>
            </w:r>
          </w:p>
        </w:tc>
      </w:tr>
      <w:tr w14:paraId="5B05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7FE41E35">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牵引方式</w:t>
            </w:r>
          </w:p>
        </w:tc>
        <w:tc>
          <w:tcPr>
            <w:tcW w:w="1543" w:type="pct"/>
            <w:vAlign w:val="center"/>
          </w:tcPr>
          <w:p w14:paraId="47687FF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负载</w:t>
            </w:r>
          </w:p>
        </w:tc>
        <w:tc>
          <w:tcPr>
            <w:tcW w:w="1544" w:type="pct"/>
            <w:vAlign w:val="center"/>
          </w:tcPr>
          <w:p w14:paraId="38E5313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负载</w:t>
            </w:r>
          </w:p>
        </w:tc>
      </w:tr>
      <w:tr w14:paraId="36B2E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0F62A4D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AGV控制方式</w:t>
            </w:r>
          </w:p>
        </w:tc>
        <w:tc>
          <w:tcPr>
            <w:tcW w:w="1543" w:type="pct"/>
            <w:vAlign w:val="center"/>
          </w:tcPr>
          <w:p w14:paraId="656E011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PLC</w:t>
            </w:r>
          </w:p>
        </w:tc>
        <w:tc>
          <w:tcPr>
            <w:tcW w:w="1544" w:type="pct"/>
            <w:vAlign w:val="center"/>
          </w:tcPr>
          <w:p w14:paraId="11076DA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PLC</w:t>
            </w:r>
          </w:p>
        </w:tc>
      </w:tr>
      <w:tr w14:paraId="6F426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44B9CA8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速度（m/min）</w:t>
            </w:r>
          </w:p>
        </w:tc>
        <w:tc>
          <w:tcPr>
            <w:tcW w:w="1543" w:type="pct"/>
            <w:vAlign w:val="center"/>
          </w:tcPr>
          <w:p w14:paraId="67363C2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5-40，速度可调</w:t>
            </w:r>
          </w:p>
        </w:tc>
        <w:tc>
          <w:tcPr>
            <w:tcW w:w="1544" w:type="pct"/>
            <w:vAlign w:val="center"/>
          </w:tcPr>
          <w:p w14:paraId="4B2CC543">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5-40，速度可调，侧移速度：0~18</w:t>
            </w:r>
          </w:p>
        </w:tc>
      </w:tr>
      <w:tr w14:paraId="03844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3496633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充电方式</w:t>
            </w:r>
          </w:p>
        </w:tc>
        <w:tc>
          <w:tcPr>
            <w:tcW w:w="1543" w:type="pct"/>
            <w:vAlign w:val="center"/>
          </w:tcPr>
          <w:p w14:paraId="17D703D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底部/侧方自动充电</w:t>
            </w:r>
          </w:p>
        </w:tc>
        <w:tc>
          <w:tcPr>
            <w:tcW w:w="1544" w:type="pct"/>
            <w:vAlign w:val="center"/>
          </w:tcPr>
          <w:p w14:paraId="3FB3D3D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底部/侧方自动充电</w:t>
            </w:r>
          </w:p>
        </w:tc>
      </w:tr>
      <w:tr w14:paraId="7350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56C2844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读取地址方式</w:t>
            </w:r>
          </w:p>
        </w:tc>
        <w:tc>
          <w:tcPr>
            <w:tcW w:w="1543" w:type="pct"/>
            <w:vAlign w:val="center"/>
          </w:tcPr>
          <w:p w14:paraId="260FBC6C">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RFID</w:t>
            </w:r>
          </w:p>
        </w:tc>
        <w:tc>
          <w:tcPr>
            <w:tcW w:w="1544" w:type="pct"/>
            <w:vAlign w:val="center"/>
          </w:tcPr>
          <w:p w14:paraId="3432E00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RFID</w:t>
            </w:r>
          </w:p>
        </w:tc>
      </w:tr>
      <w:tr w14:paraId="08C3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5B5FD12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通信方式</w:t>
            </w:r>
          </w:p>
        </w:tc>
        <w:tc>
          <w:tcPr>
            <w:tcW w:w="1543" w:type="pct"/>
            <w:vAlign w:val="center"/>
          </w:tcPr>
          <w:p w14:paraId="609FAB2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无线通信</w:t>
            </w:r>
          </w:p>
        </w:tc>
        <w:tc>
          <w:tcPr>
            <w:tcW w:w="1544" w:type="pct"/>
            <w:vAlign w:val="center"/>
          </w:tcPr>
          <w:p w14:paraId="28A4E86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无线通信</w:t>
            </w:r>
          </w:p>
        </w:tc>
      </w:tr>
      <w:tr w14:paraId="606AD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31BA894C">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举升能力（工件+托盘）</w:t>
            </w:r>
          </w:p>
        </w:tc>
        <w:tc>
          <w:tcPr>
            <w:tcW w:w="1543" w:type="pct"/>
            <w:vAlign w:val="center"/>
          </w:tcPr>
          <w:p w14:paraId="546B9C6C">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1000kg</w:t>
            </w:r>
          </w:p>
        </w:tc>
        <w:tc>
          <w:tcPr>
            <w:tcW w:w="1544" w:type="pct"/>
            <w:vAlign w:val="center"/>
          </w:tcPr>
          <w:p w14:paraId="4F62B6F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1000kg</w:t>
            </w:r>
          </w:p>
        </w:tc>
      </w:tr>
      <w:tr w14:paraId="36104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0C7B577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举升形式</w:t>
            </w:r>
          </w:p>
        </w:tc>
        <w:tc>
          <w:tcPr>
            <w:tcW w:w="1543" w:type="pct"/>
            <w:vAlign w:val="center"/>
          </w:tcPr>
          <w:p w14:paraId="45E50AC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单举升</w:t>
            </w:r>
          </w:p>
        </w:tc>
        <w:tc>
          <w:tcPr>
            <w:tcW w:w="1544" w:type="pct"/>
            <w:vAlign w:val="center"/>
          </w:tcPr>
          <w:p w14:paraId="7A82B27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双举升</w:t>
            </w:r>
          </w:p>
        </w:tc>
      </w:tr>
      <w:tr w14:paraId="1EDFF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33B8B4F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举升行程</w:t>
            </w:r>
          </w:p>
        </w:tc>
        <w:tc>
          <w:tcPr>
            <w:tcW w:w="1543" w:type="pct"/>
            <w:vAlign w:val="center"/>
          </w:tcPr>
          <w:p w14:paraId="670F1F69">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800mm（参考）</w:t>
            </w:r>
          </w:p>
        </w:tc>
        <w:tc>
          <w:tcPr>
            <w:tcW w:w="1544" w:type="pct"/>
            <w:vAlign w:val="center"/>
          </w:tcPr>
          <w:p w14:paraId="3AFF6E6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800mm（参考）</w:t>
            </w:r>
          </w:p>
        </w:tc>
      </w:tr>
      <w:tr w14:paraId="655E3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0B1FA98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举升速度</w:t>
            </w:r>
          </w:p>
        </w:tc>
        <w:tc>
          <w:tcPr>
            <w:tcW w:w="1543" w:type="pct"/>
            <w:vAlign w:val="center"/>
          </w:tcPr>
          <w:p w14:paraId="753499A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不低于4.2m/min</w:t>
            </w:r>
          </w:p>
        </w:tc>
        <w:tc>
          <w:tcPr>
            <w:tcW w:w="1544" w:type="pct"/>
            <w:vAlign w:val="center"/>
          </w:tcPr>
          <w:p w14:paraId="2D78633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不低于4.2m/min</w:t>
            </w:r>
          </w:p>
        </w:tc>
      </w:tr>
      <w:tr w14:paraId="73D1A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1144228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AGV长度（mm）</w:t>
            </w:r>
          </w:p>
        </w:tc>
        <w:tc>
          <w:tcPr>
            <w:tcW w:w="1543" w:type="pct"/>
            <w:vAlign w:val="center"/>
          </w:tcPr>
          <w:p w14:paraId="1157B4E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≤2600（不包含踏台）</w:t>
            </w:r>
          </w:p>
        </w:tc>
        <w:tc>
          <w:tcPr>
            <w:tcW w:w="1544" w:type="pct"/>
            <w:vAlign w:val="center"/>
          </w:tcPr>
          <w:p w14:paraId="1E9250BC">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≤6000（不包含踏台）</w:t>
            </w:r>
          </w:p>
        </w:tc>
      </w:tr>
      <w:tr w14:paraId="47FC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47B776F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AGV宽度（mm）</w:t>
            </w:r>
          </w:p>
        </w:tc>
        <w:tc>
          <w:tcPr>
            <w:tcW w:w="1543" w:type="pct"/>
            <w:vAlign w:val="center"/>
          </w:tcPr>
          <w:p w14:paraId="06BD347C">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≤1300（不包含踏台）</w:t>
            </w:r>
          </w:p>
        </w:tc>
        <w:tc>
          <w:tcPr>
            <w:tcW w:w="1544" w:type="pct"/>
            <w:vAlign w:val="center"/>
          </w:tcPr>
          <w:p w14:paraId="52D02396">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≤2000（不包含踏台）</w:t>
            </w:r>
          </w:p>
        </w:tc>
      </w:tr>
      <w:tr w14:paraId="0931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471B156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AGV高度（mm）</w:t>
            </w:r>
          </w:p>
        </w:tc>
        <w:tc>
          <w:tcPr>
            <w:tcW w:w="1543" w:type="pct"/>
            <w:vAlign w:val="center"/>
          </w:tcPr>
          <w:p w14:paraId="0A703275">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≤800（不含电池和托盘）</w:t>
            </w:r>
          </w:p>
        </w:tc>
        <w:tc>
          <w:tcPr>
            <w:tcW w:w="1544" w:type="pct"/>
            <w:vAlign w:val="center"/>
          </w:tcPr>
          <w:p w14:paraId="6E9BC93B">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≤800（不含电池和托盘）</w:t>
            </w:r>
          </w:p>
        </w:tc>
      </w:tr>
      <w:tr w14:paraId="3FA9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174D04B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最小转弯半径</w:t>
            </w:r>
          </w:p>
        </w:tc>
        <w:tc>
          <w:tcPr>
            <w:tcW w:w="1543" w:type="pct"/>
            <w:vAlign w:val="center"/>
          </w:tcPr>
          <w:p w14:paraId="72D174A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2000mm</w:t>
            </w:r>
          </w:p>
        </w:tc>
        <w:tc>
          <w:tcPr>
            <w:tcW w:w="1544" w:type="pct"/>
            <w:vAlign w:val="center"/>
          </w:tcPr>
          <w:p w14:paraId="5EB2592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2000mm</w:t>
            </w:r>
          </w:p>
        </w:tc>
      </w:tr>
      <w:tr w14:paraId="7395F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6FFE6A28">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爬坡能力</w:t>
            </w:r>
          </w:p>
        </w:tc>
        <w:tc>
          <w:tcPr>
            <w:tcW w:w="1543" w:type="pct"/>
            <w:vAlign w:val="center"/>
          </w:tcPr>
          <w:p w14:paraId="6E9B323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2%（1度）</w:t>
            </w:r>
          </w:p>
        </w:tc>
        <w:tc>
          <w:tcPr>
            <w:tcW w:w="1544" w:type="pct"/>
            <w:vAlign w:val="center"/>
          </w:tcPr>
          <w:p w14:paraId="698D490E">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2%（1度）</w:t>
            </w:r>
          </w:p>
        </w:tc>
      </w:tr>
      <w:tr w14:paraId="630F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61755A8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允许沟槽宽度</w:t>
            </w:r>
          </w:p>
        </w:tc>
        <w:tc>
          <w:tcPr>
            <w:tcW w:w="1543" w:type="pct"/>
            <w:vAlign w:val="center"/>
          </w:tcPr>
          <w:p w14:paraId="3B682CED">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20mm</w:t>
            </w:r>
          </w:p>
        </w:tc>
        <w:tc>
          <w:tcPr>
            <w:tcW w:w="1544" w:type="pct"/>
            <w:vAlign w:val="center"/>
          </w:tcPr>
          <w:p w14:paraId="3A2B47D2">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20mm</w:t>
            </w:r>
          </w:p>
        </w:tc>
      </w:tr>
      <w:tr w14:paraId="0B13C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531029B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导引精度</w:t>
            </w:r>
          </w:p>
        </w:tc>
        <w:tc>
          <w:tcPr>
            <w:tcW w:w="1543" w:type="pct"/>
            <w:vAlign w:val="center"/>
          </w:tcPr>
          <w:p w14:paraId="06CFA7B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停车精度±5mm，导航精度±10mm</w:t>
            </w:r>
          </w:p>
        </w:tc>
        <w:tc>
          <w:tcPr>
            <w:tcW w:w="1544" w:type="pct"/>
            <w:vAlign w:val="center"/>
          </w:tcPr>
          <w:p w14:paraId="6581684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停车精度±5mm，导航精度±10mm</w:t>
            </w:r>
          </w:p>
        </w:tc>
      </w:tr>
      <w:tr w14:paraId="13DA7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7EC25774">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安全检测</w:t>
            </w:r>
          </w:p>
        </w:tc>
        <w:tc>
          <w:tcPr>
            <w:tcW w:w="1543" w:type="pct"/>
            <w:vAlign w:val="center"/>
          </w:tcPr>
          <w:p w14:paraId="18BBB13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激光扫描+触边防撞</w:t>
            </w:r>
          </w:p>
        </w:tc>
        <w:tc>
          <w:tcPr>
            <w:tcW w:w="1544" w:type="pct"/>
            <w:vAlign w:val="center"/>
          </w:tcPr>
          <w:p w14:paraId="10A0CF9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激光扫描+触边防撞</w:t>
            </w:r>
          </w:p>
        </w:tc>
      </w:tr>
      <w:tr w14:paraId="392F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3EB8665A">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车载电池</w:t>
            </w:r>
          </w:p>
        </w:tc>
        <w:tc>
          <w:tcPr>
            <w:tcW w:w="1543" w:type="pct"/>
            <w:vAlign w:val="center"/>
          </w:tcPr>
          <w:p w14:paraId="3D9C2CB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锂电池</w:t>
            </w:r>
          </w:p>
        </w:tc>
        <w:tc>
          <w:tcPr>
            <w:tcW w:w="1544" w:type="pct"/>
            <w:vAlign w:val="center"/>
          </w:tcPr>
          <w:p w14:paraId="47E8DED7">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锂电池</w:t>
            </w:r>
          </w:p>
        </w:tc>
      </w:tr>
      <w:tr w14:paraId="20929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11" w:type="pct"/>
            <w:vAlign w:val="center"/>
          </w:tcPr>
          <w:p w14:paraId="272C06D9">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电池寿命</w:t>
            </w:r>
          </w:p>
        </w:tc>
        <w:tc>
          <w:tcPr>
            <w:tcW w:w="1543" w:type="pct"/>
            <w:vAlign w:val="center"/>
          </w:tcPr>
          <w:p w14:paraId="543660DF">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充放电次数不低于3000次</w:t>
            </w:r>
          </w:p>
        </w:tc>
        <w:tc>
          <w:tcPr>
            <w:tcW w:w="1544" w:type="pct"/>
            <w:vAlign w:val="center"/>
          </w:tcPr>
          <w:p w14:paraId="0F1964A1">
            <w:pPr>
              <w:keepNext w:val="0"/>
              <w:keepLines w:val="0"/>
              <w:pageBreakBefore w:val="0"/>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充放电次数不低于3000次</w:t>
            </w:r>
          </w:p>
        </w:tc>
      </w:tr>
    </w:tbl>
    <w:p w14:paraId="2E5AED64">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注：具体参数以实际设计为准</w:t>
      </w:r>
    </w:p>
    <w:p w14:paraId="3ECF7A63">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AGV和托盘设计固定机构，防止托盘在AGV上窜动。</w:t>
      </w:r>
    </w:p>
    <w:p w14:paraId="7DC988FC">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AGV与托盘可分离，托盘损坏时可快速进行托盘更换。</w:t>
      </w:r>
    </w:p>
    <w:p w14:paraId="0A8A5B5A">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托盘在AGV上要稳定，满足装配操作需求。</w:t>
      </w:r>
    </w:p>
    <w:p w14:paraId="281113D9">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底盘吊具距地高度：1750mm（参考具体以实际需求为准）。</w:t>
      </w:r>
    </w:p>
    <w:p w14:paraId="11C6BD95">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车身裙边离地面高度：1900mm（参考具体以实际需求为准）。</w:t>
      </w:r>
    </w:p>
    <w:p w14:paraId="6DF9C39E">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电池合装AGV小车上操作人员重量：75Kg × 4人 = 300Kg（参考具体以实际需求为准）</w:t>
      </w:r>
      <w:r>
        <w:rPr>
          <w:rFonts w:hint="eastAsia" w:ascii="Times New Roman" w:hAnsi="Times New Roman" w:eastAsia="宋体" w:cs="Times New Roman"/>
          <w:sz w:val="24"/>
          <w:lang w:eastAsia="zh-CN"/>
        </w:rPr>
        <w:t>。</w:t>
      </w:r>
    </w:p>
    <w:p w14:paraId="4651A895">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★电池合装AGV升降台设计有浮动托盘，浮动托盘满足电池搭载合装，浮动托盘设计可调：X轴±120mm（车长），Y轴±50mm，水平旋转±2°。投标时提供详细方案。</w:t>
      </w:r>
    </w:p>
    <w:p w14:paraId="491DB8F2">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电池合装AGV与底盘合装吊具随行，配备随行光靶，投标时提供详细的随行方案，由此方案产生的相关元件、设备安装，与底盘线配合等事宜全部由本项目</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w:t>
      </w:r>
    </w:p>
    <w:p w14:paraId="79C01AE4">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举升装置配有编码器，编码器可以实时记录升降机的高度，使下班接续时不需要将合装设备的举升平台进行复位，对未装配完的合装工作，合装设备开机后便可以知道升降机的实际高度。编码器采用绝对值编码器，单个举升机重复举升精度≤±3mm。</w:t>
      </w:r>
    </w:p>
    <w:p w14:paraId="6D8CE4BB">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举升装置降到最低点时，举升台浮动盘上表面到地面的高度：≤800mm，AGV举升装置举升能力1.0T（参考</w:t>
      </w:r>
      <w:r>
        <w:rPr>
          <w:rFonts w:hint="eastAsia" w:ascii="Times New Roman" w:hAnsi="Times New Roman" w:eastAsia="宋体" w:cs="Times New Roman"/>
          <w:sz w:val="24"/>
          <w:lang w:eastAsia="zh-CN"/>
        </w:rPr>
        <w:t>：</w:t>
      </w:r>
      <w:r>
        <w:rPr>
          <w:rFonts w:ascii="Times New Roman" w:hAnsi="Times New Roman" w:eastAsia="宋体" w:cs="Times New Roman"/>
          <w:sz w:val="24"/>
        </w:rPr>
        <w:t>电池0.7T+托盘0.3T），最终以图纸会签为准。举升台外形尺寸与动力电池总成及车身合装装配点不干涉</w:t>
      </w:r>
      <w:r>
        <w:rPr>
          <w:rFonts w:hint="eastAsia" w:ascii="Times New Roman" w:hAnsi="Times New Roman" w:eastAsia="宋体" w:cs="Times New Roman"/>
          <w:sz w:val="24"/>
          <w:lang w:eastAsia="zh-CN"/>
        </w:rPr>
        <w:t>。</w:t>
      </w:r>
    </w:p>
    <w:p w14:paraId="457263FD">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举升机构采用剪刀叉式结构，以保证举升过程中的平稳和承受装配过程所产生的侧向力，需选用主流的进口品牌，举升行程：约800mm，举升速度不低于70mm/s（4.2m/min）；最终以图纸会签为准</w:t>
      </w:r>
      <w:r>
        <w:rPr>
          <w:rFonts w:hint="eastAsia" w:ascii="Times New Roman" w:hAnsi="Times New Roman" w:eastAsia="宋体" w:cs="Times New Roman"/>
          <w:sz w:val="24"/>
          <w:lang w:eastAsia="zh-CN"/>
        </w:rPr>
        <w:t>。</w:t>
      </w:r>
    </w:p>
    <w:p w14:paraId="639520FC">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举升流程包括自动快速举升阶段和人工慢速举升阶段。</w:t>
      </w:r>
    </w:p>
    <w:p w14:paraId="17E5670D">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自动快速阶段的高度由系统预设确定，可以根据车型设置不同的举升高度，预设工作在控制系统中完成，不需要在合装设备上操作。</w:t>
      </w:r>
    </w:p>
    <w:p w14:paraId="05BAA34A">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在手动模式下运行，举升机具备软锁功能，在达到设定高度之后不能继续举升，高度为人为设定。</w:t>
      </w:r>
    </w:p>
    <w:p w14:paraId="27B8B1DE">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合装设备配备脚踏板，当两侧操作者同时操作时才可以升高举升机，而下降举升机可以为任何一侧操作者或由系统远程控制即可。</w:t>
      </w:r>
    </w:p>
    <w:p w14:paraId="7D375A98">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举升装置的升降高度采用绝对编码器进行记录，信息存储于合装设备控制台，在停线等特殊情况下，当需要工作时，合装设备根据存储信息可直接进入合装工位工作。</w:t>
      </w:r>
    </w:p>
    <w:p w14:paraId="1CCC7867">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制动：控制采用断电制动模式，确保在意外断电情况下举升机构能高位保持48小时以上。</w:t>
      </w:r>
    </w:p>
    <w:p w14:paraId="423E618B">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浮动托盘结构形式由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提供样式，双方最终确认。</w:t>
      </w:r>
    </w:p>
    <w:p w14:paraId="5BD57C9D">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托盘设计应尽可能轻薄，托盘上定位和托举支撑要操作便捷。</w:t>
      </w:r>
    </w:p>
    <w:p w14:paraId="23FA9321">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浮动托盘在满载条件下，保证操作员移动灵活、可靠。</w:t>
      </w:r>
    </w:p>
    <w:p w14:paraId="501B88B3">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锁紧功能：合装设备运行过程中浮盘锁紧，当合装作业时，举升装置在特定高度以上均可以浮动，同时当作业完成后降到零位锁紧。</w:t>
      </w:r>
    </w:p>
    <w:p w14:paraId="48F1D3D6">
      <w:pPr>
        <w:keepNext w:val="0"/>
        <w:keepLines w:val="0"/>
        <w:pageBreakBefore w:val="0"/>
        <w:widowControl w:val="0"/>
        <w:numPr>
          <w:ilvl w:val="0"/>
          <w:numId w:val="5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浮动托盘安装极限位置检测开关，当合装设备在进行跟踪装配时，如发生合装设备跑偏或同步跟踪不良，合装设备浮动托盘在卡死前能自动发出报警，实现电气保护功能。</w:t>
      </w:r>
    </w:p>
    <w:p w14:paraId="44A4B766">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AGV整体要求</w:t>
      </w:r>
    </w:p>
    <w:p w14:paraId="66ACB492">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设备人机交互部分均应符合人机工程学原理，便于操作，易于紧急情况下易于识别及操作。</w:t>
      </w:r>
    </w:p>
    <w:p w14:paraId="793846BD">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设备外观颜色按</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统一要求，外观漂亮，整洁、大方。</w:t>
      </w:r>
    </w:p>
    <w:p w14:paraId="49040886">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涂漆外观要求均匀，颜色一致，无明显色差，涂覆的油漆要均匀，不允许有针孔、气泡、裂纹、脱落、流挂、漏涂等缺陷。</w:t>
      </w:r>
    </w:p>
    <w:p w14:paraId="1C923EA0">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AGV配置手动启动按钮，要求坚固耐用，安装于易触摸位置，便于员工操作。</w:t>
      </w:r>
    </w:p>
    <w:p w14:paraId="19AD5C28">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AGV配置按钮界面，带有手动/自动、急停、启动、复位等基本功能，要求坚固耐用，安装于易触摸位置，便于员工操作。</w:t>
      </w:r>
    </w:p>
    <w:p w14:paraId="0924A7A8">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载HMI显示屏，可以显示AGV的各种参数及实现故障自诊，实现AGV行驶记录存盘、故障自诊等功能，车载HMI可实现AGV小车的动作控制，要求操作便捷。控制面板应配有急停按钮，复位按钮，故障时闪烁的警示灯（同时伴有警示音乐），AGV本体需有电量指示，电量不足时能够声光报警。HMI采用西门子等同等级以上品牌。</w:t>
      </w:r>
    </w:p>
    <w:p w14:paraId="0B74D266">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安全检测：激光扫描仪，经过安全认证（Sil2或PLd以上安全等级），能够对扫描区域进行切换（至少8个），可在不同工位转换扫描距离，保护区域范围2m，最大报警区域范围8m，扫描角度270°，响应时间≤80ms，以应对不同通道区域的避障要求。</w:t>
      </w:r>
    </w:p>
    <w:p w14:paraId="4E28D983">
      <w:pPr>
        <w:keepNext w:val="0"/>
        <w:keepLines w:val="0"/>
        <w:pageBreakBefore w:val="0"/>
        <w:widowControl w:val="0"/>
        <w:numPr>
          <w:ilvl w:val="0"/>
          <w:numId w:val="5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AGV在停止前应做相应的减速。</w:t>
      </w:r>
    </w:p>
    <w:p w14:paraId="60DC44ED">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AGV小车车体（机械及电气部分）</w:t>
      </w:r>
    </w:p>
    <w:p w14:paraId="2E541E80">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设备设计合理，在满足设备整体要求的情况下，应尽可能将设备简单化，使得设备占用厂房的空间小，便于设备维修和保养。</w:t>
      </w:r>
    </w:p>
    <w:p w14:paraId="5014C869">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设备机械构件具有足够的强度和刚度，表面接触构件具有足够的耐磨性。</w:t>
      </w:r>
    </w:p>
    <w:p w14:paraId="35D2B796">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设备的焊接件、热处理件，不允许有变形、裂纹等缺陷。</w:t>
      </w:r>
    </w:p>
    <w:p w14:paraId="5BC3D53E">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设备的铸件不允许有裂纹、气孔、</w:t>
      </w:r>
      <w:r>
        <w:rPr>
          <w:rFonts w:hint="eastAsia" w:ascii="Times New Roman" w:hAnsi="Times New Roman" w:eastAsia="宋体" w:cs="Times New Roman"/>
          <w:sz w:val="24"/>
          <w:lang w:eastAsia="zh-CN"/>
        </w:rPr>
        <w:t>砂眼</w:t>
      </w:r>
      <w:r>
        <w:rPr>
          <w:rFonts w:ascii="Times New Roman" w:hAnsi="Times New Roman" w:eastAsia="宋体" w:cs="Times New Roman"/>
          <w:sz w:val="24"/>
        </w:rPr>
        <w:t>、夹渣、浇口、导流口、毛刺等缺陷。</w:t>
      </w:r>
    </w:p>
    <w:p w14:paraId="5E83FDEE">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设备机械运动部位充分考虑润滑的有效性和方便性，设备齿轮等啮合、传动部件设有润滑，外部设有防护装置。</w:t>
      </w:r>
    </w:p>
    <w:p w14:paraId="7B03EE6D">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设备相对滑动部位应具有良好的润滑和防护措施。</w:t>
      </w:r>
    </w:p>
    <w:p w14:paraId="40952056">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AGV均需台面带锁紧或者托盘定位装置，保证AGV在运行中托盘不掉落。</w:t>
      </w:r>
    </w:p>
    <w:p w14:paraId="3F5A3867">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AGV小车上装有指示灯，可根据指示灯判断小车运行状态。</w:t>
      </w:r>
    </w:p>
    <w:p w14:paraId="7D226CD8">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AGV小车车身电气元件安装必须考虑后续维护的便捷，保证电气元件间有合理的安装及更换空间。</w:t>
      </w:r>
    </w:p>
    <w:p w14:paraId="4DFA3D39">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 能够由遥控器进行控制，对AGV进行简单的前进、左转、右转等操作。</w:t>
      </w:r>
    </w:p>
    <w:p w14:paraId="0CABF3C9">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AGV面板预留有调试用的PN网线接口；AGV预留手动启动按钮，易于操作。</w:t>
      </w:r>
    </w:p>
    <w:p w14:paraId="3D2B748D">
      <w:pPr>
        <w:keepNext w:val="0"/>
        <w:keepLines w:val="0"/>
        <w:pageBreakBefore w:val="0"/>
        <w:widowControl w:val="0"/>
        <w:numPr>
          <w:ilvl w:val="0"/>
          <w:numId w:val="58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AGV带有强制释放抱闸功能（电气），并在抱闸释放后允许人工推动AGV，</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应在投标文件中提供具体解决方案。</w:t>
      </w:r>
    </w:p>
    <w:p w14:paraId="3684AC88">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车载控制器</w:t>
      </w:r>
    </w:p>
    <w:p w14:paraId="56A2DD7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采用国际知名品牌的主流PLC为控制器，PLC的CPU的内存空间占用小于80%，PLC工作存储不小于125KB，保持性存储容量不小于10KB，AGV控制台和AGV之间采用profinet通讯，AGV内部采用profinet和CAN open 通讯，无其他通讯协议，保持维修便捷性，统一性。</w:t>
      </w:r>
    </w:p>
    <w:p w14:paraId="586833BD">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驱动系统</w:t>
      </w:r>
    </w:p>
    <w:p w14:paraId="5AE8C88A">
      <w:pPr>
        <w:keepNext w:val="0"/>
        <w:keepLines w:val="0"/>
        <w:pageBreakBefore w:val="0"/>
        <w:widowControl w:val="0"/>
        <w:numPr>
          <w:ilvl w:val="0"/>
          <w:numId w:val="5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车轮单独组成驱动机械系统，在一个轮支架内安装有伺服电机、同轴减速器、抱闸、旋转编码器等，车轮结构紧凑、空间占用少、可控性高、性能可靠、维护简单。保证具备的行走精度和长期运行的可靠性。</w:t>
      </w:r>
    </w:p>
    <w:p w14:paraId="2DF602E2">
      <w:pPr>
        <w:keepNext w:val="0"/>
        <w:keepLines w:val="0"/>
        <w:pageBreakBefore w:val="0"/>
        <w:widowControl w:val="0"/>
        <w:numPr>
          <w:ilvl w:val="0"/>
          <w:numId w:val="5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AGV驱动轮采用知名品牌的专用驱动轮，车轮外层使用</w:t>
      </w:r>
      <w:r>
        <w:rPr>
          <w:rFonts w:hint="eastAsia" w:ascii="Times New Roman" w:hAnsi="Times New Roman" w:eastAsia="宋体" w:cs="Times New Roman"/>
          <w:sz w:val="24"/>
          <w:lang w:eastAsia="zh-CN"/>
        </w:rPr>
        <w:t>树酯</w:t>
      </w:r>
      <w:r>
        <w:rPr>
          <w:rFonts w:ascii="Times New Roman" w:hAnsi="Times New Roman" w:eastAsia="宋体" w:cs="Times New Roman"/>
          <w:sz w:val="24"/>
        </w:rPr>
        <w:t>橡胶材料作成，车轮强度高、耐磨损、稳定性高、具有一定的弹性。</w:t>
      </w:r>
    </w:p>
    <w:p w14:paraId="6343994C">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AGV导引系统</w:t>
      </w:r>
    </w:p>
    <w:p w14:paraId="2AD33C07">
      <w:pPr>
        <w:keepNext w:val="0"/>
        <w:keepLines w:val="0"/>
        <w:pageBreakBefore w:val="0"/>
        <w:widowControl w:val="0"/>
        <w:numPr>
          <w:ilvl w:val="0"/>
          <w:numId w:val="5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AGV采用磁条导航，在AGV下方装有磁感应传感器，传感器要求结构紧凑、使用简单、导航范围宽、导航精度高、灵敏度高、抗干扰性好，AGV地标采用RFID，要求AGV的停止精度达到±5mm。</w:t>
      </w:r>
    </w:p>
    <w:p w14:paraId="03A9FA9E">
      <w:pPr>
        <w:keepNext w:val="0"/>
        <w:keepLines w:val="0"/>
        <w:pageBreakBefore w:val="0"/>
        <w:widowControl w:val="0"/>
        <w:numPr>
          <w:ilvl w:val="0"/>
          <w:numId w:val="5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在生产线工艺区要保证AGV前后距离的稳定及操作方面的安全。</w:t>
      </w:r>
    </w:p>
    <w:p w14:paraId="3D3E92EE">
      <w:pPr>
        <w:keepNext w:val="0"/>
        <w:keepLines w:val="0"/>
        <w:pageBreakBefore w:val="0"/>
        <w:widowControl w:val="0"/>
        <w:numPr>
          <w:ilvl w:val="0"/>
          <w:numId w:val="5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地面导引系统是AGV运行的路线和轨迹，AGV的导引系统采用基于行驶路线磁条导航方法。铺设磁条作成AGV运行轨迹，确定AGV行走路线，通过地标控制AGV停止点及行走速度变换，达到导航的目的。</w:t>
      </w:r>
    </w:p>
    <w:p w14:paraId="32A37F75">
      <w:pPr>
        <w:keepNext w:val="0"/>
        <w:keepLines w:val="0"/>
        <w:pageBreakBefore w:val="0"/>
        <w:widowControl w:val="0"/>
        <w:numPr>
          <w:ilvl w:val="0"/>
          <w:numId w:val="5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AGV小车沿磁导航规划路线行进时采用惯导技术，具有自动纠偏功能。</w:t>
      </w:r>
    </w:p>
    <w:p w14:paraId="063A4D1A">
      <w:pPr>
        <w:keepNext w:val="0"/>
        <w:keepLines w:val="0"/>
        <w:pageBreakBefore w:val="0"/>
        <w:widowControl w:val="0"/>
        <w:numPr>
          <w:ilvl w:val="0"/>
          <w:numId w:val="58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磁条宽度限制在5cm以内，铺设完成后使用保护带或环氧树脂防护，要求美观。</w:t>
      </w:r>
    </w:p>
    <w:p w14:paraId="72BAC03C">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AGV控制台及调度管理系统</w:t>
      </w:r>
    </w:p>
    <w:p w14:paraId="6D7252FC">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AGV控制台与小车采用无线局域网通讯，无线网络信号强度大于-60dbm，AGV控制台由PLC、无线电台、路由器及数据采集系统组成。</w:t>
      </w:r>
    </w:p>
    <w:p w14:paraId="53B43E00">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控制台是AGV系统的核心，可以发放调度命令和监控AGV的运行情况。控制台应满足工业现场环境要求，有足够的运算速度和管理能力。</w:t>
      </w:r>
    </w:p>
    <w:p w14:paraId="53A96392">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控制台主要功能包括通讯管理、数据采集和运行状态显示。控制台在实时调度在线AGV的同时在屏幕上显示系统工作状态，包括在线AGV的数量、电量状态，位置状态等。</w:t>
      </w:r>
    </w:p>
    <w:p w14:paraId="47FDDFF3">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控制台负责AGV运行中的交通管理。保证运行中的AGV与AGV间不发生碰撞和AGV追尾等事故。控制台将对进入系统和退出系统的AGV进行管理，以保证系统安全运行。</w:t>
      </w:r>
    </w:p>
    <w:p w14:paraId="3601AD9D">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控制台PLC采用国际知名品牌产品。PLC预留15</w:t>
      </w:r>
      <w:r>
        <w:rPr>
          <w:rFonts w:hint="eastAsia" w:ascii="Times New Roman" w:hAnsi="Times New Roman" w:eastAsia="宋体" w:cs="Times New Roman"/>
          <w:sz w:val="24"/>
          <w:lang w:eastAsia="zh-CN"/>
        </w:rPr>
        <w:t>%～</w:t>
      </w:r>
      <w:r>
        <w:rPr>
          <w:rFonts w:ascii="Times New Roman" w:hAnsi="Times New Roman" w:eastAsia="宋体" w:cs="Times New Roman"/>
          <w:sz w:val="24"/>
        </w:rPr>
        <w:t>20% I/O用于备用。</w:t>
      </w:r>
    </w:p>
    <w:p w14:paraId="2230B757">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控制台柜门上配有笔记本托架，方便PLC运行监控。</w:t>
      </w:r>
    </w:p>
    <w:p w14:paraId="55818465">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控制台柜开关包括：电源总开关及相关按钮、紧急停止按钮、异常复位按钮、运转启动等主要的操作和安全控制按钮。</w:t>
      </w:r>
    </w:p>
    <w:p w14:paraId="65C8D025">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控制台内有日光灯照明，有2组备用电源插座，容量为：AC220V,15A，电源插座配备漏电保护器。</w:t>
      </w:r>
    </w:p>
    <w:p w14:paraId="30866E5A">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控制台上方装有三色指示灯，带蜂鸣。</w:t>
      </w:r>
    </w:p>
    <w:p w14:paraId="018B6355">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控制台密封良好，具有良好的循环冷却系统。</w:t>
      </w:r>
    </w:p>
    <w:p w14:paraId="617DEDCE">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控制台上装有HMI，不小于15寸，可显示AGV运行信息、报警信息、电量信息等。</w:t>
      </w:r>
    </w:p>
    <w:p w14:paraId="53408D97">
      <w:pPr>
        <w:keepNext w:val="0"/>
        <w:keepLines w:val="0"/>
        <w:pageBreakBefore w:val="0"/>
        <w:widowControl w:val="0"/>
        <w:numPr>
          <w:ilvl w:val="0"/>
          <w:numId w:val="5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统具有故障信息存储功能（包括故障发生的日期、时间、内容等），存储信息不小于1000条，并自动刷新。</w:t>
      </w:r>
    </w:p>
    <w:p w14:paraId="15E29F62">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充电系统</w:t>
      </w:r>
    </w:p>
    <w:p w14:paraId="715AD919">
      <w:pPr>
        <w:keepNext w:val="0"/>
        <w:keepLines w:val="0"/>
        <w:pageBreakBefore w:val="0"/>
        <w:widowControl w:val="0"/>
        <w:numPr>
          <w:ilvl w:val="0"/>
          <w:numId w:val="5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全部采用在线自动充电，无须人工干预；每1台AGV配1组锂电池，充电站设置在AGV停止位，充分利用AGV等待时间对AGV快速充电。</w:t>
      </w:r>
    </w:p>
    <w:p w14:paraId="3033526E">
      <w:pPr>
        <w:keepNext w:val="0"/>
        <w:keepLines w:val="0"/>
        <w:pageBreakBefore w:val="0"/>
        <w:widowControl w:val="0"/>
        <w:numPr>
          <w:ilvl w:val="0"/>
          <w:numId w:val="5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AGV电池容量考虑</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生产现场负载需要，电池容量不小于120AH。</w:t>
      </w:r>
    </w:p>
    <w:p w14:paraId="47DBEF95">
      <w:pPr>
        <w:keepNext w:val="0"/>
        <w:keepLines w:val="0"/>
        <w:pageBreakBefore w:val="0"/>
        <w:widowControl w:val="0"/>
        <w:numPr>
          <w:ilvl w:val="0"/>
          <w:numId w:val="5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电池采用国际知名品牌产品，电池的使用寿命充放电次数不低于3000次。</w:t>
      </w:r>
    </w:p>
    <w:p w14:paraId="450D6F51">
      <w:pPr>
        <w:keepNext w:val="0"/>
        <w:keepLines w:val="0"/>
        <w:pageBreakBefore w:val="0"/>
        <w:widowControl w:val="0"/>
        <w:numPr>
          <w:ilvl w:val="0"/>
          <w:numId w:val="5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接触式充电，在AGV运行路线的充电位置上安装有充电电极，在AGV车底部或侧方装有与之配套的充电电极，AGV运行到充电位置后，AGV车载电极与外置电极的充电滑触板连接充电。充电完成后，AGV可自动脱离充电位置继续投入运行。只有当AGV充电时充电滑触板才带电，其余时候充电电源处于常断状态，安全可靠。</w:t>
      </w:r>
    </w:p>
    <w:p w14:paraId="4550573F">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安全防护系统</w:t>
      </w:r>
    </w:p>
    <w:p w14:paraId="5C5BCEF8">
      <w:pPr>
        <w:keepNext w:val="0"/>
        <w:keepLines w:val="0"/>
        <w:pageBreakBefore w:val="0"/>
        <w:widowControl w:val="0"/>
        <w:numPr>
          <w:ilvl w:val="0"/>
          <w:numId w:val="5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AGV小车安装有安全扫描仪，以及小车安全触边组成的2级安全防护装置，确保运行安全，0.2～2米范围内检测到障碍物体刹车停止；AGV同时具备安全触边停止功能。</w:t>
      </w:r>
    </w:p>
    <w:p w14:paraId="4EA7FD6B">
      <w:pPr>
        <w:keepNext w:val="0"/>
        <w:keepLines w:val="0"/>
        <w:pageBreakBefore w:val="0"/>
        <w:widowControl w:val="0"/>
        <w:numPr>
          <w:ilvl w:val="0"/>
          <w:numId w:val="5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具备声、光报警功能，可以及时了解设备运行情况。设备发生故障或者缺电，AGV自动启用声光报警，同时通过无线通讯系统通知AGV控制台。AGV监控系统可实时显示AGV当前故障状态及电量等信息。监控人员可以根据提示的信息，指挥现场人员排除故障。</w:t>
      </w:r>
    </w:p>
    <w:p w14:paraId="718BFC4C">
      <w:pPr>
        <w:keepNext w:val="0"/>
        <w:keepLines w:val="0"/>
        <w:pageBreakBefore w:val="0"/>
        <w:widowControl w:val="0"/>
        <w:numPr>
          <w:ilvl w:val="0"/>
          <w:numId w:val="5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设备上设置紧急停止按钮，紧急按钮动作后系统会在即时工作状态停止，并保持停止状态，在人工确认异常解除后系统重新运转，确保运行的安全。</w:t>
      </w:r>
    </w:p>
    <w:p w14:paraId="6523ACCB">
      <w:pPr>
        <w:keepNext w:val="0"/>
        <w:keepLines w:val="0"/>
        <w:pageBreakBefore w:val="0"/>
        <w:widowControl w:val="0"/>
        <w:numPr>
          <w:ilvl w:val="0"/>
          <w:numId w:val="5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系统具备一键休眠功能，控制线体内所有AGV的开机和休眠，休眠后AGV电池的电量消耗24小时小于电池总电量的10%。</w:t>
      </w:r>
    </w:p>
    <w:p w14:paraId="68F4D9D6">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其他要求</w:t>
      </w:r>
    </w:p>
    <w:p w14:paraId="579B417F">
      <w:pPr>
        <w:keepNext w:val="0"/>
        <w:keepLines w:val="0"/>
        <w:pageBreakBefore w:val="0"/>
        <w:widowControl w:val="0"/>
        <w:numPr>
          <w:ilvl w:val="0"/>
          <w:numId w:val="5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AGV运行模式：AGV具备2种运行模式：自动运行方式和手动运行方式。</w:t>
      </w:r>
    </w:p>
    <w:p w14:paraId="7206506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自动运行方式是AGV按照AGV控制台的调度进行正常生产使用。</w:t>
      </w:r>
    </w:p>
    <w:p w14:paraId="4DEB43D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手动运行方式是可以手动操纵AGV在工作区或者非工作区（不含导航线）的区域行走。</w:t>
      </w:r>
    </w:p>
    <w:p w14:paraId="2BF2EDC9">
      <w:pPr>
        <w:keepNext w:val="0"/>
        <w:keepLines w:val="0"/>
        <w:pageBreakBefore w:val="0"/>
        <w:widowControl w:val="0"/>
        <w:numPr>
          <w:ilvl w:val="0"/>
          <w:numId w:val="59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提供AGV维修方案，并依据方案提供维修所需专用工具，千斤顶4个、地坦克3个、手持充电机1个，保证AGV的维修性。</w:t>
      </w:r>
    </w:p>
    <w:p w14:paraId="341811AE">
      <w:pPr>
        <w:keepNext w:val="0"/>
        <w:keepLines w:val="0"/>
        <w:pageBreakBefore w:val="0"/>
        <w:widowControl w:val="0"/>
        <w:numPr>
          <w:ilvl w:val="0"/>
          <w:numId w:val="58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主要配置品牌要求</w:t>
      </w:r>
    </w:p>
    <w:p w14:paraId="210CEF6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供货方案中涉及到的元器件规格选用参照《主要配置元器件规格标准清单》中推荐品牌，</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在投标时需要对主要配置元器件做具体品牌响应。</w:t>
      </w:r>
    </w:p>
    <w:p w14:paraId="4A0A2FE0">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如所选不在推荐清单内，可采用国际著名厂商的可靠商品，在中国应有良好服务体系的生产商，并在投标文件中说明。</w:t>
      </w:r>
    </w:p>
    <w:p w14:paraId="61F1132F">
      <w:pPr>
        <w:keepNext w:val="0"/>
        <w:keepLines w:val="0"/>
        <w:pageBreakBefore w:val="0"/>
        <w:widowControl w:val="0"/>
        <w:kinsoku/>
        <w:overflowPunct/>
        <w:topLinePunct w:val="0"/>
        <w:bidi w:val="0"/>
        <w:adjustRightInd w:val="0"/>
        <w:snapToGrid w:val="0"/>
        <w:spacing w:afterAutospacing="0" w:line="360" w:lineRule="auto"/>
        <w:jc w:val="center"/>
        <w:rPr>
          <w:rFonts w:ascii="宋体" w:hAnsi="宋体" w:eastAsia="宋体" w:cs="宋体"/>
          <w:b/>
          <w:sz w:val="24"/>
          <w:szCs w:val="22"/>
        </w:rPr>
      </w:pPr>
      <w:r>
        <w:rPr>
          <w:rFonts w:ascii="宋体" w:hAnsi="宋体" w:eastAsia="宋体" w:cs="宋体"/>
          <w:b/>
          <w:sz w:val="24"/>
          <w:szCs w:val="22"/>
        </w:rPr>
        <w:t>主要配置元器件规格标准清单</w:t>
      </w:r>
    </w:p>
    <w:tbl>
      <w:tblPr>
        <w:tblStyle w:val="44"/>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045"/>
        <w:gridCol w:w="2535"/>
        <w:gridCol w:w="4908"/>
        <w:gridCol w:w="1164"/>
      </w:tblGrid>
      <w:tr w14:paraId="397954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567" w:hRule="atLeast"/>
          <w:tblHeader/>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AC3B559">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序号</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E6A957A">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外购元器件名称</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4D6C159">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相当于或优于以下品牌</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43C898F">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备注</w:t>
            </w:r>
          </w:p>
        </w:tc>
      </w:tr>
      <w:tr w14:paraId="6941A2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3D3AFE1">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145AE14">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驱动舵轮</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4202294">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ascii="宋体" w:hAnsi="宋体" w:eastAsia="宋体" w:cs="Arial"/>
                <w:snapToGrid/>
                <w:kern w:val="2"/>
                <w:sz w:val="24"/>
                <w:szCs w:val="24"/>
                <w:lang w:val="en-US" w:eastAsia="zh-CN" w:bidi="ar-SA"/>
              </w:rPr>
              <w:t>TEC</w:t>
            </w:r>
            <w:r>
              <w:rPr>
                <w:rFonts w:hint="eastAsia" w:ascii="宋体" w:hAnsi="宋体" w:eastAsia="宋体" w:cs="Arial"/>
                <w:snapToGrid/>
                <w:kern w:val="2"/>
                <w:sz w:val="24"/>
                <w:szCs w:val="24"/>
                <w:lang w:val="en-US" w:eastAsia="zh-CN" w:bidi="ar-SA"/>
              </w:rPr>
              <w:t>/智客</w:t>
            </w:r>
            <w:r>
              <w:rPr>
                <w:rFonts w:ascii="宋体" w:hAnsi="宋体" w:eastAsia="宋体" w:cs="Arial"/>
                <w:snapToGrid/>
                <w:kern w:val="2"/>
                <w:sz w:val="24"/>
                <w:szCs w:val="24"/>
                <w:lang w:val="en-US" w:eastAsia="zh-CN" w:bidi="ar-SA"/>
              </w:rPr>
              <w:t>/</w:t>
            </w:r>
            <w:r>
              <w:rPr>
                <w:rFonts w:hint="eastAsia" w:ascii="宋体" w:hAnsi="宋体" w:eastAsia="宋体" w:cs="Arial"/>
                <w:snapToGrid/>
                <w:kern w:val="2"/>
                <w:sz w:val="24"/>
                <w:szCs w:val="24"/>
                <w:lang w:val="en-US" w:eastAsia="zh-CN" w:bidi="ar-SA"/>
              </w:rPr>
              <w:t>奥斯特</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92D09B8">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7207CD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0B7060A">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2</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C8673BC">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从动轮</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CD89E6C">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blickle/威卡/</w:t>
            </w:r>
            <w:r>
              <w:rPr>
                <w:rFonts w:ascii="宋体" w:hAnsi="宋体" w:eastAsia="宋体" w:cs="Arial"/>
                <w:snapToGrid/>
                <w:kern w:val="2"/>
                <w:sz w:val="24"/>
                <w:szCs w:val="24"/>
                <w:lang w:val="en-US" w:eastAsia="zh-CN" w:bidi="ar-SA"/>
              </w:rPr>
              <w:t>TR</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4FA2753">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63A60D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68D8695">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3</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22B2025">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无线模块</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E7FB581">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MOXA/科尔摩根/</w:t>
            </w:r>
            <w:r>
              <w:rPr>
                <w:rFonts w:ascii="宋体" w:hAnsi="宋体" w:eastAsia="宋体" w:cs="Arial"/>
                <w:snapToGrid/>
                <w:kern w:val="2"/>
                <w:sz w:val="24"/>
                <w:szCs w:val="24"/>
                <w:lang w:val="en-US" w:eastAsia="zh-CN" w:bidi="ar-SA"/>
              </w:rPr>
              <w:t>TP</w:t>
            </w:r>
            <w:r>
              <w:rPr>
                <w:rFonts w:hint="eastAsia" w:ascii="宋体" w:hAnsi="宋体" w:eastAsia="宋体" w:cs="Arial"/>
                <w:snapToGrid/>
                <w:kern w:val="2"/>
                <w:sz w:val="24"/>
                <w:szCs w:val="24"/>
                <w:lang w:val="en-US" w:eastAsia="zh-CN" w:bidi="ar-SA"/>
              </w:rPr>
              <w:t>link</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5A64BAC">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0A8B10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AC9C2A2">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4</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E4D98BD">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激光安全扫描仪</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BE3F01B">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ascii="宋体" w:hAnsi="宋体" w:eastAsia="宋体" w:cs="Arial"/>
                <w:snapToGrid/>
                <w:kern w:val="2"/>
                <w:sz w:val="24"/>
                <w:szCs w:val="24"/>
                <w:lang w:val="en-US" w:eastAsia="zh-CN" w:bidi="ar-SA"/>
              </w:rPr>
              <w:t>SICK/基恩士/</w:t>
            </w:r>
            <w:r>
              <w:rPr>
                <w:rFonts w:hint="eastAsia" w:ascii="宋体" w:hAnsi="宋体" w:eastAsia="宋体" w:cs="Arial"/>
                <w:snapToGrid/>
                <w:kern w:val="2"/>
                <w:sz w:val="24"/>
                <w:szCs w:val="24"/>
                <w:lang w:val="en-US" w:eastAsia="zh-CN" w:bidi="ar-SA"/>
              </w:rPr>
              <w:t>兴颂</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1A4D4F4">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5A95F4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7047B27">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5</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F7DA994">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随行传感器</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DBB40F9">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ascii="宋体" w:hAnsi="宋体" w:eastAsia="宋体" w:cs="Arial"/>
                <w:snapToGrid/>
                <w:kern w:val="2"/>
                <w:sz w:val="24"/>
                <w:szCs w:val="24"/>
                <w:lang w:val="en-US" w:eastAsia="zh-CN" w:bidi="ar-SA"/>
              </w:rPr>
              <w:t>SICK/基恩士/倍加福</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A0998F6">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1F498A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58AF585">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6</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5973DB2">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触摸屏</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2C8E550">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SIEMENS</w:t>
            </w:r>
            <w:r>
              <w:rPr>
                <w:rFonts w:ascii="宋体" w:hAnsi="宋体" w:eastAsia="宋体" w:cs="Arial"/>
                <w:snapToGrid/>
                <w:kern w:val="2"/>
                <w:sz w:val="24"/>
                <w:szCs w:val="24"/>
                <w:lang w:val="en-US" w:eastAsia="zh-CN" w:bidi="ar-SA"/>
              </w:rPr>
              <w:t>/KINCO</w:t>
            </w:r>
            <w:r>
              <w:rPr>
                <w:rFonts w:hint="eastAsia" w:ascii="宋体" w:hAnsi="宋体" w:eastAsia="宋体" w:cs="Arial"/>
                <w:snapToGrid/>
                <w:kern w:val="2"/>
                <w:sz w:val="24"/>
                <w:szCs w:val="24"/>
                <w:lang w:val="en-US" w:eastAsia="zh-CN" w:bidi="ar-SA"/>
              </w:rPr>
              <w:t>/SCHNEIDER</w:t>
            </w:r>
          </w:p>
        </w:tc>
        <w:tc>
          <w:tcPr>
            <w:tcW w:w="60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5D4C8584">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232CAA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4E0CF3E">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7</w:t>
            </w:r>
          </w:p>
        </w:tc>
        <w:tc>
          <w:tcPr>
            <w:tcW w:w="131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3BE9FFB9">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交换机</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FF510B1">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ADVANTECH/ SIEMENS /</w:t>
            </w:r>
            <w:r>
              <w:rPr>
                <w:rFonts w:ascii="宋体" w:hAnsi="宋体" w:eastAsia="宋体" w:cs="Arial"/>
                <w:snapToGrid/>
                <w:kern w:val="2"/>
                <w:sz w:val="24"/>
                <w:szCs w:val="24"/>
                <w:lang w:val="en-US" w:eastAsia="zh-CN" w:bidi="ar-SA"/>
              </w:rPr>
              <w:t>TP</w:t>
            </w:r>
            <w:r>
              <w:rPr>
                <w:rFonts w:hint="eastAsia" w:ascii="宋体" w:hAnsi="宋体" w:eastAsia="宋体" w:cs="Arial"/>
                <w:snapToGrid/>
                <w:kern w:val="2"/>
                <w:sz w:val="24"/>
                <w:szCs w:val="24"/>
                <w:lang w:val="en-US" w:eastAsia="zh-CN" w:bidi="ar-SA"/>
              </w:rPr>
              <w:t>link</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131DF79">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568278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2A13BAC">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8</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61818091">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PLC CPU</w:t>
            </w:r>
          </w:p>
        </w:tc>
        <w:tc>
          <w:tcPr>
            <w:tcW w:w="254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EBF4CBD">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SIEMENS/AB/SCHNEIDER</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955ED01">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577621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5EE4432">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9</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0C924E78">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PLC 本地输入模块</w:t>
            </w:r>
          </w:p>
        </w:tc>
        <w:tc>
          <w:tcPr>
            <w:tcW w:w="254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ACA23D">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B988808">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3A345B2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1146B93">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10</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2D144473">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PLC 本地输出模块</w:t>
            </w:r>
          </w:p>
        </w:tc>
        <w:tc>
          <w:tcPr>
            <w:tcW w:w="254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8A5FAE">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0ADCE40">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69296D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079D4ABD">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11</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13B67797">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基本模块</w:t>
            </w:r>
          </w:p>
        </w:tc>
        <w:tc>
          <w:tcPr>
            <w:tcW w:w="2542"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8B97407">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248AB03">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242102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1D869F7C">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12</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2DDC26F8">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锂电池</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47CABA0F">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霍克/泰坦/友聚</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70D012F">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348BE5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25E8D590">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13</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5D966612">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驱动器</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tcPr>
          <w:p w14:paraId="3CC11883">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ascii="宋体" w:hAnsi="宋体" w:eastAsia="宋体" w:cs="Arial"/>
                <w:snapToGrid/>
                <w:kern w:val="2"/>
                <w:sz w:val="24"/>
                <w:szCs w:val="24"/>
                <w:lang w:val="en-US" w:eastAsia="zh-CN" w:bidi="ar-SA"/>
              </w:rPr>
              <w:t>步科</w:t>
            </w:r>
            <w:r>
              <w:rPr>
                <w:rFonts w:hint="eastAsia" w:ascii="宋体" w:hAnsi="宋体" w:eastAsia="宋体" w:cs="Arial"/>
                <w:snapToGrid/>
                <w:kern w:val="2"/>
                <w:sz w:val="24"/>
                <w:szCs w:val="24"/>
                <w:lang w:val="en-US" w:eastAsia="zh-CN" w:bidi="ar-SA"/>
              </w:rPr>
              <w:t>/同毅/</w:t>
            </w:r>
            <w:r>
              <w:rPr>
                <w:rFonts w:ascii="宋体" w:hAnsi="宋体" w:eastAsia="宋体" w:cs="Arial"/>
                <w:snapToGrid/>
                <w:kern w:val="2"/>
                <w:sz w:val="24"/>
                <w:szCs w:val="24"/>
                <w:lang w:val="en-US" w:eastAsia="zh-CN" w:bidi="ar-SA"/>
              </w:rPr>
              <w:t>AMC</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4ABA86A">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6CC4D8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7980DC0A">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14</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5A65C62D">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安全继电器</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tcPr>
          <w:p w14:paraId="6C3D655D">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S</w:t>
            </w:r>
            <w:r>
              <w:rPr>
                <w:rFonts w:ascii="宋体" w:hAnsi="宋体" w:eastAsia="宋体" w:cs="Arial"/>
                <w:snapToGrid/>
                <w:kern w:val="2"/>
                <w:sz w:val="24"/>
                <w:szCs w:val="24"/>
                <w:lang w:val="en-US" w:eastAsia="zh-CN" w:bidi="ar-SA"/>
              </w:rPr>
              <w:t>ICK/PILZ/基恩士</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5AB78765">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r w14:paraId="617EC3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80" w:hRule="atLeast"/>
          <w:jc w:val="center"/>
        </w:trPr>
        <w:tc>
          <w:tcPr>
            <w:tcW w:w="541"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C52259B">
            <w:pPr>
              <w:keepNext w:val="0"/>
              <w:keepLines w:val="0"/>
              <w:pageBreakBefore w:val="0"/>
              <w:widowControl w:val="0"/>
              <w:numPr>
                <w:ilvl w:val="255"/>
                <w:numId w:val="0"/>
              </w:numPr>
              <w:kinsoku/>
              <w:overflowPunct/>
              <w:topLinePunct w:val="0"/>
              <w:bidi w:val="0"/>
              <w:adjustRightInd w:val="0"/>
              <w:snapToGrid w:val="0"/>
              <w:spacing w:afterAutospacing="0" w:line="240" w:lineRule="auto"/>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15</w:t>
            </w:r>
          </w:p>
        </w:tc>
        <w:tc>
          <w:tcPr>
            <w:tcW w:w="1313" w:type="pct"/>
            <w:tcBorders>
              <w:top w:val="single" w:color="auto" w:sz="4" w:space="0"/>
              <w:left w:val="single" w:color="auto" w:sz="4" w:space="0"/>
              <w:bottom w:val="single" w:color="auto" w:sz="4" w:space="0"/>
              <w:right w:val="single" w:color="auto" w:sz="4" w:space="0"/>
            </w:tcBorders>
            <w:shd w:val="clear" w:color="auto" w:fill="auto"/>
            <w:noWrap/>
            <w:tcMar>
              <w:top w:w="0" w:type="dxa"/>
              <w:left w:w="108" w:type="dxa"/>
              <w:bottom w:w="0" w:type="dxa"/>
              <w:right w:w="108" w:type="dxa"/>
            </w:tcMar>
            <w:vAlign w:val="center"/>
          </w:tcPr>
          <w:p w14:paraId="58246BC7">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Arial"/>
                <w:snapToGrid/>
                <w:kern w:val="2"/>
                <w:sz w:val="24"/>
                <w:szCs w:val="24"/>
                <w:lang w:val="en-US" w:eastAsia="zh-CN" w:bidi="ar-SA"/>
              </w:rPr>
            </w:pPr>
            <w:r>
              <w:rPr>
                <w:rFonts w:hint="eastAsia" w:ascii="宋体" w:hAnsi="宋体" w:eastAsia="宋体" w:cs="Arial"/>
                <w:snapToGrid/>
                <w:kern w:val="2"/>
                <w:sz w:val="24"/>
                <w:szCs w:val="24"/>
                <w:lang w:val="en-US" w:eastAsia="zh-CN" w:bidi="ar-SA"/>
              </w:rPr>
              <w:t>举升机</w:t>
            </w:r>
          </w:p>
        </w:tc>
        <w:tc>
          <w:tcPr>
            <w:tcW w:w="2542"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tcPr>
          <w:p w14:paraId="3129746B">
            <w:pPr>
              <w:keepNext w:val="0"/>
              <w:keepLines w:val="0"/>
              <w:pageBreakBefore w:val="0"/>
              <w:widowControl w:val="0"/>
              <w:kinsoku/>
              <w:overflowPunct/>
              <w:topLinePunct w:val="0"/>
              <w:bidi w:val="0"/>
              <w:adjustRightInd w:val="0"/>
              <w:snapToGrid w:val="0"/>
              <w:spacing w:afterAutospacing="0" w:line="240" w:lineRule="auto"/>
              <w:ind w:left="0"/>
              <w:jc w:val="center"/>
              <w:rPr>
                <w:rFonts w:ascii="宋体" w:hAnsi="宋体" w:eastAsia="宋体" w:cs="Times New Roman"/>
                <w:snapToGrid w:val="0"/>
                <w:kern w:val="2"/>
                <w:sz w:val="24"/>
                <w:szCs w:val="21"/>
                <w:lang w:val="en-US" w:eastAsia="zh-CN" w:bidi="ar-SA"/>
              </w:rPr>
            </w:pPr>
            <w:r>
              <w:rPr>
                <w:rFonts w:ascii="宋体" w:hAnsi="宋体" w:eastAsia="宋体" w:cs="Times New Roman"/>
                <w:snapToGrid w:val="0"/>
                <w:kern w:val="2"/>
                <w:sz w:val="24"/>
                <w:szCs w:val="21"/>
                <w:lang w:val="en-US" w:eastAsia="zh-CN" w:bidi="ar-SA"/>
              </w:rPr>
              <w:t>Flexlift/Heckert/Pro-Hub</w:t>
            </w:r>
          </w:p>
        </w:tc>
        <w:tc>
          <w:tcPr>
            <w:tcW w:w="603" w:type="pct"/>
            <w:tcBorders>
              <w:top w:val="single" w:color="auto" w:sz="4" w:space="0"/>
              <w:left w:val="single" w:color="auto" w:sz="4" w:space="0"/>
              <w:bottom w:val="single" w:color="auto" w:sz="4" w:space="0"/>
              <w:right w:val="single" w:color="auto" w:sz="4" w:space="0"/>
            </w:tcBorders>
            <w:shd w:val="clear" w:color="auto" w:fill="auto"/>
            <w:tcMar>
              <w:top w:w="0" w:type="dxa"/>
              <w:left w:w="108" w:type="dxa"/>
              <w:bottom w:w="0" w:type="dxa"/>
              <w:right w:w="108" w:type="dxa"/>
            </w:tcMar>
            <w:vAlign w:val="center"/>
          </w:tcPr>
          <w:p w14:paraId="65DBC67D">
            <w:pPr>
              <w:keepNext w:val="0"/>
              <w:keepLines w:val="0"/>
              <w:pageBreakBefore w:val="0"/>
              <w:widowControl w:val="0"/>
              <w:kinsoku/>
              <w:overflowPunct/>
              <w:topLinePunct w:val="0"/>
              <w:bidi w:val="0"/>
              <w:adjustRightInd w:val="0"/>
              <w:snapToGrid w:val="0"/>
              <w:spacing w:afterAutospacing="0" w:line="240" w:lineRule="auto"/>
              <w:ind w:left="482"/>
              <w:jc w:val="center"/>
              <w:rPr>
                <w:rFonts w:ascii="宋体" w:hAnsi="宋体" w:eastAsia="宋体" w:cs="Arial"/>
                <w:snapToGrid/>
                <w:kern w:val="2"/>
                <w:sz w:val="24"/>
                <w:szCs w:val="24"/>
                <w:lang w:val="en-US" w:eastAsia="zh-CN" w:bidi="ar-SA"/>
              </w:rPr>
            </w:pPr>
          </w:p>
        </w:tc>
      </w:tr>
    </w:tbl>
    <w:p w14:paraId="67C19C92">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电动拧紧装置技术要求</w:t>
      </w:r>
    </w:p>
    <w:p w14:paraId="14F566B9">
      <w:pPr>
        <w:keepNext w:val="0"/>
        <w:keepLines w:val="0"/>
        <w:pageBreakBefore w:val="0"/>
        <w:widowControl w:val="0"/>
        <w:numPr>
          <w:ilvl w:val="0"/>
          <w:numId w:val="59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设备用途</w:t>
      </w:r>
    </w:p>
    <w:p w14:paraId="027084BA">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电动拧紧工具用于总装车间轮胎螺母及驱动螺母拧紧，并实现扭矩可存储、可追溯、可分析功能，提升装配效率和装配稳定性。</w:t>
      </w:r>
    </w:p>
    <w:p w14:paraId="4D53D62A">
      <w:pPr>
        <w:keepNext w:val="0"/>
        <w:keepLines w:val="0"/>
        <w:pageBreakBefore w:val="0"/>
        <w:widowControl w:val="0"/>
        <w:numPr>
          <w:ilvl w:val="0"/>
          <w:numId w:val="59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货物需求表</w:t>
      </w:r>
    </w:p>
    <w:tbl>
      <w:tblPr>
        <w:tblStyle w:val="44"/>
        <w:tblW w:w="4997"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724"/>
        <w:gridCol w:w="2002"/>
        <w:gridCol w:w="753"/>
        <w:gridCol w:w="799"/>
        <w:gridCol w:w="3033"/>
        <w:gridCol w:w="2337"/>
      </w:tblGrid>
      <w:tr w14:paraId="31F548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31"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11DDCF3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17D3870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B9EA57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3D8F9EC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7FB3C39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规格</w:t>
            </w:r>
            <w:r>
              <w:rPr>
                <w:rFonts w:hint="eastAsia" w:ascii="宋体" w:hAnsi="宋体" w:eastAsia="宋体" w:cs="宋体"/>
                <w:sz w:val="24"/>
                <w:szCs w:val="24"/>
                <w:lang w:val="en-US" w:eastAsia="zh-CN"/>
              </w:rPr>
              <w:t>参数</w:t>
            </w:r>
          </w:p>
        </w:tc>
        <w:tc>
          <w:tcPr>
            <w:tcW w:w="1210" w:type="pct"/>
            <w:tcBorders>
              <w:top w:val="single" w:color="auto" w:sz="4" w:space="0"/>
              <w:left w:val="single" w:color="auto" w:sz="4" w:space="0"/>
              <w:bottom w:val="single" w:color="auto" w:sz="4" w:space="0"/>
              <w:right w:val="single" w:color="auto" w:sz="4" w:space="0"/>
            </w:tcBorders>
            <w:shd w:val="clear" w:color="auto" w:fill="auto"/>
            <w:vAlign w:val="center"/>
          </w:tcPr>
          <w:p w14:paraId="6FCCF7B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4F8A84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70"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5157DC3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7E2B535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轴轮胎螺母</w:t>
            </w:r>
          </w:p>
          <w:p w14:paraId="12777FD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拧紧机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C67DED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680F503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76A9CB9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有线直轴工具（</w:t>
            </w:r>
            <w:r>
              <w:rPr>
                <w:rFonts w:ascii="宋体" w:hAnsi="宋体" w:eastAsia="宋体" w:cs="宋体"/>
                <w:sz w:val="24"/>
                <w:szCs w:val="24"/>
              </w:rPr>
              <w:t>5</w:t>
            </w:r>
            <w:r>
              <w:rPr>
                <w:rFonts w:hint="eastAsia" w:ascii="宋体" w:hAnsi="宋体" w:eastAsia="宋体" w:cs="宋体"/>
                <w:sz w:val="24"/>
                <w:szCs w:val="24"/>
              </w:rPr>
              <w:t>轴）</w:t>
            </w:r>
          </w:p>
        </w:tc>
        <w:tc>
          <w:tcPr>
            <w:tcW w:w="1210"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030D94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每套包含：电动拧紧工具、反力工装、拧紧控制器、电缆、套筒、支架、拧紧软件，具备数据接收、扭矩设定、数据采集、储存、导出等功能</w:t>
            </w:r>
          </w:p>
        </w:tc>
      </w:tr>
      <w:tr w14:paraId="705156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5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164BA53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1A3F9E5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轴拧紧机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C75A29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316C1C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2C1153D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21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0F746E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E8C9A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5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42926BB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5AAF16E8">
            <w:pPr>
              <w:keepNext w:val="0"/>
              <w:keepLines w:val="0"/>
              <w:pageBreakBefore w:val="0"/>
              <w:kinsoku/>
              <w:overflowPunct/>
              <w:topLinePunct w:val="0"/>
              <w:bidi w:val="0"/>
              <w:adjustRightInd w:val="0"/>
              <w:snapToGrid w:val="0"/>
              <w:spacing w:afterAutospacing="0"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5轴拧紧电</w:t>
            </w:r>
            <w:r>
              <w:rPr>
                <w:rFonts w:hint="eastAsia" w:ascii="宋体" w:hAnsi="宋体" w:cs="宋体"/>
                <w:sz w:val="24"/>
                <w:szCs w:val="24"/>
                <w:lang w:val="en-US" w:eastAsia="zh-CN"/>
              </w:rPr>
              <w:t>动</w:t>
            </w:r>
            <w:r>
              <w:rPr>
                <w:rFonts w:hint="eastAsia" w:ascii="宋体" w:hAnsi="宋体" w:eastAsia="宋体" w:cs="宋体"/>
                <w:sz w:val="24"/>
                <w:szCs w:val="24"/>
                <w:lang w:val="en-US" w:eastAsia="zh-CN"/>
              </w:rPr>
              <w:t>工具工装</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17E04AE">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159FB620">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49C7D27B">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rPr>
            </w:pPr>
          </w:p>
        </w:tc>
        <w:tc>
          <w:tcPr>
            <w:tcW w:w="121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4320B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15422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4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3480F32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77F71F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铝合金轨道</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645256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0FA2EB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4CA11D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行程</w:t>
            </w:r>
            <w:r>
              <w:rPr>
                <w:rFonts w:ascii="宋体" w:hAnsi="宋体" w:eastAsia="宋体" w:cs="宋体"/>
                <w:sz w:val="24"/>
                <w:szCs w:val="24"/>
              </w:rPr>
              <w:t>7.5</w:t>
            </w:r>
            <w:r>
              <w:rPr>
                <w:rFonts w:hint="eastAsia" w:ascii="宋体" w:hAnsi="宋体" w:eastAsia="宋体" w:cs="宋体"/>
                <w:sz w:val="24"/>
                <w:szCs w:val="24"/>
              </w:rPr>
              <w:t>米</w:t>
            </w:r>
          </w:p>
        </w:tc>
        <w:tc>
          <w:tcPr>
            <w:tcW w:w="121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B0386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74BD7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0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1752A6BD">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52FA636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驱动螺母拧紧机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8A84D6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37F58F4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4A8C24A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有线直轴工具（单轴）</w:t>
            </w:r>
          </w:p>
        </w:tc>
        <w:tc>
          <w:tcPr>
            <w:tcW w:w="121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8EF794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0E9538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5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7AE70ABA">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273EE06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单轴拧紧机</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3280E95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556042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387692C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21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73818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5FFEA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3C106354">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0DDB464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铝合金轨道</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46247E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3974216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20C43C8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行程</w:t>
            </w:r>
            <w:r>
              <w:rPr>
                <w:rFonts w:ascii="宋体" w:hAnsi="宋体" w:eastAsia="宋体" w:cs="宋体"/>
                <w:sz w:val="24"/>
                <w:szCs w:val="24"/>
              </w:rPr>
              <w:t>7.5</w:t>
            </w:r>
            <w:r>
              <w:rPr>
                <w:rFonts w:hint="eastAsia" w:ascii="宋体" w:hAnsi="宋体" w:eastAsia="宋体" w:cs="宋体"/>
                <w:sz w:val="24"/>
                <w:szCs w:val="24"/>
              </w:rPr>
              <w:t>米</w:t>
            </w:r>
          </w:p>
        </w:tc>
        <w:tc>
          <w:tcPr>
            <w:tcW w:w="1210"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8D757C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6F558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8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611013E9">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1A6AABD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反力工装</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C10487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0942BC0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6E766F7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210" w:type="pct"/>
            <w:tcBorders>
              <w:top w:val="single" w:color="auto" w:sz="4" w:space="0"/>
              <w:left w:val="single" w:color="auto" w:sz="4" w:space="0"/>
              <w:bottom w:val="single" w:color="auto" w:sz="4" w:space="0"/>
              <w:right w:val="single" w:color="auto" w:sz="4" w:space="0"/>
            </w:tcBorders>
            <w:shd w:val="clear" w:color="auto" w:fill="auto"/>
            <w:vAlign w:val="center"/>
          </w:tcPr>
          <w:p w14:paraId="6182AAB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行程</w:t>
            </w:r>
            <w:r>
              <w:rPr>
                <w:rFonts w:ascii="宋体" w:hAnsi="宋体" w:eastAsia="宋体" w:cs="宋体"/>
                <w:sz w:val="24"/>
                <w:szCs w:val="24"/>
              </w:rPr>
              <w:t>7.5</w:t>
            </w:r>
            <w:r>
              <w:rPr>
                <w:rFonts w:hint="eastAsia" w:ascii="宋体" w:hAnsi="宋体" w:eastAsia="宋体" w:cs="宋体"/>
                <w:sz w:val="24"/>
                <w:szCs w:val="24"/>
              </w:rPr>
              <w:t>米</w:t>
            </w:r>
          </w:p>
        </w:tc>
      </w:tr>
      <w:tr w14:paraId="78EE5C9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26" w:hRule="atLeast"/>
          <w:jc w:val="center"/>
        </w:trPr>
        <w:tc>
          <w:tcPr>
            <w:tcW w:w="375" w:type="pct"/>
            <w:tcBorders>
              <w:top w:val="single" w:color="auto" w:sz="4" w:space="0"/>
              <w:left w:val="single" w:color="auto" w:sz="4" w:space="0"/>
              <w:bottom w:val="single" w:color="auto" w:sz="4" w:space="0"/>
              <w:right w:val="single" w:color="auto" w:sz="4" w:space="0"/>
            </w:tcBorders>
            <w:shd w:val="clear" w:color="auto" w:fill="auto"/>
            <w:vAlign w:val="center"/>
          </w:tcPr>
          <w:p w14:paraId="71FE5C95">
            <w:pPr>
              <w:keepNext w:val="0"/>
              <w:keepLines w:val="0"/>
              <w:pageBreakBefore w:val="0"/>
              <w:kinsoku/>
              <w:overflowPunct/>
              <w:topLinePunct w:val="0"/>
              <w:bidi w:val="0"/>
              <w:adjustRightInd w:val="0"/>
              <w:snapToGrid w:val="0"/>
              <w:spacing w:afterAutospacing="0"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1037" w:type="pct"/>
            <w:tcBorders>
              <w:top w:val="single" w:color="auto" w:sz="4" w:space="0"/>
              <w:left w:val="single" w:color="auto" w:sz="4" w:space="0"/>
              <w:bottom w:val="single" w:color="auto" w:sz="4" w:space="0"/>
              <w:right w:val="single" w:color="auto" w:sz="4" w:space="0"/>
            </w:tcBorders>
            <w:shd w:val="clear" w:color="auto" w:fill="auto"/>
            <w:vAlign w:val="center"/>
          </w:tcPr>
          <w:p w14:paraId="0B91322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扭矩检测仪</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3208D2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14" w:type="pct"/>
            <w:tcBorders>
              <w:top w:val="single" w:color="auto" w:sz="4" w:space="0"/>
              <w:left w:val="single" w:color="auto" w:sz="4" w:space="0"/>
              <w:bottom w:val="single" w:color="auto" w:sz="4" w:space="0"/>
              <w:right w:val="single" w:color="auto" w:sz="4" w:space="0"/>
            </w:tcBorders>
            <w:shd w:val="clear" w:color="auto" w:fill="auto"/>
            <w:vAlign w:val="center"/>
          </w:tcPr>
          <w:p w14:paraId="5054F8B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项</w:t>
            </w:r>
          </w:p>
        </w:tc>
        <w:tc>
          <w:tcPr>
            <w:tcW w:w="1571" w:type="pct"/>
            <w:tcBorders>
              <w:top w:val="single" w:color="auto" w:sz="4" w:space="0"/>
              <w:left w:val="single" w:color="auto" w:sz="4" w:space="0"/>
              <w:bottom w:val="single" w:color="auto" w:sz="4" w:space="0"/>
              <w:right w:val="single" w:color="auto" w:sz="4" w:space="0"/>
            </w:tcBorders>
            <w:shd w:val="clear" w:color="auto" w:fill="auto"/>
            <w:vAlign w:val="center"/>
          </w:tcPr>
          <w:p w14:paraId="3A40BC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210" w:type="pct"/>
            <w:tcBorders>
              <w:top w:val="single" w:color="auto" w:sz="4" w:space="0"/>
              <w:left w:val="single" w:color="auto" w:sz="4" w:space="0"/>
              <w:bottom w:val="single" w:color="auto" w:sz="4" w:space="0"/>
              <w:right w:val="single" w:color="auto" w:sz="4" w:space="0"/>
            </w:tcBorders>
            <w:shd w:val="clear" w:color="auto" w:fill="auto"/>
            <w:vAlign w:val="center"/>
          </w:tcPr>
          <w:p w14:paraId="468CF34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6884D72C">
      <w:pPr>
        <w:keepNext w:val="0"/>
        <w:keepLines w:val="0"/>
        <w:pageBreakBefore w:val="0"/>
        <w:widowControl w:val="0"/>
        <w:numPr>
          <w:ilvl w:val="0"/>
          <w:numId w:val="0"/>
        </w:numPr>
        <w:tabs>
          <w:tab w:val="left" w:pos="0"/>
        </w:tabs>
        <w:kinsoku/>
        <w:overflowPunct/>
        <w:topLinePunct w:val="0"/>
        <w:bidi w:val="0"/>
        <w:adjustRightInd w:val="0"/>
        <w:snapToGrid w:val="0"/>
        <w:spacing w:beforeAutospacing="0" w:afterAutospacing="0" w:line="360" w:lineRule="auto"/>
        <w:ind w:leftChars="0"/>
        <w:outlineLvl w:val="3"/>
        <w:rPr>
          <w:rFonts w:ascii="Times New Roman" w:hAnsi="Times New Roman" w:eastAsia="宋体" w:cs="Times New Roman"/>
          <w:b/>
          <w:sz w:val="24"/>
        </w:rPr>
      </w:pPr>
      <w:r>
        <w:rPr>
          <w:rFonts w:ascii="Times New Roman" w:hAnsi="Times New Roman" w:eastAsia="宋体" w:cs="Times New Roman"/>
          <w:b w:val="0"/>
          <w:bCs/>
          <w:sz w:val="24"/>
        </w:rPr>
        <w:t>主要部件品牌要求</w:t>
      </w:r>
    </w:p>
    <w:tbl>
      <w:tblPr>
        <w:tblStyle w:val="44"/>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7"/>
        <w:gridCol w:w="3128"/>
        <w:gridCol w:w="3385"/>
        <w:gridCol w:w="1539"/>
      </w:tblGrid>
      <w:tr w14:paraId="40194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31834CDE">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eastAsia="宋体" w:cs="宋体"/>
                <w:b w:val="0"/>
                <w:bCs/>
                <w:snapToGrid w:val="0"/>
                <w:kern w:val="0"/>
                <w:sz w:val="24"/>
              </w:rPr>
              <w:t>项目</w:t>
            </w:r>
          </w:p>
        </w:tc>
        <w:tc>
          <w:tcPr>
            <w:tcW w:w="1622" w:type="pct"/>
            <w:vAlign w:val="center"/>
          </w:tcPr>
          <w:p w14:paraId="345F06B3">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cs="宋体"/>
                <w:b w:val="0"/>
                <w:bCs/>
                <w:snapToGrid w:val="0"/>
                <w:kern w:val="0"/>
                <w:sz w:val="24"/>
                <w:lang w:val="en-US" w:eastAsia="zh-CN"/>
              </w:rPr>
              <w:t>主要</w:t>
            </w:r>
            <w:r>
              <w:rPr>
                <w:rFonts w:hint="eastAsia" w:ascii="宋体" w:hAnsi="宋体" w:eastAsia="宋体" w:cs="宋体"/>
                <w:b w:val="0"/>
                <w:bCs/>
                <w:snapToGrid w:val="0"/>
                <w:kern w:val="0"/>
                <w:sz w:val="24"/>
              </w:rPr>
              <w:t>部件</w:t>
            </w:r>
          </w:p>
        </w:tc>
        <w:tc>
          <w:tcPr>
            <w:tcW w:w="1755" w:type="pct"/>
            <w:vAlign w:val="center"/>
          </w:tcPr>
          <w:p w14:paraId="52A9D79B">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hint="eastAsia" w:ascii="宋体" w:hAnsi="宋体" w:cs="宋体"/>
                <w:b w:val="0"/>
                <w:bCs/>
                <w:snapToGrid w:val="0"/>
                <w:kern w:val="0"/>
                <w:sz w:val="24"/>
                <w:lang w:val="en-US" w:eastAsia="zh-CN"/>
              </w:rPr>
            </w:pPr>
            <w:r>
              <w:rPr>
                <w:rFonts w:hint="eastAsia" w:ascii="宋体" w:hAnsi="宋体" w:cs="宋体"/>
                <w:b w:val="0"/>
                <w:bCs/>
                <w:snapToGrid w:val="0"/>
                <w:kern w:val="0"/>
                <w:sz w:val="24"/>
                <w:lang w:val="en-US" w:eastAsia="zh-CN"/>
              </w:rPr>
              <w:t>品牌要求</w:t>
            </w:r>
          </w:p>
        </w:tc>
        <w:tc>
          <w:tcPr>
            <w:tcW w:w="798" w:type="pct"/>
            <w:vAlign w:val="center"/>
          </w:tcPr>
          <w:p w14:paraId="5E0B387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eastAsia="宋体" w:cs="宋体"/>
                <w:b w:val="0"/>
                <w:bCs/>
                <w:snapToGrid w:val="0"/>
                <w:kern w:val="0"/>
                <w:sz w:val="24"/>
              </w:rPr>
              <w:t>备注</w:t>
            </w:r>
          </w:p>
        </w:tc>
      </w:tr>
      <w:tr w14:paraId="4093E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3" w:type="pct"/>
            <w:vMerge w:val="restart"/>
            <w:vAlign w:val="center"/>
          </w:tcPr>
          <w:p w14:paraId="7A5C7D23">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hint="default" w:ascii="宋体" w:hAnsi="宋体" w:eastAsia="宋体" w:cs="宋体"/>
                <w:bCs/>
                <w:snapToGrid w:val="0"/>
                <w:kern w:val="0"/>
                <w:sz w:val="24"/>
                <w:lang w:val="en-US" w:eastAsia="zh-CN"/>
              </w:rPr>
            </w:pPr>
            <w:r>
              <w:rPr>
                <w:rFonts w:hint="eastAsia" w:ascii="宋体" w:hAnsi="宋体" w:cs="宋体"/>
                <w:bCs/>
                <w:snapToGrid w:val="0"/>
                <w:kern w:val="0"/>
                <w:sz w:val="24"/>
                <w:lang w:val="en-US" w:eastAsia="zh-CN"/>
              </w:rPr>
              <w:t>轮胎拧紧机</w:t>
            </w:r>
          </w:p>
        </w:tc>
        <w:tc>
          <w:tcPr>
            <w:tcW w:w="1622" w:type="pct"/>
            <w:vAlign w:val="center"/>
          </w:tcPr>
          <w:p w14:paraId="2801060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轴轮胎螺母</w:t>
            </w:r>
          </w:p>
          <w:p w14:paraId="29FB0A4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snapToGrid w:val="0"/>
                <w:kern w:val="0"/>
                <w:sz w:val="24"/>
              </w:rPr>
            </w:pPr>
            <w:r>
              <w:rPr>
                <w:rFonts w:hint="eastAsia" w:ascii="宋体" w:hAnsi="宋体" w:eastAsia="宋体" w:cs="宋体"/>
                <w:sz w:val="24"/>
                <w:szCs w:val="24"/>
              </w:rPr>
              <w:t>拧紧机</w:t>
            </w:r>
          </w:p>
        </w:tc>
        <w:tc>
          <w:tcPr>
            <w:tcW w:w="1755" w:type="pct"/>
            <w:vAlign w:val="center"/>
          </w:tcPr>
          <w:p w14:paraId="2E49B30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Cs/>
                <w:snapToGrid w:val="0"/>
                <w:kern w:val="0"/>
                <w:sz w:val="24"/>
                <w:szCs w:val="24"/>
                <w:lang w:val="en-US" w:eastAsia="zh-CN"/>
              </w:rPr>
            </w:pPr>
            <w:r>
              <w:rPr>
                <w:rFonts w:hint="eastAsia" w:asciiTheme="minorEastAsia" w:hAnsiTheme="minorEastAsia" w:eastAsiaTheme="minorEastAsia" w:cstheme="minorEastAsia"/>
                <w:b w:val="0"/>
                <w:bCs w:val="0"/>
                <w:kern w:val="0"/>
                <w:sz w:val="24"/>
                <w:szCs w:val="24"/>
                <w:highlight w:val="none"/>
              </w:rPr>
              <w:t>阿特拉斯/</w:t>
            </w:r>
            <w:r>
              <w:rPr>
                <w:rFonts w:hint="eastAsia" w:asciiTheme="minorEastAsia" w:hAnsiTheme="minorEastAsia" w:eastAsiaTheme="minorEastAsia" w:cstheme="minorEastAsia"/>
                <w:b w:val="0"/>
                <w:bCs w:val="0"/>
                <w:kern w:val="0"/>
                <w:sz w:val="24"/>
                <w:szCs w:val="24"/>
                <w:highlight w:val="none"/>
                <w:lang w:val="en-US" w:eastAsia="zh-CN"/>
              </w:rPr>
              <w:t>英格索兰</w:t>
            </w:r>
            <w:r>
              <w:rPr>
                <w:rFonts w:hint="eastAsia" w:asciiTheme="minorEastAsia" w:hAnsiTheme="minorEastAsia" w:eastAsiaTheme="minorEastAsia" w:cstheme="minorEastAsia"/>
                <w:b w:val="0"/>
                <w:bCs w:val="0"/>
                <w:kern w:val="0"/>
                <w:sz w:val="24"/>
                <w:szCs w:val="24"/>
                <w:highlight w:val="none"/>
              </w:rPr>
              <w:t>／CP马头</w:t>
            </w:r>
          </w:p>
        </w:tc>
        <w:tc>
          <w:tcPr>
            <w:tcW w:w="798" w:type="pct"/>
            <w:vAlign w:val="center"/>
          </w:tcPr>
          <w:p w14:paraId="0F5CF5BF">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2BFC8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Merge w:val="continue"/>
            <w:vAlign w:val="center"/>
          </w:tcPr>
          <w:p w14:paraId="5869AC32">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622" w:type="pct"/>
            <w:vAlign w:val="center"/>
          </w:tcPr>
          <w:p w14:paraId="0B1A6BE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bCs/>
                <w:snapToGrid w:val="0"/>
                <w:kern w:val="0"/>
                <w:sz w:val="24"/>
              </w:rPr>
            </w:pPr>
            <w:r>
              <w:rPr>
                <w:rFonts w:ascii="宋体" w:hAnsi="宋体" w:eastAsia="宋体" w:cs="宋体"/>
                <w:sz w:val="24"/>
                <w:szCs w:val="24"/>
              </w:rPr>
              <w:t>5</w:t>
            </w:r>
            <w:r>
              <w:rPr>
                <w:rFonts w:hint="eastAsia" w:ascii="宋体" w:hAnsi="宋体" w:eastAsia="宋体" w:cs="宋体"/>
                <w:sz w:val="24"/>
                <w:szCs w:val="24"/>
              </w:rPr>
              <w:t>轴拧紧机</w:t>
            </w:r>
          </w:p>
        </w:tc>
        <w:tc>
          <w:tcPr>
            <w:tcW w:w="1755" w:type="pct"/>
            <w:vAlign w:val="center"/>
          </w:tcPr>
          <w:p w14:paraId="4B4AAAA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snapToGrid w:val="0"/>
                <w:kern w:val="0"/>
                <w:sz w:val="24"/>
                <w:szCs w:val="24"/>
              </w:rPr>
            </w:pPr>
            <w:r>
              <w:rPr>
                <w:rFonts w:hint="eastAsia" w:asciiTheme="minorEastAsia" w:hAnsiTheme="minorEastAsia" w:eastAsiaTheme="minorEastAsia" w:cstheme="minorEastAsia"/>
                <w:b w:val="0"/>
                <w:bCs w:val="0"/>
                <w:kern w:val="0"/>
                <w:sz w:val="24"/>
                <w:szCs w:val="24"/>
                <w:highlight w:val="none"/>
              </w:rPr>
              <w:t>阿特拉斯/</w:t>
            </w:r>
            <w:r>
              <w:rPr>
                <w:rFonts w:hint="eastAsia" w:asciiTheme="minorEastAsia" w:hAnsiTheme="minorEastAsia" w:eastAsiaTheme="minorEastAsia" w:cstheme="minorEastAsia"/>
                <w:b w:val="0"/>
                <w:bCs w:val="0"/>
                <w:kern w:val="0"/>
                <w:sz w:val="24"/>
                <w:szCs w:val="24"/>
                <w:highlight w:val="none"/>
                <w:lang w:val="en-US" w:eastAsia="zh-CN"/>
              </w:rPr>
              <w:t>英格索兰</w:t>
            </w:r>
            <w:r>
              <w:rPr>
                <w:rFonts w:hint="eastAsia" w:asciiTheme="minorEastAsia" w:hAnsiTheme="minorEastAsia" w:eastAsiaTheme="minorEastAsia" w:cstheme="minorEastAsia"/>
                <w:b w:val="0"/>
                <w:bCs w:val="0"/>
                <w:kern w:val="0"/>
                <w:sz w:val="24"/>
                <w:szCs w:val="24"/>
                <w:highlight w:val="none"/>
              </w:rPr>
              <w:t>／CP马头</w:t>
            </w:r>
          </w:p>
        </w:tc>
        <w:tc>
          <w:tcPr>
            <w:tcW w:w="798" w:type="pct"/>
            <w:vAlign w:val="center"/>
          </w:tcPr>
          <w:p w14:paraId="12148730">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310D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Merge w:val="continue"/>
            <w:vAlign w:val="center"/>
          </w:tcPr>
          <w:p w14:paraId="7208FEF6">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622" w:type="pct"/>
            <w:vAlign w:val="center"/>
          </w:tcPr>
          <w:p w14:paraId="78EDCD0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bCs/>
                <w:snapToGrid w:val="0"/>
                <w:kern w:val="0"/>
                <w:sz w:val="24"/>
              </w:rPr>
            </w:pPr>
            <w:r>
              <w:rPr>
                <w:rFonts w:hint="eastAsia" w:ascii="宋体" w:hAnsi="宋体" w:eastAsia="宋体" w:cs="宋体"/>
                <w:sz w:val="24"/>
                <w:szCs w:val="24"/>
                <w:lang w:val="en-US" w:eastAsia="zh-CN"/>
              </w:rPr>
              <w:t>5轴拧紧电</w:t>
            </w:r>
            <w:r>
              <w:rPr>
                <w:rFonts w:hint="eastAsia" w:ascii="宋体" w:hAnsi="宋体" w:cs="宋体"/>
                <w:sz w:val="24"/>
                <w:szCs w:val="24"/>
                <w:lang w:val="en-US" w:eastAsia="zh-CN"/>
              </w:rPr>
              <w:t>动</w:t>
            </w:r>
            <w:r>
              <w:rPr>
                <w:rFonts w:hint="eastAsia" w:ascii="宋体" w:hAnsi="宋体" w:eastAsia="宋体" w:cs="宋体"/>
                <w:sz w:val="24"/>
                <w:szCs w:val="24"/>
                <w:lang w:val="en-US" w:eastAsia="zh-CN"/>
              </w:rPr>
              <w:t>工具工装</w:t>
            </w:r>
          </w:p>
        </w:tc>
        <w:tc>
          <w:tcPr>
            <w:tcW w:w="1755" w:type="pct"/>
            <w:shd w:val="clear" w:color="auto" w:fill="auto"/>
            <w:vAlign w:val="center"/>
          </w:tcPr>
          <w:p w14:paraId="0E82FCE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Cs/>
                <w:snapToGrid w:val="0"/>
                <w:kern w:val="0"/>
                <w:sz w:val="24"/>
                <w:szCs w:val="24"/>
                <w:lang w:val="en-US" w:eastAsia="zh-CN" w:bidi="ar-SA"/>
              </w:rPr>
            </w:pPr>
            <w:r>
              <w:rPr>
                <w:rFonts w:hint="eastAsia" w:asciiTheme="minorEastAsia" w:hAnsiTheme="minorEastAsia" w:eastAsiaTheme="minorEastAsia" w:cstheme="minorEastAsia"/>
                <w:b w:val="0"/>
                <w:bCs w:val="0"/>
                <w:kern w:val="0"/>
                <w:sz w:val="24"/>
                <w:szCs w:val="24"/>
                <w:highlight w:val="none"/>
              </w:rPr>
              <w:t>阿特拉斯/</w:t>
            </w:r>
            <w:r>
              <w:rPr>
                <w:rFonts w:hint="eastAsia" w:asciiTheme="minorEastAsia" w:hAnsiTheme="minorEastAsia" w:eastAsiaTheme="minorEastAsia" w:cstheme="minorEastAsia"/>
                <w:b w:val="0"/>
                <w:bCs w:val="0"/>
                <w:kern w:val="0"/>
                <w:sz w:val="24"/>
                <w:szCs w:val="24"/>
                <w:highlight w:val="none"/>
                <w:lang w:val="en-US" w:eastAsia="zh-CN"/>
              </w:rPr>
              <w:t>英格索兰</w:t>
            </w:r>
            <w:r>
              <w:rPr>
                <w:rFonts w:hint="eastAsia" w:asciiTheme="minorEastAsia" w:hAnsiTheme="minorEastAsia" w:eastAsiaTheme="minorEastAsia" w:cstheme="minorEastAsia"/>
                <w:b w:val="0"/>
                <w:bCs w:val="0"/>
                <w:kern w:val="0"/>
                <w:sz w:val="24"/>
                <w:szCs w:val="24"/>
                <w:highlight w:val="none"/>
              </w:rPr>
              <w:t>／CP马头</w:t>
            </w:r>
          </w:p>
        </w:tc>
        <w:tc>
          <w:tcPr>
            <w:tcW w:w="798" w:type="pct"/>
            <w:vAlign w:val="center"/>
          </w:tcPr>
          <w:p w14:paraId="6703BC5C">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bl>
    <w:p w14:paraId="6DB31FD1">
      <w:pPr>
        <w:keepNext w:val="0"/>
        <w:keepLines w:val="0"/>
        <w:pageBreakBefore w:val="0"/>
        <w:widowControl w:val="0"/>
        <w:numPr>
          <w:ilvl w:val="0"/>
          <w:numId w:val="0"/>
        </w:numPr>
        <w:tabs>
          <w:tab w:val="left" w:pos="0"/>
        </w:tabs>
        <w:kinsoku/>
        <w:overflowPunct/>
        <w:topLinePunct w:val="0"/>
        <w:bidi w:val="0"/>
        <w:adjustRightInd w:val="0"/>
        <w:snapToGrid w:val="0"/>
        <w:spacing w:beforeAutospacing="0" w:afterAutospacing="0" w:line="360" w:lineRule="auto"/>
        <w:ind w:leftChars="0"/>
        <w:outlineLvl w:val="3"/>
        <w:rPr>
          <w:rFonts w:ascii="Times New Roman" w:hAnsi="Times New Roman" w:eastAsia="宋体" w:cs="Times New Roman"/>
          <w:b/>
          <w:sz w:val="24"/>
        </w:rPr>
      </w:pPr>
    </w:p>
    <w:p w14:paraId="331BD329">
      <w:pPr>
        <w:keepNext w:val="0"/>
        <w:keepLines w:val="0"/>
        <w:pageBreakBefore w:val="0"/>
        <w:widowControl w:val="0"/>
        <w:numPr>
          <w:ilvl w:val="0"/>
          <w:numId w:val="594"/>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工艺流程</w:t>
      </w:r>
    </w:p>
    <w:p w14:paraId="7A935219">
      <w:pPr>
        <w:keepNext w:val="0"/>
        <w:keepLines w:val="0"/>
        <w:pageBreakBefore w:val="0"/>
        <w:widowControl w:val="0"/>
        <w:numPr>
          <w:ilvl w:val="0"/>
          <w:numId w:val="595"/>
        </w:numPr>
        <w:kinsoku/>
        <w:wordWrap/>
        <w:overflowPunct/>
        <w:topLinePunct w:val="0"/>
        <w:autoSpaceDE/>
        <w:autoSpaceDN/>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拧紧装配工艺流程</w:t>
      </w:r>
    </w:p>
    <w:p w14:paraId="4A164DC7">
      <w:pPr>
        <w:keepNext w:val="0"/>
        <w:keepLines w:val="0"/>
        <w:pageBreakBefore w:val="0"/>
        <w:widowControl/>
        <w:numPr>
          <w:ilvl w:val="0"/>
          <w:numId w:val="596"/>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控制器或上位机接受车型信息后自动选择对应的拧紧力矩，将螺栓/螺母拧紧至工具自动停止；控制器根据预设程序判断拧紧过程是否合格，并通过声光报警器“红色</w:t>
      </w:r>
      <w:r>
        <w:rPr>
          <w:rFonts w:hint="eastAsia" w:ascii="Times New Roman" w:hAnsi="Times New Roman" w:eastAsia="宋体" w:cs="Times New Roman"/>
          <w:sz w:val="24"/>
          <w:lang w:eastAsia="zh-CN"/>
        </w:rPr>
        <w:t>”“</w:t>
      </w:r>
      <w:r>
        <w:rPr>
          <w:rFonts w:ascii="Times New Roman" w:hAnsi="Times New Roman" w:eastAsia="宋体" w:cs="Times New Roman"/>
          <w:sz w:val="24"/>
        </w:rPr>
        <w:t>黄色</w:t>
      </w:r>
      <w:r>
        <w:rPr>
          <w:rFonts w:hint="eastAsia" w:ascii="Times New Roman" w:hAnsi="Times New Roman" w:eastAsia="宋体" w:cs="Times New Roman"/>
          <w:sz w:val="24"/>
          <w:lang w:eastAsia="zh-CN"/>
        </w:rPr>
        <w:t>”“</w:t>
      </w:r>
      <w:r>
        <w:rPr>
          <w:rFonts w:ascii="Times New Roman" w:hAnsi="Times New Roman" w:eastAsia="宋体" w:cs="Times New Roman"/>
          <w:sz w:val="24"/>
        </w:rPr>
        <w:t>绿色”及声音提醒。</w:t>
      </w:r>
    </w:p>
    <w:p w14:paraId="05066181">
      <w:pPr>
        <w:keepNext w:val="0"/>
        <w:keepLines w:val="0"/>
        <w:pageBreakBefore w:val="0"/>
        <w:widowControl/>
        <w:numPr>
          <w:ilvl w:val="0"/>
          <w:numId w:val="596"/>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拧紧力矩不合格时根据声光报警再次拧紧，当线上无法处理时通过操作面板手动操作放行并通知相关人员进行线下返修。</w:t>
      </w:r>
    </w:p>
    <w:p w14:paraId="0AD4D7E7">
      <w:pPr>
        <w:keepNext w:val="0"/>
        <w:keepLines w:val="0"/>
        <w:pageBreakBefore w:val="0"/>
        <w:widowControl/>
        <w:numPr>
          <w:ilvl w:val="0"/>
          <w:numId w:val="596"/>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拧紧力矩合格后用油性笔进行紧固划线确认。</w:t>
      </w:r>
    </w:p>
    <w:p w14:paraId="57F01899">
      <w:pPr>
        <w:keepNext w:val="0"/>
        <w:keepLines w:val="0"/>
        <w:pageBreakBefore w:val="0"/>
        <w:widowControl/>
        <w:numPr>
          <w:ilvl w:val="0"/>
          <w:numId w:val="596"/>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服务器在控制器或上位机中获取拧紧结果及参数；将拧紧参数与车辆信息（车辆ID、车型号）绑定，存储在服务器中。</w:t>
      </w:r>
    </w:p>
    <w:p w14:paraId="44AE81CA">
      <w:pPr>
        <w:keepNext w:val="0"/>
        <w:keepLines w:val="0"/>
        <w:pageBreakBefore w:val="0"/>
        <w:widowControl/>
        <w:numPr>
          <w:ilvl w:val="0"/>
          <w:numId w:val="596"/>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控制器判断拧紧完成后，装配工等待新的车辆就位，进入下一台装配流程。</w:t>
      </w:r>
    </w:p>
    <w:p w14:paraId="239E60D0">
      <w:pPr>
        <w:keepNext w:val="0"/>
        <w:keepLines w:val="0"/>
        <w:pageBreakBefore w:val="0"/>
        <w:widowControl w:val="0"/>
        <w:numPr>
          <w:ilvl w:val="0"/>
          <w:numId w:val="595"/>
        </w:numPr>
        <w:kinsoku/>
        <w:wordWrap/>
        <w:overflowPunct/>
        <w:topLinePunct w:val="0"/>
        <w:autoSpaceDE/>
        <w:autoSpaceDN/>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扭矩检测工艺流程</w:t>
      </w:r>
    </w:p>
    <w:p w14:paraId="37EB805C">
      <w:pPr>
        <w:keepNext w:val="0"/>
        <w:keepLines w:val="0"/>
        <w:pageBreakBefore w:val="0"/>
        <w:widowControl/>
        <w:numPr>
          <w:ilvl w:val="0"/>
          <w:numId w:val="597"/>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正式生产开始前，人工将扭矩检测仪安装到拧紧枪上</w:t>
      </w:r>
      <w:r>
        <w:rPr>
          <w:rFonts w:hint="eastAsia" w:ascii="Times New Roman" w:hAnsi="Times New Roman" w:eastAsia="宋体" w:cs="Times New Roman"/>
          <w:sz w:val="24"/>
          <w:lang w:eastAsia="zh-CN"/>
        </w:rPr>
        <w:t>。</w:t>
      </w:r>
    </w:p>
    <w:p w14:paraId="496ADF84">
      <w:pPr>
        <w:keepNext w:val="0"/>
        <w:keepLines w:val="0"/>
        <w:pageBreakBefore w:val="0"/>
        <w:widowControl/>
        <w:numPr>
          <w:ilvl w:val="0"/>
          <w:numId w:val="597"/>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将测量数值与该零部件标准扭矩要求范围进行比较，检测数据可显示在检测设备显示器上</w:t>
      </w:r>
      <w:r>
        <w:rPr>
          <w:rFonts w:hint="eastAsia" w:ascii="Times New Roman" w:hAnsi="Times New Roman" w:eastAsia="宋体" w:cs="Times New Roman"/>
          <w:sz w:val="24"/>
          <w:lang w:eastAsia="zh-CN"/>
        </w:rPr>
        <w:t>。</w:t>
      </w:r>
    </w:p>
    <w:p w14:paraId="633CA34F">
      <w:pPr>
        <w:keepNext w:val="0"/>
        <w:keepLines w:val="0"/>
        <w:pageBreakBefore w:val="0"/>
        <w:widowControl/>
        <w:numPr>
          <w:ilvl w:val="0"/>
          <w:numId w:val="597"/>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检测数据合格，生产中可正常使用系统拧紧设备；检测数据不合格则及时对系统拧紧设备进行调节，确保后续正常生产中的使用</w:t>
      </w:r>
      <w:r>
        <w:rPr>
          <w:rFonts w:hint="eastAsia" w:ascii="Times New Roman" w:hAnsi="Times New Roman" w:eastAsia="宋体" w:cs="Times New Roman"/>
          <w:sz w:val="24"/>
          <w:lang w:eastAsia="zh-CN"/>
        </w:rPr>
        <w:t>。</w:t>
      </w:r>
    </w:p>
    <w:p w14:paraId="1C327B12">
      <w:pPr>
        <w:keepNext w:val="0"/>
        <w:keepLines w:val="0"/>
        <w:pageBreakBefore w:val="0"/>
        <w:widowControl w:val="0"/>
        <w:numPr>
          <w:ilvl w:val="0"/>
          <w:numId w:val="594"/>
        </w:numPr>
        <w:kinsoku/>
        <w:wordWrap/>
        <w:overflowPunct/>
        <w:topLinePunct w:val="0"/>
        <w:autoSpaceDE/>
        <w:autoSpaceDN/>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技术要求</w:t>
      </w:r>
    </w:p>
    <w:p w14:paraId="0CBDA392">
      <w:pPr>
        <w:keepNext w:val="0"/>
        <w:keepLines w:val="0"/>
        <w:pageBreakBefore w:val="0"/>
        <w:widowControl w:val="0"/>
        <w:numPr>
          <w:ilvl w:val="0"/>
          <w:numId w:val="598"/>
        </w:numPr>
        <w:kinsoku/>
        <w:wordWrap/>
        <w:overflowPunct/>
        <w:topLinePunct w:val="0"/>
        <w:autoSpaceDE/>
        <w:autoSpaceDN/>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拧紧工具技术要求</w:t>
      </w:r>
    </w:p>
    <w:p w14:paraId="6AF1C52C">
      <w:pPr>
        <w:keepNext w:val="0"/>
        <w:keepLines w:val="0"/>
        <w:pageBreakBefore w:val="0"/>
        <w:widowControl/>
        <w:numPr>
          <w:ilvl w:val="0"/>
          <w:numId w:val="599"/>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电动工具的操作节拍满足生产线节拍需求</w:t>
      </w:r>
      <w:r>
        <w:rPr>
          <w:rFonts w:hint="eastAsia" w:ascii="Times New Roman" w:hAnsi="Times New Roman" w:eastAsia="宋体" w:cs="Times New Roman"/>
          <w:sz w:val="24"/>
          <w:lang w:eastAsia="zh-CN"/>
        </w:rPr>
        <w:t>。</w:t>
      </w:r>
    </w:p>
    <w:p w14:paraId="5CBB9F9F">
      <w:pPr>
        <w:keepNext w:val="0"/>
        <w:keepLines w:val="0"/>
        <w:pageBreakBefore w:val="0"/>
        <w:widowControl w:val="0"/>
        <w:numPr>
          <w:ilvl w:val="0"/>
          <w:numId w:val="599"/>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实现拧紧扭矩记录与车型绑定后实现存储，便于读取数据及质量管理</w:t>
      </w:r>
      <w:r>
        <w:rPr>
          <w:rFonts w:hint="eastAsia" w:ascii="Times New Roman" w:hAnsi="Times New Roman" w:eastAsia="宋体" w:cs="Times New Roman"/>
          <w:sz w:val="24"/>
          <w:lang w:eastAsia="zh-CN"/>
        </w:rPr>
        <w:t>。</w:t>
      </w:r>
    </w:p>
    <w:p w14:paraId="7C100699">
      <w:pPr>
        <w:keepNext w:val="0"/>
        <w:keepLines w:val="0"/>
        <w:pageBreakBefore w:val="0"/>
        <w:widowControl w:val="0"/>
        <w:numPr>
          <w:ilvl w:val="0"/>
          <w:numId w:val="599"/>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设备的控制方式为：扭矩控制＋角度监视。</w:t>
      </w:r>
    </w:p>
    <w:p w14:paraId="65A5887D">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轮胎拧紧机2台</w:t>
      </w:r>
    </w:p>
    <w:p w14:paraId="0A3884C8">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rPr>
        <w:t>轴数：5轴（两位置伺服变距）</w:t>
      </w:r>
      <w:r>
        <w:rPr>
          <w:rFonts w:hint="eastAsia" w:ascii="Times New Roman" w:hAnsi="Times New Roman" w:eastAsia="宋体" w:cs="Times New Roman"/>
          <w:sz w:val="24"/>
          <w:lang w:eastAsia="zh-CN"/>
        </w:rPr>
        <w:t>。</w:t>
      </w:r>
    </w:p>
    <w:p w14:paraId="173D4303">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highlight w:val="none"/>
        </w:rPr>
        <w:t>扭矩范围：40-</w:t>
      </w:r>
      <w:r>
        <w:rPr>
          <w:rFonts w:hint="eastAsia" w:ascii="Times New Roman" w:hAnsi="Times New Roman" w:eastAsia="宋体" w:cs="Times New Roman"/>
          <w:sz w:val="24"/>
          <w:highlight w:val="none"/>
          <w:lang w:val="en-US" w:eastAsia="zh-CN"/>
        </w:rPr>
        <w:t>300</w:t>
      </w:r>
      <w:r>
        <w:rPr>
          <w:rFonts w:ascii="Times New Roman" w:hAnsi="Times New Roman" w:eastAsia="宋体" w:cs="Times New Roman"/>
          <w:sz w:val="24"/>
          <w:highlight w:val="none"/>
        </w:rPr>
        <w:t>n.m扭矩可调，最终扭矩范围根据产品参数确认</w:t>
      </w:r>
      <w:r>
        <w:rPr>
          <w:rFonts w:hint="eastAsia" w:ascii="Times New Roman" w:hAnsi="Times New Roman" w:eastAsia="宋体" w:cs="Times New Roman"/>
          <w:sz w:val="24"/>
          <w:highlight w:val="none"/>
          <w:lang w:eastAsia="zh-CN"/>
        </w:rPr>
        <w:t>。</w:t>
      </w:r>
    </w:p>
    <w:p w14:paraId="7F22F006">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扭矩能力至少预留10%余量。</w:t>
      </w:r>
    </w:p>
    <w:p w14:paraId="4E178755">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驱动螺母拧紧机2台</w:t>
      </w:r>
    </w:p>
    <w:p w14:paraId="247F7CE4">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rPr>
        <w:t>轴数：单轴</w:t>
      </w:r>
      <w:r>
        <w:rPr>
          <w:rFonts w:hint="eastAsia" w:ascii="Times New Roman" w:hAnsi="Times New Roman" w:eastAsia="宋体" w:cs="Times New Roman"/>
          <w:sz w:val="24"/>
          <w:lang w:eastAsia="zh-CN"/>
        </w:rPr>
        <w:t>。</w:t>
      </w:r>
    </w:p>
    <w:p w14:paraId="0A5D1D6F">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highlight w:val="none"/>
        </w:rPr>
        <w:t>扭矩范围：40-400n.m扭矩可调，最终扭矩范围根据产品参数确认</w:t>
      </w:r>
      <w:r>
        <w:rPr>
          <w:rFonts w:hint="eastAsia" w:ascii="Times New Roman" w:hAnsi="Times New Roman" w:eastAsia="宋体" w:cs="Times New Roman"/>
          <w:sz w:val="24"/>
          <w:highlight w:val="none"/>
          <w:lang w:eastAsia="zh-CN"/>
        </w:rPr>
        <w:t>。</w:t>
      </w:r>
    </w:p>
    <w:p w14:paraId="2AE50A4B">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扭矩能力至少预留10%余量。</w:t>
      </w:r>
    </w:p>
    <w:p w14:paraId="2F4D88BE">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rPr>
        <w:t>扭矩精度：</w:t>
      </w:r>
      <w:r>
        <w:rPr>
          <w:rFonts w:hint="eastAsia" w:ascii="宋体" w:hAnsi="宋体" w:eastAsia="宋体" w:cs="Times New Roman"/>
          <w:sz w:val="24"/>
          <w:szCs w:val="24"/>
        </w:rPr>
        <w:t>±</w:t>
      </w:r>
      <w:r>
        <w:rPr>
          <w:rFonts w:ascii="宋体" w:hAnsi="宋体" w:eastAsia="宋体" w:cs="Times New Roman"/>
          <w:sz w:val="24"/>
          <w:szCs w:val="24"/>
        </w:rPr>
        <w:t>3</w:t>
      </w:r>
      <w:r>
        <w:rPr>
          <w:rFonts w:hint="eastAsia" w:ascii="宋体" w:hAnsi="宋体" w:eastAsia="宋体" w:cs="Times New Roman"/>
          <w:sz w:val="24"/>
          <w:szCs w:val="24"/>
        </w:rPr>
        <w:t>%</w:t>
      </w:r>
      <w:r>
        <w:rPr>
          <w:rFonts w:hint="eastAsia" w:ascii="宋体" w:hAnsi="宋体" w:eastAsia="宋体" w:cs="Times New Roman"/>
          <w:sz w:val="24"/>
          <w:szCs w:val="24"/>
          <w:lang w:eastAsia="zh-CN"/>
        </w:rPr>
        <w:t>。</w:t>
      </w:r>
    </w:p>
    <w:p w14:paraId="419F048D">
      <w:pPr>
        <w:keepNext w:val="0"/>
        <w:keepLines w:val="0"/>
        <w:pageBreakBefore w:val="0"/>
        <w:widowControl w:val="0"/>
        <w:numPr>
          <w:ilvl w:val="0"/>
          <w:numId w:val="600"/>
        </w:numPr>
        <w:kinsoku/>
        <w:wordWrap/>
        <w:overflowPunct/>
        <w:topLinePunct w:val="0"/>
        <w:autoSpaceDE/>
        <w:autoSpaceDN/>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val="en-US" w:eastAsia="zh-CN"/>
        </w:rPr>
      </w:pPr>
      <w:r>
        <w:rPr>
          <w:rFonts w:ascii="Times New Roman" w:hAnsi="Times New Roman" w:eastAsia="宋体" w:cs="Times New Roman"/>
          <w:sz w:val="24"/>
        </w:rPr>
        <w:t>角度精度：</w:t>
      </w:r>
      <w:r>
        <w:rPr>
          <w:rFonts w:hint="eastAsia" w:ascii="宋体" w:hAnsi="宋体" w:eastAsia="宋体" w:cs="Times New Roman"/>
          <w:sz w:val="24"/>
          <w:szCs w:val="24"/>
        </w:rPr>
        <w:t>±1°</w:t>
      </w:r>
      <w:r>
        <w:rPr>
          <w:rFonts w:hint="eastAsia" w:ascii="宋体" w:hAnsi="宋体" w:eastAsia="宋体" w:cs="Times New Roman"/>
          <w:sz w:val="24"/>
          <w:szCs w:val="24"/>
          <w:lang w:eastAsia="zh-CN"/>
        </w:rPr>
        <w:t>。</w:t>
      </w:r>
    </w:p>
    <w:p w14:paraId="3DA93618">
      <w:pPr>
        <w:keepNext w:val="0"/>
        <w:keepLines w:val="0"/>
        <w:pageBreakBefore w:val="0"/>
        <w:widowControl w:val="0"/>
        <w:numPr>
          <w:ilvl w:val="0"/>
          <w:numId w:val="598"/>
        </w:numPr>
        <w:kinsoku/>
        <w:wordWrap/>
        <w:overflowPunct/>
        <w:topLinePunct w:val="0"/>
        <w:autoSpaceDE/>
        <w:autoSpaceDN/>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扭矩检测设备技术要求</w:t>
      </w:r>
    </w:p>
    <w:p w14:paraId="5FDA8F3A">
      <w:pPr>
        <w:keepNext w:val="0"/>
        <w:keepLines w:val="0"/>
        <w:pageBreakBefore w:val="0"/>
        <w:widowControl/>
        <w:numPr>
          <w:ilvl w:val="0"/>
          <w:numId w:val="601"/>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扭矩检测设备量程根据实际拧紧扭矩需求选型</w:t>
      </w:r>
      <w:r>
        <w:rPr>
          <w:rFonts w:hint="eastAsia" w:ascii="Times New Roman" w:hAnsi="Times New Roman" w:eastAsia="宋体" w:cs="Times New Roman"/>
          <w:sz w:val="24"/>
          <w:lang w:eastAsia="zh-CN"/>
        </w:rPr>
        <w:t>。</w:t>
      </w:r>
    </w:p>
    <w:p w14:paraId="2F89C06E">
      <w:pPr>
        <w:keepNext w:val="0"/>
        <w:keepLines w:val="0"/>
        <w:pageBreakBefore w:val="0"/>
        <w:widowControl/>
        <w:numPr>
          <w:ilvl w:val="0"/>
          <w:numId w:val="601"/>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扭矩检测设备误差率：≤±3％</w:t>
      </w:r>
      <w:r>
        <w:rPr>
          <w:rFonts w:hint="eastAsia" w:ascii="Times New Roman" w:hAnsi="Times New Roman" w:eastAsia="宋体" w:cs="Times New Roman"/>
          <w:sz w:val="24"/>
          <w:lang w:eastAsia="zh-CN"/>
        </w:rPr>
        <w:t>。</w:t>
      </w:r>
    </w:p>
    <w:p w14:paraId="516EB743">
      <w:pPr>
        <w:keepNext w:val="0"/>
        <w:keepLines w:val="0"/>
        <w:pageBreakBefore w:val="0"/>
        <w:widowControl w:val="0"/>
        <w:numPr>
          <w:ilvl w:val="0"/>
          <w:numId w:val="598"/>
        </w:numPr>
        <w:kinsoku/>
        <w:wordWrap/>
        <w:overflowPunct/>
        <w:topLinePunct w:val="0"/>
        <w:autoSpaceDE/>
        <w:autoSpaceDN/>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总体技术要求</w:t>
      </w:r>
    </w:p>
    <w:p w14:paraId="62FE5E78">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sz w:val="24"/>
        </w:rPr>
      </w:pPr>
      <w:r>
        <w:rPr>
          <w:rFonts w:hint="eastAsia" w:ascii="Times New Roman" w:hAnsi="Times New Roman" w:eastAsia="宋体" w:cs="Times New Roman"/>
          <w:sz w:val="24"/>
        </w:rPr>
        <w:t>每台拧紧机配备一把无线条码扫描枪（可</w:t>
      </w:r>
      <w:r>
        <w:rPr>
          <w:rFonts w:ascii="Times New Roman" w:hAnsi="Times New Roman" w:eastAsia="宋体" w:cs="Times New Roman"/>
          <w:sz w:val="24"/>
        </w:rPr>
        <w:t>扫描一维码和二维码</w:t>
      </w:r>
      <w:r>
        <w:rPr>
          <w:rFonts w:hint="eastAsia" w:ascii="Times New Roman" w:hAnsi="Times New Roman" w:eastAsia="宋体" w:cs="Times New Roman"/>
          <w:sz w:val="24"/>
        </w:rPr>
        <w:t>），扫描车辆条码后，激活相应拧紧程序，并具备与车间的AVI/MES系统联网获取车型信号(AVI/MES给出VIN号)的</w:t>
      </w:r>
      <w:r>
        <w:rPr>
          <w:rFonts w:ascii="Times New Roman" w:hAnsi="Times New Roman" w:eastAsia="宋体" w:cs="Times New Roman"/>
          <w:sz w:val="24"/>
        </w:rPr>
        <w:t>接口</w:t>
      </w:r>
      <w:r>
        <w:rPr>
          <w:rFonts w:hint="eastAsia" w:ascii="Times New Roman" w:hAnsi="Times New Roman" w:eastAsia="宋体" w:cs="Times New Roman"/>
          <w:sz w:val="24"/>
        </w:rPr>
        <w:t>。</w:t>
      </w:r>
    </w:p>
    <w:p w14:paraId="6F7B3636">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sz w:val="24"/>
        </w:rPr>
      </w:pPr>
      <w:r>
        <w:rPr>
          <w:rFonts w:hint="eastAsia" w:ascii="Times New Roman" w:hAnsi="Times New Roman" w:eastAsia="宋体" w:cs="Times New Roman"/>
          <w:sz w:val="24"/>
        </w:rPr>
        <w:t>抗扭力臂根据</w:t>
      </w:r>
      <w:r>
        <w:rPr>
          <w:rFonts w:ascii="Times New Roman" w:hAnsi="Times New Roman" w:eastAsia="宋体" w:cs="Times New Roman"/>
          <w:sz w:val="24"/>
        </w:rPr>
        <w:t>甲方</w:t>
      </w:r>
      <w:r>
        <w:rPr>
          <w:rFonts w:hint="eastAsia" w:ascii="Times New Roman" w:hAnsi="Times New Roman" w:eastAsia="宋体" w:cs="Times New Roman"/>
          <w:sz w:val="24"/>
        </w:rPr>
        <w:t>车型紧固点匹配相对应反力臂装置，以满足</w:t>
      </w:r>
      <w:r>
        <w:rPr>
          <w:rFonts w:ascii="Times New Roman" w:hAnsi="Times New Roman" w:eastAsia="宋体" w:cs="Times New Roman"/>
          <w:sz w:val="24"/>
        </w:rPr>
        <w:t>甲方</w:t>
      </w:r>
      <w:r>
        <w:rPr>
          <w:rFonts w:hint="eastAsia" w:ascii="Times New Roman" w:hAnsi="Times New Roman" w:eastAsia="宋体" w:cs="Times New Roman"/>
          <w:sz w:val="24"/>
        </w:rPr>
        <w:t>使用要求。（并在工具选定清单附相应照片）</w:t>
      </w:r>
      <w:r>
        <w:rPr>
          <w:rFonts w:hint="eastAsia" w:ascii="Times New Roman" w:hAnsi="Times New Roman" w:eastAsia="宋体" w:cs="Times New Roman"/>
          <w:sz w:val="24"/>
          <w:lang w:eastAsia="zh-CN"/>
        </w:rPr>
        <w:t>。</w:t>
      </w:r>
    </w:p>
    <w:p w14:paraId="03B2D789">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sz w:val="24"/>
        </w:rPr>
      </w:pPr>
      <w:r>
        <w:rPr>
          <w:rFonts w:hint="eastAsia" w:ascii="Times New Roman" w:hAnsi="Times New Roman" w:eastAsia="宋体" w:cs="Times New Roman"/>
          <w:sz w:val="24"/>
        </w:rPr>
        <w:t>手持拧紧机配置滑轨吊架，吊架上面配置</w:t>
      </w:r>
      <w:r>
        <w:rPr>
          <w:rFonts w:ascii="Times New Roman" w:hAnsi="Times New Roman" w:eastAsia="宋体" w:cs="Times New Roman"/>
          <w:sz w:val="24"/>
        </w:rPr>
        <w:t>16A、10A充电</w:t>
      </w:r>
      <w:r>
        <w:rPr>
          <w:rFonts w:hint="eastAsia" w:ascii="Times New Roman" w:hAnsi="Times New Roman" w:eastAsia="宋体" w:cs="Times New Roman"/>
          <w:sz w:val="24"/>
        </w:rPr>
        <w:t>插头</w:t>
      </w:r>
      <w:r>
        <w:rPr>
          <w:rFonts w:ascii="Times New Roman" w:hAnsi="Times New Roman" w:eastAsia="宋体" w:cs="Times New Roman"/>
          <w:sz w:val="24"/>
        </w:rPr>
        <w:t>各一个</w:t>
      </w:r>
      <w:r>
        <w:rPr>
          <w:rFonts w:hint="eastAsia" w:ascii="Times New Roman" w:hAnsi="Times New Roman" w:eastAsia="宋体" w:cs="Times New Roman"/>
          <w:sz w:val="24"/>
        </w:rPr>
        <w:t>。</w:t>
      </w:r>
    </w:p>
    <w:p w14:paraId="738A412D">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sz w:val="24"/>
        </w:rPr>
      </w:pPr>
      <w:r>
        <w:rPr>
          <w:rFonts w:hint="eastAsia" w:ascii="Times New Roman" w:hAnsi="Times New Roman" w:eastAsia="宋体" w:cs="Times New Roman"/>
          <w:sz w:val="24"/>
        </w:rPr>
        <w:t>抗扭臂、控制器支架全部采用空中悬挂方式设计。</w:t>
      </w:r>
    </w:p>
    <w:p w14:paraId="6B1B471B">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sz w:val="24"/>
        </w:rPr>
      </w:pPr>
      <w:r>
        <w:rPr>
          <w:rFonts w:hint="eastAsia" w:ascii="Times New Roman" w:hAnsi="Times New Roman" w:eastAsia="宋体" w:cs="Times New Roman"/>
          <w:sz w:val="24"/>
        </w:rPr>
        <w:t>所有拧紧机配置总线板卡保证与线体PLC通讯；总线形式根据机械化输送线项目使用PLC品牌来确定</w:t>
      </w:r>
      <w:r>
        <w:rPr>
          <w:rFonts w:hint="eastAsia" w:ascii="Times New Roman" w:hAnsi="Times New Roman" w:eastAsia="宋体" w:cs="Times New Roman"/>
          <w:sz w:val="24"/>
          <w:lang w:eastAsia="zh-CN"/>
        </w:rPr>
        <w:t>。</w:t>
      </w:r>
    </w:p>
    <w:p w14:paraId="65B89A1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拧紧机各拧紧轴安装牢固，便于安装拆卸及保养维修，各拧紧轴输出轴端面应在同一平面，输出轴前端移动距离≥50mm，输出轴前端安装防划伤套筒</w:t>
      </w:r>
      <w:r>
        <w:rPr>
          <w:rFonts w:hint="eastAsia" w:ascii="Times New Roman" w:hAnsi="Times New Roman" w:eastAsia="宋体" w:cs="Times New Roman"/>
          <w:sz w:val="24"/>
          <w:lang w:eastAsia="zh-CN"/>
        </w:rPr>
        <w:t>。</w:t>
      </w:r>
    </w:p>
    <w:p w14:paraId="40F5B9CA">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拧紧筒采用平衡气缸吊挂于移动机构下方，要求该装置能实现Z向任意位置的平衡调节；拧紧机旋转筒能够相对轮胎端面进行左右及上下移动，整个拧紧筒绕轴线旋转范围为±40°</w:t>
      </w:r>
      <w:r>
        <w:rPr>
          <w:rFonts w:hint="eastAsia" w:ascii="Times New Roman" w:hAnsi="Times New Roman" w:eastAsia="宋体" w:cs="Times New Roman"/>
          <w:sz w:val="24"/>
          <w:lang w:eastAsia="zh-CN"/>
        </w:rPr>
        <w:t>。</w:t>
      </w:r>
    </w:p>
    <w:p w14:paraId="63C9105B">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ascii="Times New Roman" w:hAnsi="Times New Roman" w:eastAsia="宋体" w:cs="Times New Roman"/>
          <w:sz w:val="24"/>
        </w:rPr>
        <w:t>每把拧紧机</w:t>
      </w:r>
      <w:r>
        <w:rPr>
          <w:rFonts w:hint="eastAsia" w:ascii="Times New Roman" w:hAnsi="Times New Roman" w:eastAsia="宋体" w:cs="Times New Roman"/>
          <w:sz w:val="24"/>
        </w:rPr>
        <w:t>配备相应点的</w:t>
      </w:r>
      <w:r>
        <w:rPr>
          <w:rFonts w:ascii="Times New Roman" w:hAnsi="Times New Roman" w:eastAsia="宋体" w:cs="Times New Roman"/>
          <w:sz w:val="24"/>
        </w:rPr>
        <w:t>工业级对边尺寸套筒</w:t>
      </w:r>
      <w:r>
        <w:rPr>
          <w:rFonts w:hint="eastAsia" w:ascii="Times New Roman" w:hAnsi="Times New Roman" w:eastAsia="宋体" w:cs="Times New Roman"/>
          <w:sz w:val="24"/>
        </w:rPr>
        <w:t>（一用</w:t>
      </w:r>
      <w:r>
        <w:rPr>
          <w:rFonts w:ascii="Times New Roman" w:hAnsi="Times New Roman" w:eastAsia="宋体" w:cs="Times New Roman"/>
          <w:sz w:val="24"/>
        </w:rPr>
        <w:t>一备</w:t>
      </w:r>
      <w:r>
        <w:rPr>
          <w:rFonts w:hint="eastAsia" w:ascii="Times New Roman" w:hAnsi="Times New Roman" w:eastAsia="宋体" w:cs="Times New Roman"/>
          <w:sz w:val="24"/>
        </w:rPr>
        <w:t>）</w:t>
      </w:r>
      <w:r>
        <w:rPr>
          <w:rFonts w:hint="eastAsia" w:ascii="Times New Roman" w:hAnsi="Times New Roman" w:eastAsia="宋体" w:cs="Times New Roman"/>
          <w:sz w:val="24"/>
          <w:lang w:eastAsia="zh-CN"/>
        </w:rPr>
        <w:t>。</w:t>
      </w:r>
    </w:p>
    <w:p w14:paraId="491C04C3">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设备具有故障报警功能，并能显示故障代码及原因</w:t>
      </w:r>
      <w:r>
        <w:rPr>
          <w:rFonts w:hint="eastAsia" w:ascii="Times New Roman" w:hAnsi="Times New Roman" w:eastAsia="宋体" w:cs="Times New Roman"/>
          <w:sz w:val="24"/>
          <w:lang w:eastAsia="zh-CN"/>
        </w:rPr>
        <w:t>。</w:t>
      </w:r>
    </w:p>
    <w:p w14:paraId="747FD441">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设备拧紧过程参数可根据甲方工艺要求进行调整，乙方需根据甲方提供的工艺要求提供合理的拧紧过程和技术参数；设备的控制器、工控机同时具备参数修改功能（设置相应权限，修改之前需输入密码）。</w:t>
      </w:r>
    </w:p>
    <w:p w14:paraId="471579E7">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拧紧机有外接计算机接口，在外接计算机的情况下，操作人员可编辑拧紧程序，并能导出拧紧机内收集到的数据信息，导出的数据为EXCEL格式，内容包含扫描的VIN号、拧紧力矩、拧紧时间等信息，拧紧机自身可存储</w:t>
      </w:r>
      <w:r>
        <w:rPr>
          <w:rFonts w:hint="eastAsia" w:ascii="Times New Roman" w:hAnsi="Times New Roman" w:eastAsia="宋体" w:cs="Times New Roman"/>
          <w:sz w:val="24"/>
          <w:lang w:val="en-US" w:eastAsia="zh-CN"/>
        </w:rPr>
        <w:t>10</w:t>
      </w:r>
      <w:r>
        <w:rPr>
          <w:rFonts w:hint="eastAsia" w:ascii="Times New Roman" w:hAnsi="Times New Roman" w:eastAsia="宋体" w:cs="Times New Roman"/>
          <w:sz w:val="24"/>
        </w:rPr>
        <w:t>000</w:t>
      </w:r>
      <w:r>
        <w:rPr>
          <w:rFonts w:hint="eastAsia" w:ascii="Times New Roman" w:hAnsi="Times New Roman" w:eastAsia="宋体" w:cs="Times New Roman"/>
          <w:sz w:val="24"/>
          <w:lang w:val="en-US" w:eastAsia="zh-CN"/>
        </w:rPr>
        <w:t>台</w:t>
      </w:r>
      <w:r>
        <w:rPr>
          <w:rFonts w:hint="eastAsia" w:ascii="Times New Roman" w:hAnsi="Times New Roman" w:eastAsia="宋体" w:cs="Times New Roman"/>
          <w:sz w:val="24"/>
        </w:rPr>
        <w:t>以上的拧紧数据，具备防错功能，拧紧数据通过网络上传到存储器或网络服务器内</w:t>
      </w:r>
    </w:p>
    <w:p w14:paraId="08CDE7CE">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为防止出现误操作情况，拧紧机在正常状态下只能进行正转操作；出现拧紧不合格情况需要返工时，按下反转按钮，设备进行反转操作，正反转操作时都有相应的指示灯显示，便于工作人员了解拧紧机工作状态。</w:t>
      </w:r>
    </w:p>
    <w:p w14:paraId="4BB68A2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hint="eastAsia" w:ascii="Times New Roman" w:hAnsi="Times New Roman" w:eastAsia="宋体" w:cs="Times New Roman"/>
          <w:sz w:val="24"/>
        </w:rPr>
      </w:pPr>
      <w:r>
        <w:rPr>
          <w:rFonts w:hint="eastAsia" w:ascii="Times New Roman" w:hAnsi="Times New Roman" w:eastAsia="宋体" w:cs="Times New Roman"/>
          <w:sz w:val="24"/>
        </w:rPr>
        <w:t>各拧紧机数据联</w:t>
      </w:r>
      <w:r>
        <w:rPr>
          <w:rFonts w:hint="eastAsia" w:ascii="Times New Roman" w:hAnsi="Times New Roman" w:eastAsia="宋体" w:cs="Times New Roman"/>
          <w:sz w:val="24"/>
          <w:lang w:val="en-US" w:eastAsia="zh-CN"/>
        </w:rPr>
        <w:t>网</w:t>
      </w:r>
      <w:r>
        <w:rPr>
          <w:rFonts w:hint="eastAsia" w:ascii="Times New Roman" w:hAnsi="Times New Roman" w:eastAsia="宋体" w:cs="Times New Roman"/>
          <w:sz w:val="24"/>
        </w:rPr>
        <w:t>，用于收集和存储所有拧紧机数据，电动拧紧机将数据上传至M</w:t>
      </w:r>
      <w:r>
        <w:rPr>
          <w:rFonts w:ascii="Times New Roman" w:hAnsi="Times New Roman" w:eastAsia="宋体" w:cs="Times New Roman"/>
          <w:sz w:val="24"/>
        </w:rPr>
        <w:t>ES</w:t>
      </w:r>
      <w:r>
        <w:rPr>
          <w:rFonts w:hint="eastAsia" w:ascii="Times New Roman" w:hAnsi="Times New Roman" w:eastAsia="宋体" w:cs="Times New Roman"/>
          <w:sz w:val="24"/>
        </w:rPr>
        <w:t>系统；乙方全力配合甲方I</w:t>
      </w:r>
      <w:r>
        <w:rPr>
          <w:rFonts w:ascii="Times New Roman" w:hAnsi="Times New Roman" w:eastAsia="宋体" w:cs="Times New Roman"/>
          <w:sz w:val="24"/>
        </w:rPr>
        <w:t>T</w:t>
      </w:r>
      <w:r>
        <w:rPr>
          <w:rFonts w:hint="eastAsia" w:ascii="Times New Roman" w:hAnsi="Times New Roman" w:eastAsia="宋体" w:cs="Times New Roman"/>
          <w:sz w:val="24"/>
        </w:rPr>
        <w:t>部门进行调试，乙方提供</w:t>
      </w:r>
      <w:r>
        <w:rPr>
          <w:rFonts w:ascii="Times New Roman" w:hAnsi="Times New Roman" w:eastAsia="宋体" w:cs="Times New Roman"/>
          <w:sz w:val="24"/>
        </w:rPr>
        <w:t>数据采集系统的数据库软件</w:t>
      </w:r>
      <w:r>
        <w:rPr>
          <w:rFonts w:hint="eastAsia" w:ascii="Times New Roman" w:hAnsi="Times New Roman" w:eastAsia="宋体" w:cs="Times New Roman"/>
          <w:sz w:val="24"/>
        </w:rPr>
        <w:t>同电动拧紧机统一交付与甲方。</w:t>
      </w:r>
    </w:p>
    <w:p w14:paraId="484719BD">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具有预拧紧、等待及各轴同时拧紧的功能。</w:t>
      </w:r>
    </w:p>
    <w:p w14:paraId="0D0C8C05">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具有拧紧速度、拧紧时间等多项调整及设定功能。</w:t>
      </w:r>
    </w:p>
    <w:p w14:paraId="28A93023">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具有正转自动拧紧和反转手动拆卸功能。</w:t>
      </w:r>
    </w:p>
    <w:p w14:paraId="27623A65">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具有合格、不合格及扭矩超限的报警功能。</w:t>
      </w:r>
    </w:p>
    <w:p w14:paraId="392DE5F5">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具有识别假扭矩的功能。</w:t>
      </w:r>
    </w:p>
    <w:p w14:paraId="5D280D36">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具有参数及数据的密码保护功能。</w:t>
      </w:r>
    </w:p>
    <w:p w14:paraId="1F079EE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具有扭矩值及角度值的精度统计分析功能。</w:t>
      </w:r>
    </w:p>
    <w:p w14:paraId="4B3DB3EE">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具有操纵箱面板拧紧状态、拧紧结果指示灯显示功能。</w:t>
      </w:r>
    </w:p>
    <w:p w14:paraId="2EF2255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具有操纵箱面板超扭报警、系统报警功能。</w:t>
      </w:r>
    </w:p>
    <w:p w14:paraId="242B657F">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具有动态显示各轴的扭矩值、转角值及扭矩－时间曲线的功能。</w:t>
      </w:r>
    </w:p>
    <w:p w14:paraId="3E89090B">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具有自动显示最大动态扭矩和最终转角的功能。</w:t>
      </w:r>
    </w:p>
    <w:p w14:paraId="31C76A01">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具有联网功能，可直接通过本机具备的网络适配器连接入局域网或Internet。</w:t>
      </w:r>
    </w:p>
    <w:p w14:paraId="55FFE39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具有系统故障自诊功能。</w:t>
      </w:r>
    </w:p>
    <w:p w14:paraId="45ECD337">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具有设定扭矩和角度的目标值及上、下限值的功能。</w:t>
      </w:r>
    </w:p>
    <w:p w14:paraId="57FE116D">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具有控制系统的急停及参数保护恢复功能。</w:t>
      </w:r>
    </w:p>
    <w:p w14:paraId="71B5C14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具有伺服系统的过流、过压、过速、过扭矩保护功能。</w:t>
      </w:r>
    </w:p>
    <w:p w14:paraId="2DAEE4CE">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拧紧机采用进口PLC或高精度分布式模块（或高精度轴控制单元）作为主控单元，15</w:t>
      </w:r>
      <w:r>
        <w:rPr>
          <w:rFonts w:hint="eastAsia" w:ascii="Times New Roman" w:hAnsi="Times New Roman" w:eastAsia="宋体" w:cs="Times New Roman"/>
          <w:sz w:val="24"/>
          <w:lang w:val="en-US" w:eastAsia="zh-CN"/>
        </w:rPr>
        <w:t>寸</w:t>
      </w:r>
      <w:r>
        <w:rPr>
          <w:rFonts w:ascii="Times New Roman" w:hAnsi="Times New Roman" w:eastAsia="宋体" w:cs="Times New Roman"/>
          <w:sz w:val="24"/>
        </w:rPr>
        <w:t>液晶工作站作为监控单元的方式进行拧紧控制。监控界面采用标准全中文操作界面，可实现便捷的人机对话功能，方便使用及保养。</w:t>
      </w:r>
    </w:p>
    <w:p w14:paraId="37E6B047">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设备操作体上设有操作把手及可靠的漏电保护装置（所有的供电装置均采用隔离变压器或伺服变压器隔离，一旦漏电将自动切断电源）。</w:t>
      </w:r>
    </w:p>
    <w:p w14:paraId="3001CA6F">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拧紧机操作全过程应灵活、平顺、无死点，拧紧前可自动认帽，拧紧后可自动退出，减少工人操作时间。</w:t>
      </w:r>
    </w:p>
    <w:p w14:paraId="7201E12F">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拧紧机导轨系统采用铝合金轨道，要求为国内知名品牌；在招标结束后安排中标方入场，确认现场及导轨具体要求等。</w:t>
      </w:r>
    </w:p>
    <w:p w14:paraId="71F7AA6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拧紧寿命不少于50万次。</w:t>
      </w:r>
    </w:p>
    <w:p w14:paraId="3788226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拧紧设备的最大抗扭力，应大于最大扭矩输出的1.5倍</w:t>
      </w:r>
      <w:r>
        <w:rPr>
          <w:rFonts w:hint="eastAsia" w:ascii="Times New Roman" w:hAnsi="Times New Roman" w:eastAsia="宋体" w:cs="Times New Roman"/>
          <w:sz w:val="24"/>
          <w:lang w:eastAsia="zh-CN"/>
        </w:rPr>
        <w:t>，</w:t>
      </w:r>
      <w:r>
        <w:rPr>
          <w:rFonts w:ascii="Times New Roman" w:hAnsi="Times New Roman" w:eastAsia="宋体" w:cs="Times New Roman"/>
          <w:sz w:val="24"/>
        </w:rPr>
        <w:t>在拧紧过程不摆动，重点是拧紧后期。</w:t>
      </w:r>
    </w:p>
    <w:p w14:paraId="6DCEBF6C">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设备的拧紧策略具有开放性和可调性，</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可通过</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提供的软件自行调定拧紧策略，且预置的拧紧策略。</w:t>
      </w:r>
    </w:p>
    <w:p w14:paraId="7206AA37">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拧紧机设有力矩切换快捷档位，可设定6个不同的力矩值。</w:t>
      </w:r>
    </w:p>
    <w:p w14:paraId="6EF09F7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控制屏可以显示拧紧轴的拧紧控制曲线，能记录和存储</w:t>
      </w:r>
      <w:r>
        <w:rPr>
          <w:rFonts w:hint="eastAsia" w:ascii="Times New Roman" w:hAnsi="Times New Roman" w:eastAsia="宋体" w:cs="Times New Roman"/>
          <w:sz w:val="24"/>
          <w:lang w:val="en-US" w:eastAsia="zh-CN"/>
        </w:rPr>
        <w:t>50</w:t>
      </w:r>
      <w:r>
        <w:rPr>
          <w:rFonts w:ascii="Times New Roman" w:hAnsi="Times New Roman" w:eastAsia="宋体" w:cs="Times New Roman"/>
          <w:sz w:val="24"/>
        </w:rPr>
        <w:t>万组以上扭矩结果，数据可复制、查寻、及打印。</w:t>
      </w:r>
    </w:p>
    <w:p w14:paraId="1CAE8C2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拧紧机应设计有散热模块，可确保每3分钟拧紧一次，连续工作12小时，设备不因过热导致无法正常工作。</w:t>
      </w:r>
    </w:p>
    <w:p w14:paraId="690ED22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设备应具有可靠性，确保设备长期间使用不出现磨损、损坏及安全事故。例如，线缆与气管采用集束防护，吊挂在轨道上随拧紧机一同行走；轨道末端安装行程限位开关，防止设备出现异常情况。</w:t>
      </w:r>
    </w:p>
    <w:p w14:paraId="48C08DB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设备应配备悬挂装置，满足随装配线移动的需要。</w:t>
      </w:r>
    </w:p>
    <w:p w14:paraId="7D807B3A">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拧紧轴要求质量可靠、耐用性强，30万次拧紧无需维护，</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 xml:space="preserve">应确保拧紧设备的备件。  </w:t>
      </w:r>
    </w:p>
    <w:p w14:paraId="09F46E0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设备主控制电缆为进口，每根电线都有清晰的编号，所有导线采用插接方式。</w:t>
      </w:r>
    </w:p>
    <w:p w14:paraId="4D003D3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系统具有抗干扰措施。</w:t>
      </w:r>
    </w:p>
    <w:p w14:paraId="1C062DC5">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传感器、编码器等信号线路采用双绞屏蔽措施。</w:t>
      </w:r>
    </w:p>
    <w:p w14:paraId="159B3F0D">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伺服系统采用隔离变压器或伺服变压器隔离。</w:t>
      </w:r>
    </w:p>
    <w:p w14:paraId="5BF0DA65">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所有模拟量及数字量信号均采用光电隔离或继电器隔离措施。</w:t>
      </w:r>
    </w:p>
    <w:p w14:paraId="169181A4">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吊挂部分要设置平衡升降装置，工作过程中要求拧紧机设备本体上下左右移动方便、灵活，左右拧紧机及拧紧机与周围设施不发生干涉。在断气时，24小时内，气动平衡装置的下降高度不得大于30mm。</w:t>
      </w:r>
    </w:p>
    <w:p w14:paraId="61654C7E">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操作体上设有操作把手，其高位和位置要易于操作人的操作，便于拧紧机的套筒头与螺栓头的对位，操作体上应有可靠的漏电保护措施，确保操作工人的人身安全。</w:t>
      </w:r>
    </w:p>
    <w:p w14:paraId="24FF6E82">
      <w:pPr>
        <w:keepNext w:val="0"/>
        <w:keepLines w:val="0"/>
        <w:pageBreakBefore w:val="0"/>
        <w:widowControl/>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反力工装主体部分采用轻量化设计，并在设计阶段提供受力分析过程；上下升降部分需灵活省力，起步移载力（前进、后退、上升、下降）不大于50N，具备锁止机构，在自由状态下，不能自行旋转、摆动。</w:t>
      </w:r>
    </w:p>
    <w:p w14:paraId="77ECED50">
      <w:pPr>
        <w:keepNext w:val="0"/>
        <w:keepLines w:val="0"/>
        <w:pageBreakBefore w:val="0"/>
        <w:widowControl w:val="0"/>
        <w:numPr>
          <w:ilvl w:val="0"/>
          <w:numId w:val="602"/>
        </w:numPr>
        <w:kinsoku/>
        <w:wordWrap/>
        <w:overflowPunct/>
        <w:topLinePunct w:val="0"/>
        <w:autoSpaceDE/>
        <w:autoSpaceDN/>
        <w:bidi w:val="0"/>
        <w:adjustRightInd w:val="0"/>
        <w:snapToGrid w:val="0"/>
        <w:spacing w:afterAutospacing="0" w:line="360" w:lineRule="auto"/>
        <w:ind w:left="0" w:leftChars="0" w:firstLine="0" w:firstLineChars="0"/>
        <w:jc w:val="left"/>
        <w:textAlignment w:val="top"/>
        <w:rPr>
          <w:rFonts w:ascii="Times New Roman" w:hAnsi="Times New Roman" w:eastAsia="宋体" w:cs="Times New Roman"/>
          <w:kern w:val="2"/>
          <w:sz w:val="21"/>
          <w:lang w:val="en-US" w:eastAsia="zh-CN" w:bidi="ar-SA"/>
        </w:rPr>
      </w:pPr>
      <w:r>
        <w:rPr>
          <w:rFonts w:hint="eastAsia" w:ascii="Times New Roman" w:hAnsi="Times New Roman" w:eastAsia="宋体" w:cs="Times New Roman"/>
          <w:sz w:val="24"/>
          <w:lang w:val="en-US" w:eastAsia="zh-CN"/>
        </w:rPr>
        <w:t>所有拧紧数据能在服</w:t>
      </w:r>
      <w:r>
        <w:rPr>
          <w:rFonts w:hint="eastAsia" w:ascii="宋体" w:hAnsi="宋体" w:eastAsia="宋体" w:cs="Times New Roman"/>
          <w:kern w:val="2"/>
          <w:sz w:val="24"/>
          <w:szCs w:val="24"/>
          <w:highlight w:val="none"/>
          <w:lang w:val="en-US" w:eastAsia="zh-CN" w:bidi="ar-SA"/>
        </w:rPr>
        <w:t>务器上进行查询、统计、分析等，并能实时统计相关拧紧数据，拧紧数据可在服务器以E</w:t>
      </w:r>
      <w:r>
        <w:rPr>
          <w:rFonts w:ascii="宋体" w:hAnsi="宋体" w:eastAsia="宋体" w:cs="Times New Roman"/>
          <w:kern w:val="2"/>
          <w:sz w:val="24"/>
          <w:szCs w:val="24"/>
          <w:highlight w:val="none"/>
          <w:lang w:val="en-US" w:eastAsia="zh-CN" w:bidi="ar-SA"/>
        </w:rPr>
        <w:t>XCEL</w:t>
      </w:r>
      <w:r>
        <w:rPr>
          <w:rFonts w:hint="eastAsia" w:ascii="宋体" w:hAnsi="宋体" w:eastAsia="宋体" w:cs="Times New Roman"/>
          <w:kern w:val="2"/>
          <w:sz w:val="24"/>
          <w:szCs w:val="24"/>
          <w:highlight w:val="none"/>
          <w:lang w:val="en-US" w:eastAsia="zh-CN" w:bidi="ar-SA"/>
        </w:rPr>
        <w:t>表格形式导出，CP、CPK、CM、CMK等值的统计、计算、分析、拧紧曲线的显示等采用P</w:t>
      </w:r>
      <w:r>
        <w:rPr>
          <w:rFonts w:ascii="宋体" w:hAnsi="宋体" w:eastAsia="宋体" w:cs="Times New Roman"/>
          <w:kern w:val="2"/>
          <w:sz w:val="24"/>
          <w:szCs w:val="24"/>
          <w:highlight w:val="none"/>
          <w:lang w:val="en-US" w:eastAsia="zh-CN" w:bidi="ar-SA"/>
        </w:rPr>
        <w:t>DF</w:t>
      </w:r>
      <w:r>
        <w:rPr>
          <w:rFonts w:hint="eastAsia" w:ascii="宋体" w:hAnsi="宋体" w:eastAsia="宋体" w:cs="Times New Roman"/>
          <w:kern w:val="2"/>
          <w:sz w:val="24"/>
          <w:szCs w:val="24"/>
          <w:highlight w:val="none"/>
          <w:lang w:val="en-US" w:eastAsia="zh-CN" w:bidi="ar-SA"/>
        </w:rPr>
        <w:t>文档的形式导出。</w:t>
      </w:r>
    </w:p>
    <w:p w14:paraId="6FA64071">
      <w:pPr>
        <w:keepNext w:val="0"/>
        <w:keepLines w:val="0"/>
        <w:pageBreakBefore w:val="0"/>
        <w:widowControl/>
        <w:numPr>
          <w:ilvl w:val="0"/>
          <w:numId w:val="602"/>
        </w:numPr>
        <w:kinsoku/>
        <w:wordWrap/>
        <w:overflowPunct/>
        <w:topLinePunct w:val="0"/>
        <w:autoSpaceDE/>
        <w:autoSpaceDN/>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拧紧设备电机采用松下/SEW/西门子等品牌。</w:t>
      </w:r>
    </w:p>
    <w:p w14:paraId="7C8E58F4">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加注设备技术要求</w:t>
      </w:r>
    </w:p>
    <w:p w14:paraId="35F8086F">
      <w:pPr>
        <w:keepNext w:val="0"/>
        <w:keepLines w:val="0"/>
        <w:pageBreakBefore w:val="0"/>
        <w:widowControl w:val="0"/>
        <w:numPr>
          <w:ilvl w:val="0"/>
          <w:numId w:val="60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供货清单</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9"/>
        <w:gridCol w:w="4424"/>
        <w:gridCol w:w="1634"/>
        <w:gridCol w:w="2613"/>
      </w:tblGrid>
      <w:tr w14:paraId="6A7C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1002D7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2291" w:type="pct"/>
            <w:tcBorders>
              <w:top w:val="single" w:color="auto" w:sz="4" w:space="0"/>
              <w:left w:val="single" w:color="auto" w:sz="4" w:space="0"/>
              <w:bottom w:val="single" w:color="auto" w:sz="4" w:space="0"/>
              <w:right w:val="single" w:color="auto" w:sz="4" w:space="0"/>
            </w:tcBorders>
            <w:vAlign w:val="center"/>
          </w:tcPr>
          <w:p w14:paraId="00CF97A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846" w:type="pct"/>
            <w:tcBorders>
              <w:top w:val="single" w:color="auto" w:sz="4" w:space="0"/>
              <w:left w:val="single" w:color="auto" w:sz="4" w:space="0"/>
              <w:bottom w:val="single" w:color="auto" w:sz="4" w:space="0"/>
              <w:right w:val="single" w:color="auto" w:sz="4" w:space="0"/>
            </w:tcBorders>
            <w:vAlign w:val="center"/>
          </w:tcPr>
          <w:p w14:paraId="2B450C1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1353" w:type="pct"/>
            <w:tcBorders>
              <w:top w:val="single" w:color="auto" w:sz="4" w:space="0"/>
              <w:left w:val="single" w:color="auto" w:sz="4" w:space="0"/>
              <w:bottom w:val="single" w:color="auto" w:sz="4" w:space="0"/>
              <w:right w:val="single" w:color="auto" w:sz="4" w:space="0"/>
            </w:tcBorders>
            <w:vAlign w:val="center"/>
          </w:tcPr>
          <w:p w14:paraId="00F49C96">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r>
              <w:rPr>
                <w:rFonts w:hint="eastAsia" w:ascii="宋体" w:hAnsi="宋体" w:eastAsia="宋体" w:cs="宋体"/>
                <w:sz w:val="24"/>
                <w:szCs w:val="24"/>
              </w:rPr>
              <w:t>备注</w:t>
            </w:r>
          </w:p>
        </w:tc>
      </w:tr>
      <w:tr w14:paraId="75DF9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5640300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2291" w:type="pct"/>
            <w:tcBorders>
              <w:top w:val="single" w:color="auto" w:sz="4" w:space="0"/>
              <w:left w:val="single" w:color="auto" w:sz="4" w:space="0"/>
              <w:bottom w:val="single" w:color="auto" w:sz="4" w:space="0"/>
              <w:right w:val="single" w:color="auto" w:sz="4" w:space="0"/>
            </w:tcBorders>
            <w:vAlign w:val="center"/>
          </w:tcPr>
          <w:p w14:paraId="45A69FC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sz w:val="24"/>
                <w:szCs w:val="24"/>
              </w:rPr>
              <w:t>制动液加注机</w:t>
            </w:r>
          </w:p>
        </w:tc>
        <w:tc>
          <w:tcPr>
            <w:tcW w:w="846" w:type="pct"/>
            <w:tcBorders>
              <w:top w:val="single" w:color="auto" w:sz="4" w:space="0"/>
              <w:left w:val="single" w:color="auto" w:sz="4" w:space="0"/>
              <w:bottom w:val="single" w:color="auto" w:sz="4" w:space="0"/>
              <w:right w:val="single" w:color="auto" w:sz="4" w:space="0"/>
            </w:tcBorders>
            <w:vAlign w:val="center"/>
          </w:tcPr>
          <w:p w14:paraId="379E53B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套</w:t>
            </w:r>
          </w:p>
        </w:tc>
        <w:tc>
          <w:tcPr>
            <w:tcW w:w="1353" w:type="pct"/>
            <w:tcBorders>
              <w:top w:val="single" w:color="auto" w:sz="4" w:space="0"/>
              <w:left w:val="single" w:color="auto" w:sz="4" w:space="0"/>
              <w:bottom w:val="single" w:color="auto" w:sz="4" w:space="0"/>
              <w:right w:val="single" w:color="auto" w:sz="4" w:space="0"/>
            </w:tcBorders>
            <w:vAlign w:val="center"/>
          </w:tcPr>
          <w:p w14:paraId="364501C4">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r w14:paraId="58E8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5EB8A32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2291" w:type="pct"/>
            <w:tcBorders>
              <w:top w:val="single" w:color="auto" w:sz="4" w:space="0"/>
              <w:left w:val="single" w:color="auto" w:sz="4" w:space="0"/>
              <w:bottom w:val="single" w:color="auto" w:sz="4" w:space="0"/>
              <w:right w:val="single" w:color="auto" w:sz="4" w:space="0"/>
            </w:tcBorders>
            <w:vAlign w:val="center"/>
          </w:tcPr>
          <w:p w14:paraId="491EB1C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sz w:val="24"/>
                <w:szCs w:val="24"/>
              </w:rPr>
              <w:t>防冻液真空加注</w:t>
            </w:r>
          </w:p>
        </w:tc>
        <w:tc>
          <w:tcPr>
            <w:tcW w:w="846" w:type="pct"/>
            <w:tcBorders>
              <w:top w:val="single" w:color="auto" w:sz="4" w:space="0"/>
              <w:left w:val="single" w:color="auto" w:sz="4" w:space="0"/>
              <w:bottom w:val="single" w:color="auto" w:sz="4" w:space="0"/>
              <w:right w:val="single" w:color="auto" w:sz="4" w:space="0"/>
            </w:tcBorders>
            <w:vAlign w:val="center"/>
          </w:tcPr>
          <w:p w14:paraId="451B7B4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套</w:t>
            </w:r>
          </w:p>
        </w:tc>
        <w:tc>
          <w:tcPr>
            <w:tcW w:w="1353" w:type="pct"/>
            <w:tcBorders>
              <w:top w:val="single" w:color="auto" w:sz="4" w:space="0"/>
              <w:left w:val="single" w:color="auto" w:sz="4" w:space="0"/>
              <w:bottom w:val="single" w:color="auto" w:sz="4" w:space="0"/>
              <w:right w:val="single" w:color="auto" w:sz="4" w:space="0"/>
            </w:tcBorders>
            <w:vAlign w:val="center"/>
          </w:tcPr>
          <w:p w14:paraId="123B610F">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r w14:paraId="5D385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4CA8D1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2291" w:type="pct"/>
            <w:tcBorders>
              <w:top w:val="single" w:color="auto" w:sz="4" w:space="0"/>
              <w:left w:val="single" w:color="auto" w:sz="4" w:space="0"/>
              <w:bottom w:val="single" w:color="auto" w:sz="4" w:space="0"/>
              <w:right w:val="single" w:color="auto" w:sz="4" w:space="0"/>
            </w:tcBorders>
            <w:vAlign w:val="center"/>
          </w:tcPr>
          <w:p w14:paraId="4E9D47C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sz w:val="24"/>
                <w:szCs w:val="24"/>
              </w:rPr>
              <w:t>冷媒加注机</w:t>
            </w:r>
          </w:p>
        </w:tc>
        <w:tc>
          <w:tcPr>
            <w:tcW w:w="846" w:type="pct"/>
            <w:tcBorders>
              <w:top w:val="single" w:color="auto" w:sz="4" w:space="0"/>
              <w:left w:val="single" w:color="auto" w:sz="4" w:space="0"/>
              <w:bottom w:val="single" w:color="auto" w:sz="4" w:space="0"/>
              <w:right w:val="single" w:color="auto" w:sz="4" w:space="0"/>
            </w:tcBorders>
            <w:vAlign w:val="center"/>
          </w:tcPr>
          <w:p w14:paraId="142C6BD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套</w:t>
            </w:r>
          </w:p>
        </w:tc>
        <w:tc>
          <w:tcPr>
            <w:tcW w:w="1353" w:type="pct"/>
            <w:tcBorders>
              <w:top w:val="single" w:color="auto" w:sz="4" w:space="0"/>
              <w:left w:val="single" w:color="auto" w:sz="4" w:space="0"/>
              <w:bottom w:val="single" w:color="auto" w:sz="4" w:space="0"/>
              <w:right w:val="single" w:color="auto" w:sz="4" w:space="0"/>
            </w:tcBorders>
            <w:vAlign w:val="center"/>
          </w:tcPr>
          <w:p w14:paraId="1CABBC1C">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r w14:paraId="72816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548B7EB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4</w:t>
            </w:r>
          </w:p>
        </w:tc>
        <w:tc>
          <w:tcPr>
            <w:tcW w:w="2291" w:type="pct"/>
            <w:tcBorders>
              <w:top w:val="single" w:color="auto" w:sz="4" w:space="0"/>
              <w:left w:val="single" w:color="auto" w:sz="4" w:space="0"/>
              <w:bottom w:val="single" w:color="auto" w:sz="4" w:space="0"/>
              <w:right w:val="single" w:color="auto" w:sz="4" w:space="0"/>
            </w:tcBorders>
            <w:vAlign w:val="center"/>
          </w:tcPr>
          <w:p w14:paraId="7681359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sz w:val="24"/>
                <w:szCs w:val="24"/>
              </w:rPr>
              <w:t>返修冷媒加注机</w:t>
            </w:r>
          </w:p>
        </w:tc>
        <w:tc>
          <w:tcPr>
            <w:tcW w:w="846" w:type="pct"/>
            <w:tcBorders>
              <w:top w:val="single" w:color="auto" w:sz="4" w:space="0"/>
              <w:left w:val="single" w:color="auto" w:sz="4" w:space="0"/>
              <w:bottom w:val="single" w:color="auto" w:sz="4" w:space="0"/>
              <w:right w:val="single" w:color="auto" w:sz="4" w:space="0"/>
            </w:tcBorders>
            <w:vAlign w:val="center"/>
          </w:tcPr>
          <w:p w14:paraId="56B940E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1套</w:t>
            </w:r>
          </w:p>
        </w:tc>
        <w:tc>
          <w:tcPr>
            <w:tcW w:w="1353" w:type="pct"/>
            <w:tcBorders>
              <w:top w:val="single" w:color="auto" w:sz="4" w:space="0"/>
              <w:left w:val="single" w:color="auto" w:sz="4" w:space="0"/>
              <w:bottom w:val="single" w:color="auto" w:sz="4" w:space="0"/>
              <w:right w:val="single" w:color="auto" w:sz="4" w:space="0"/>
            </w:tcBorders>
            <w:vAlign w:val="center"/>
          </w:tcPr>
          <w:p w14:paraId="185E996D">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r w14:paraId="03EDF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7BCBAFA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5</w:t>
            </w:r>
          </w:p>
        </w:tc>
        <w:tc>
          <w:tcPr>
            <w:tcW w:w="2291" w:type="pct"/>
            <w:tcBorders>
              <w:top w:val="single" w:color="auto" w:sz="4" w:space="0"/>
              <w:left w:val="single" w:color="auto" w:sz="4" w:space="0"/>
              <w:bottom w:val="single" w:color="auto" w:sz="4" w:space="0"/>
              <w:right w:val="single" w:color="auto" w:sz="4" w:space="0"/>
            </w:tcBorders>
            <w:vAlign w:val="center"/>
          </w:tcPr>
          <w:p w14:paraId="0322D2E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sz w:val="24"/>
                <w:szCs w:val="24"/>
              </w:rPr>
              <w:t>清洗液加注机</w:t>
            </w:r>
          </w:p>
        </w:tc>
        <w:tc>
          <w:tcPr>
            <w:tcW w:w="846" w:type="pct"/>
            <w:tcBorders>
              <w:top w:val="single" w:color="auto" w:sz="4" w:space="0"/>
              <w:left w:val="single" w:color="auto" w:sz="4" w:space="0"/>
              <w:bottom w:val="single" w:color="auto" w:sz="4" w:space="0"/>
              <w:right w:val="single" w:color="auto" w:sz="4" w:space="0"/>
            </w:tcBorders>
            <w:vAlign w:val="center"/>
          </w:tcPr>
          <w:p w14:paraId="3359172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套</w:t>
            </w:r>
          </w:p>
        </w:tc>
        <w:tc>
          <w:tcPr>
            <w:tcW w:w="1353" w:type="pct"/>
            <w:tcBorders>
              <w:top w:val="single" w:color="auto" w:sz="4" w:space="0"/>
              <w:left w:val="single" w:color="auto" w:sz="4" w:space="0"/>
              <w:bottom w:val="single" w:color="auto" w:sz="4" w:space="0"/>
              <w:right w:val="single" w:color="auto" w:sz="4" w:space="0"/>
            </w:tcBorders>
            <w:vAlign w:val="center"/>
          </w:tcPr>
          <w:p w14:paraId="4CAD2D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利旧改造</w:t>
            </w:r>
          </w:p>
        </w:tc>
      </w:tr>
      <w:tr w14:paraId="19903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3B28CA8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6</w:t>
            </w:r>
          </w:p>
        </w:tc>
        <w:tc>
          <w:tcPr>
            <w:tcW w:w="2291" w:type="pct"/>
            <w:tcBorders>
              <w:top w:val="single" w:color="auto" w:sz="4" w:space="0"/>
              <w:left w:val="single" w:color="auto" w:sz="4" w:space="0"/>
              <w:bottom w:val="single" w:color="auto" w:sz="4" w:space="0"/>
              <w:right w:val="single" w:color="auto" w:sz="4" w:space="0"/>
            </w:tcBorders>
            <w:vAlign w:val="center"/>
          </w:tcPr>
          <w:p w14:paraId="0A5E3C2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sz w:val="24"/>
                <w:szCs w:val="24"/>
              </w:rPr>
              <w:t>返修用制动液加注机</w:t>
            </w:r>
          </w:p>
        </w:tc>
        <w:tc>
          <w:tcPr>
            <w:tcW w:w="846" w:type="pct"/>
            <w:tcBorders>
              <w:top w:val="single" w:color="auto" w:sz="4" w:space="0"/>
              <w:left w:val="single" w:color="auto" w:sz="4" w:space="0"/>
              <w:bottom w:val="single" w:color="auto" w:sz="4" w:space="0"/>
              <w:right w:val="single" w:color="auto" w:sz="4" w:space="0"/>
            </w:tcBorders>
            <w:vAlign w:val="center"/>
          </w:tcPr>
          <w:p w14:paraId="74B893B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套</w:t>
            </w:r>
          </w:p>
        </w:tc>
        <w:tc>
          <w:tcPr>
            <w:tcW w:w="1353" w:type="pct"/>
            <w:tcBorders>
              <w:top w:val="single" w:color="auto" w:sz="4" w:space="0"/>
              <w:left w:val="single" w:color="auto" w:sz="4" w:space="0"/>
              <w:bottom w:val="single" w:color="auto" w:sz="4" w:space="0"/>
              <w:right w:val="single" w:color="auto" w:sz="4" w:space="0"/>
            </w:tcBorders>
            <w:vAlign w:val="center"/>
          </w:tcPr>
          <w:p w14:paraId="5790787E">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r w14:paraId="22A6F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056BC4C2">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2291" w:type="pct"/>
            <w:tcBorders>
              <w:top w:val="single" w:color="auto" w:sz="4" w:space="0"/>
              <w:left w:val="single" w:color="auto" w:sz="4" w:space="0"/>
              <w:bottom w:val="single" w:color="auto" w:sz="4" w:space="0"/>
              <w:right w:val="single" w:color="auto" w:sz="4" w:space="0"/>
            </w:tcBorders>
            <w:vAlign w:val="center"/>
          </w:tcPr>
          <w:p w14:paraId="679FA63D">
            <w:pPr>
              <w:keepNext w:val="0"/>
              <w:keepLines w:val="0"/>
              <w:pageBreakBefore w:val="0"/>
              <w:kinsoku/>
              <w:overflowPunct/>
              <w:topLinePunct w:val="0"/>
              <w:bidi w:val="0"/>
              <w:adjustRightInd w:val="0"/>
              <w:snapToGrid w:val="0"/>
              <w:spacing w:afterAutospacing="0" w:line="240" w:lineRule="auto"/>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齿轮油加注</w:t>
            </w:r>
          </w:p>
        </w:tc>
        <w:tc>
          <w:tcPr>
            <w:tcW w:w="846" w:type="pct"/>
            <w:tcBorders>
              <w:top w:val="single" w:color="auto" w:sz="4" w:space="0"/>
              <w:left w:val="single" w:color="auto" w:sz="4" w:space="0"/>
              <w:bottom w:val="single" w:color="auto" w:sz="4" w:space="0"/>
              <w:right w:val="single" w:color="auto" w:sz="4" w:space="0"/>
            </w:tcBorders>
            <w:vAlign w:val="center"/>
          </w:tcPr>
          <w:p w14:paraId="10923DBE">
            <w:pPr>
              <w:keepNext w:val="0"/>
              <w:keepLines w:val="0"/>
              <w:pageBreakBefore w:val="0"/>
              <w:kinsoku/>
              <w:overflowPunct/>
              <w:topLinePunct w:val="0"/>
              <w:bidi w:val="0"/>
              <w:adjustRightInd w:val="0"/>
              <w:snapToGrid w:val="0"/>
              <w:spacing w:afterAutospacing="0"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2套</w:t>
            </w:r>
          </w:p>
        </w:tc>
        <w:tc>
          <w:tcPr>
            <w:tcW w:w="1353" w:type="pct"/>
            <w:tcBorders>
              <w:top w:val="single" w:color="auto" w:sz="4" w:space="0"/>
              <w:left w:val="single" w:color="auto" w:sz="4" w:space="0"/>
              <w:bottom w:val="single" w:color="auto" w:sz="4" w:space="0"/>
              <w:right w:val="single" w:color="auto" w:sz="4" w:space="0"/>
            </w:tcBorders>
            <w:vAlign w:val="center"/>
          </w:tcPr>
          <w:p w14:paraId="35563BF1">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val="en-US" w:eastAsia="zh-CN"/>
              </w:rPr>
            </w:pPr>
            <w:r>
              <w:rPr>
                <w:rFonts w:ascii="宋体" w:hAnsi="宋体" w:eastAsia="宋体" w:cs="宋体"/>
                <w:sz w:val="24"/>
                <w:szCs w:val="24"/>
              </w:rPr>
              <w:t>利旧改造</w:t>
            </w:r>
          </w:p>
        </w:tc>
      </w:tr>
      <w:tr w14:paraId="67BC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1F20FED3">
            <w:pPr>
              <w:keepNext w:val="0"/>
              <w:keepLines w:val="0"/>
              <w:pageBreakBefore w:val="0"/>
              <w:kinsoku/>
              <w:overflowPunct/>
              <w:topLinePunct w:val="0"/>
              <w:bidi w:val="0"/>
              <w:adjustRightInd w:val="0"/>
              <w:snapToGrid w:val="0"/>
              <w:spacing w:afterAutospacing="0" w:line="24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2291" w:type="pct"/>
            <w:tcBorders>
              <w:top w:val="single" w:color="auto" w:sz="4" w:space="0"/>
              <w:left w:val="single" w:color="auto" w:sz="4" w:space="0"/>
              <w:bottom w:val="single" w:color="auto" w:sz="4" w:space="0"/>
              <w:right w:val="single" w:color="auto" w:sz="4" w:space="0"/>
            </w:tcBorders>
            <w:vAlign w:val="center"/>
          </w:tcPr>
          <w:p w14:paraId="43C4CBC3">
            <w:pPr>
              <w:keepNext w:val="0"/>
              <w:keepLines w:val="0"/>
              <w:pageBreakBefore w:val="0"/>
              <w:widowControl/>
              <w:kinsoku/>
              <w:overflowPunct/>
              <w:topLinePunct w:val="0"/>
              <w:bidi w:val="0"/>
              <w:adjustRightInd w:val="0"/>
              <w:snapToGrid w:val="0"/>
              <w:spacing w:afterAutospacing="0" w:line="240" w:lineRule="auto"/>
              <w:jc w:val="center"/>
              <w:outlineLvl w:val="0"/>
              <w:rPr>
                <w:rFonts w:ascii="宋体" w:hAnsi="宋体" w:eastAsia="宋体" w:cs="宋体"/>
                <w:color w:val="000000"/>
                <w:sz w:val="24"/>
                <w:szCs w:val="24"/>
              </w:rPr>
            </w:pPr>
            <w:r>
              <w:rPr>
                <w:rFonts w:hint="eastAsia" w:ascii="宋体" w:hAnsi="宋体" w:eastAsia="宋体" w:cs="宋体"/>
                <w:color w:val="000000"/>
                <w:sz w:val="24"/>
                <w:szCs w:val="24"/>
              </w:rPr>
              <w:t>测试小车</w:t>
            </w:r>
          </w:p>
        </w:tc>
        <w:tc>
          <w:tcPr>
            <w:tcW w:w="846" w:type="pct"/>
            <w:tcBorders>
              <w:top w:val="single" w:color="auto" w:sz="4" w:space="0"/>
              <w:left w:val="single" w:color="auto" w:sz="4" w:space="0"/>
              <w:bottom w:val="single" w:color="auto" w:sz="4" w:space="0"/>
              <w:right w:val="single" w:color="auto" w:sz="4" w:space="0"/>
            </w:tcBorders>
            <w:vAlign w:val="center"/>
          </w:tcPr>
          <w:p w14:paraId="2D51E1B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1套</w:t>
            </w:r>
          </w:p>
        </w:tc>
        <w:tc>
          <w:tcPr>
            <w:tcW w:w="1353" w:type="pct"/>
            <w:tcBorders>
              <w:top w:val="single" w:color="auto" w:sz="4" w:space="0"/>
              <w:left w:val="single" w:color="auto" w:sz="4" w:space="0"/>
              <w:bottom w:val="single" w:color="auto" w:sz="4" w:space="0"/>
              <w:right w:val="single" w:color="auto" w:sz="4" w:space="0"/>
            </w:tcBorders>
            <w:vAlign w:val="center"/>
          </w:tcPr>
          <w:p w14:paraId="1F71BDB5">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r w14:paraId="67283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49BC16E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2291" w:type="pct"/>
            <w:tcBorders>
              <w:top w:val="single" w:color="auto" w:sz="4" w:space="0"/>
              <w:left w:val="single" w:color="auto" w:sz="4" w:space="0"/>
              <w:bottom w:val="single" w:color="auto" w:sz="4" w:space="0"/>
              <w:right w:val="single" w:color="auto" w:sz="4" w:space="0"/>
            </w:tcBorders>
            <w:vAlign w:val="center"/>
          </w:tcPr>
          <w:p w14:paraId="23639C6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合计</w:t>
            </w:r>
          </w:p>
        </w:tc>
        <w:tc>
          <w:tcPr>
            <w:tcW w:w="846" w:type="pct"/>
            <w:tcBorders>
              <w:top w:val="single" w:color="auto" w:sz="4" w:space="0"/>
              <w:left w:val="single" w:color="auto" w:sz="4" w:space="0"/>
              <w:bottom w:val="single" w:color="auto" w:sz="4" w:space="0"/>
              <w:right w:val="single" w:color="auto" w:sz="4" w:space="0"/>
            </w:tcBorders>
            <w:vAlign w:val="center"/>
          </w:tcPr>
          <w:p w14:paraId="7F9EC2E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8</w:t>
            </w:r>
          </w:p>
        </w:tc>
        <w:tc>
          <w:tcPr>
            <w:tcW w:w="1353" w:type="pct"/>
            <w:tcBorders>
              <w:top w:val="single" w:color="auto" w:sz="4" w:space="0"/>
              <w:left w:val="single" w:color="auto" w:sz="4" w:space="0"/>
              <w:bottom w:val="single" w:color="auto" w:sz="4" w:space="0"/>
              <w:right w:val="single" w:color="auto" w:sz="4" w:space="0"/>
            </w:tcBorders>
            <w:vAlign w:val="center"/>
          </w:tcPr>
          <w:p w14:paraId="64009BF3">
            <w:pPr>
              <w:keepNext w:val="0"/>
              <w:keepLines w:val="0"/>
              <w:pageBreakBefore w:val="0"/>
              <w:kinsoku/>
              <w:overflowPunct/>
              <w:topLinePunct w:val="0"/>
              <w:bidi w:val="0"/>
              <w:adjustRightInd w:val="0"/>
              <w:snapToGrid w:val="0"/>
              <w:spacing w:afterAutospacing="0" w:line="240" w:lineRule="auto"/>
              <w:ind w:firstLine="480" w:firstLineChars="200"/>
              <w:jc w:val="center"/>
              <w:rPr>
                <w:rFonts w:ascii="宋体" w:hAnsi="宋体" w:eastAsia="宋体" w:cs="宋体"/>
                <w:sz w:val="24"/>
                <w:szCs w:val="24"/>
              </w:rPr>
            </w:pPr>
          </w:p>
        </w:tc>
      </w:tr>
    </w:tbl>
    <w:p w14:paraId="0D27ADA4">
      <w:pPr>
        <w:keepNext w:val="0"/>
        <w:keepLines w:val="0"/>
        <w:pageBreakBefore w:val="0"/>
        <w:widowControl w:val="0"/>
        <w:numPr>
          <w:ilvl w:val="0"/>
          <w:numId w:val="60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制动液加注设备要求</w:t>
      </w:r>
    </w:p>
    <w:p w14:paraId="1E7AA470">
      <w:pPr>
        <w:keepNext w:val="0"/>
        <w:keepLines w:val="0"/>
        <w:pageBreakBefore w:val="0"/>
        <w:widowControl w:val="0"/>
        <w:numPr>
          <w:ilvl w:val="0"/>
          <w:numId w:val="60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设备基本要求</w:t>
      </w:r>
    </w:p>
    <w:p w14:paraId="4A8BF133">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设备结构：采用落地式可移动式结构，带四个移动轮，也可固定使用。</w:t>
      </w:r>
    </w:p>
    <w:p w14:paraId="65B4371B">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设备需配有无线条形码扫描器，具备直接扫描登录功能，同时在条形码扫描器功能失效时有手动输入VIN码登录功能</w:t>
      </w:r>
      <w:r>
        <w:rPr>
          <w:rFonts w:hint="eastAsia" w:ascii="Times New Roman" w:hAnsi="Times New Roman" w:eastAsia="宋体" w:cs="Times New Roman"/>
          <w:sz w:val="24"/>
          <w:lang w:eastAsia="zh-CN"/>
        </w:rPr>
        <w:t>。</w:t>
      </w:r>
    </w:p>
    <w:p w14:paraId="40C9FA2D">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制动液真空加注机的加注全过程在200s内完成，设备应保证整个加注过程无喷液，加注完毕移开时无漏滴，能在加注节拍要求之内精确地对各种车型进行制动液加注。</w:t>
      </w:r>
    </w:p>
    <w:p w14:paraId="094E8963">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制动液真空加注机采用模拟轮端检测方式，能真实反映车辆制动系统的真空度。真空传感器连接专用真空检测管，模拟延伸车辆制动系统，真空传感器检测的真空度能真实反映车辆轮边制动管路系统的抽真空情况。</w:t>
      </w:r>
    </w:p>
    <w:p w14:paraId="7DF45936">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设备设置独立的脱水脱气罐，使脱水与加注相互独立，互不影响。同时能对回吸过程中的残液及水气混合物再进行二次深度脱水处理，脱水脱气罐下方配有接油盘，并有手动放液阀，方便泄漏液体的排放。</w:t>
      </w:r>
    </w:p>
    <w:p w14:paraId="49647421">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为了避免加注的制动液受空气的湿度影响，保证整个管路中的油液始终处于干燥状态，设备要具有压缩空气过滤及干燥装置，把压缩空气内的油、水和灰尘过滤干净，使设备用的空气全部是经过处理的干燥的清洁气体，防止污染油液。</w:t>
      </w:r>
    </w:p>
    <w:p w14:paraId="1D4AFBA3">
      <w:pPr>
        <w:keepNext w:val="0"/>
        <w:keepLines w:val="0"/>
        <w:pageBreakBefore w:val="0"/>
        <w:widowControl w:val="0"/>
        <w:numPr>
          <w:ilvl w:val="0"/>
          <w:numId w:val="60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ABS控制器：ABS控制器采用K线、CAN线通讯方式，且两种都能用，OBDII ABS通讯插头。要求OBDII连接插头通讯可靠、安装方便。同时另行提供一个OBDII插头作为备件。</w:t>
      </w:r>
    </w:p>
    <w:p w14:paraId="0E2403CD">
      <w:pPr>
        <w:keepNext w:val="0"/>
        <w:keepLines w:val="0"/>
        <w:pageBreakBefore w:val="0"/>
        <w:widowControl w:val="0"/>
        <w:numPr>
          <w:ilvl w:val="0"/>
          <w:numId w:val="60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设备动作过程</w:t>
      </w:r>
    </w:p>
    <w:p w14:paraId="2AC136A2">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设备人员通过扫描枪或车型选择按钮，将OBDⅡ插头与车辆连接，并打开点火开关，将加注头放置到加注灌口上，并按下加注头上的启动按钮（绿色启动/红色停止）。</w:t>
      </w:r>
    </w:p>
    <w:p w14:paraId="04BCD0A7">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加注头自动夹紧；（ABS通讯开始，按照ABS规范激活阀门和泵，ABS解码器采用车载电源供电）。</w:t>
      </w:r>
    </w:p>
    <w:p w14:paraId="0368DF9D">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一次抽真空。</w:t>
      </w:r>
    </w:p>
    <w:p w14:paraId="4AEA54EB">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大渗漏检测。</w:t>
      </w:r>
    </w:p>
    <w:p w14:paraId="23B51038">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二次抽真空。</w:t>
      </w:r>
    </w:p>
    <w:p w14:paraId="29496703">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渗漏检测（真空衰减）。</w:t>
      </w:r>
    </w:p>
    <w:p w14:paraId="586765A9">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三次抽真空（补抽）。</w:t>
      </w:r>
    </w:p>
    <w:p w14:paraId="7A9F36A4">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加注、压力衰减测试、校核加注量。</w:t>
      </w:r>
    </w:p>
    <w:p w14:paraId="5E90D36F">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液体压力检测。</w:t>
      </w:r>
    </w:p>
    <w:p w14:paraId="680BA939">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回吸至液位。</w:t>
      </w:r>
    </w:p>
    <w:p w14:paraId="4F13DF3B">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ABS通讯结束。</w:t>
      </w:r>
    </w:p>
    <w:p w14:paraId="7C0261EC">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加注过程结束，声光信号提示操作人员</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加注</w:t>
      </w:r>
      <w:r>
        <w:rPr>
          <w:rFonts w:ascii="Times New Roman" w:hAnsi="Times New Roman" w:eastAsia="宋体" w:cs="Times New Roman"/>
          <w:sz w:val="24"/>
        </w:rPr>
        <w:t>过程结束。</w:t>
      </w:r>
    </w:p>
    <w:p w14:paraId="029AFACA">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操作人员按下加注头上的停止按钮、加注头松开、管口真空返吸，将加注头放置在枪架上，停止回吸。</w:t>
      </w:r>
    </w:p>
    <w:p w14:paraId="022B6A8D">
      <w:pPr>
        <w:keepNext w:val="0"/>
        <w:keepLines w:val="0"/>
        <w:pageBreakBefore w:val="0"/>
        <w:widowControl w:val="0"/>
        <w:numPr>
          <w:ilvl w:val="0"/>
          <w:numId w:val="60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操作人员从车上取下OBDⅡ，放回托架。</w:t>
      </w:r>
    </w:p>
    <w:p w14:paraId="6F6C8C14">
      <w:pPr>
        <w:keepNext w:val="0"/>
        <w:keepLines w:val="0"/>
        <w:pageBreakBefore w:val="0"/>
        <w:widowControl w:val="0"/>
        <w:numPr>
          <w:ilvl w:val="0"/>
          <w:numId w:val="604"/>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基本结构</w:t>
      </w:r>
    </w:p>
    <w:p w14:paraId="62FB0E5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基本结构必须包含和满足下列内容和要求，但不限于在此提出的内容和要求：</w:t>
      </w:r>
    </w:p>
    <w:p w14:paraId="55667DBF">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制动液储罐一套，材质为不锈钢。其总容积不小于80升，液体有效工作储量不小于50升。该储罐必须配备4级液位开关（液位高低可以自由设置）、溢流液位开关（与供液进口阀联锁）、玻璃液位视管及检修门等。</w:t>
      </w:r>
    </w:p>
    <w:p w14:paraId="4AE65355">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采用Leybold D16B-DOT专用真空泵，用于系统高速抽真空</w:t>
      </w:r>
      <w:r>
        <w:rPr>
          <w:rFonts w:hint="eastAsia" w:ascii="Times New Roman" w:hAnsi="Times New Roman" w:eastAsia="宋体" w:cs="Times New Roman"/>
          <w:sz w:val="24"/>
          <w:lang w:eastAsia="zh-CN"/>
        </w:rPr>
        <w:t>。</w:t>
      </w:r>
    </w:p>
    <w:p w14:paraId="60AD0451">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采用磁耦合加注齿轮泵（绝对防漏）。</w:t>
      </w:r>
    </w:p>
    <w:p w14:paraId="08C6A1EF">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压力传感器一套，用于系统加注压力的测量控制。</w:t>
      </w:r>
    </w:p>
    <w:p w14:paraId="4E911E6F">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真空度传感器一套，用于系统真空度的测量控制。</w:t>
      </w:r>
    </w:p>
    <w:p w14:paraId="2AED2F17">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制动液加注流量计一套，其精度不低于1%。</w:t>
      </w:r>
    </w:p>
    <w:p w14:paraId="0EE3ED8E">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设置压力放大器，用于加注头夹紧压力控制。</w:t>
      </w:r>
    </w:p>
    <w:p w14:paraId="4A2E62EB">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配备各种控制和调节阀门、压力开关及真空、压力指示表。</w:t>
      </w:r>
    </w:p>
    <w:p w14:paraId="3D098D2E">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具有回吸制动液至正确液位及保持加注头无液滴掉落的功能。</w:t>
      </w:r>
    </w:p>
    <w:p w14:paraId="396116F5">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供液管路及加注管路必须设置过滤器。</w:t>
      </w:r>
    </w:p>
    <w:p w14:paraId="7C50F071">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所有金属管道必须采用不锈钢材质。</w:t>
      </w:r>
    </w:p>
    <w:p w14:paraId="79BD294C">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柜子底部必须设置完整的集液盘。</w:t>
      </w:r>
    </w:p>
    <w:p w14:paraId="2006C72F">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柜内真空泵排出废气必须引至柜顶外排出，并在此设置带排液阀的高效过滤器处理；</w:t>
      </w:r>
    </w:p>
    <w:p w14:paraId="50EC22B8">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显示屏采用西门子9寸以上触摸屏，用于显示加注过程、过程数据、设备故障信息以及参数设定和调整，要求采用中文显示</w:t>
      </w:r>
      <w:r>
        <w:rPr>
          <w:rFonts w:hint="eastAsia" w:ascii="Times New Roman" w:hAnsi="Times New Roman" w:eastAsia="宋体" w:cs="Times New Roman"/>
          <w:sz w:val="24"/>
          <w:lang w:eastAsia="zh-CN"/>
        </w:rPr>
        <w:t>。</w:t>
      </w:r>
    </w:p>
    <w:p w14:paraId="7AB33A2F">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OBDII插头及通讯电缆两套，一套使用，另一套备用。必须采用工业级插头，经久耐用；无线条码扫描器</w:t>
      </w:r>
      <w:r>
        <w:rPr>
          <w:rFonts w:hint="eastAsia" w:ascii="Times New Roman" w:hAnsi="Times New Roman" w:eastAsia="宋体" w:cs="Times New Roman"/>
          <w:sz w:val="24"/>
          <w:lang w:eastAsia="zh-CN"/>
        </w:rPr>
        <w:t>。</w:t>
      </w:r>
    </w:p>
    <w:p w14:paraId="35102900">
      <w:pPr>
        <w:keepNext w:val="0"/>
        <w:keepLines w:val="0"/>
        <w:pageBreakBefore w:val="0"/>
        <w:widowControl w:val="0"/>
        <w:numPr>
          <w:ilvl w:val="0"/>
          <w:numId w:val="60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补液形式：线边供液</w:t>
      </w:r>
      <w:r>
        <w:rPr>
          <w:rFonts w:hint="eastAsia" w:ascii="Times New Roman" w:hAnsi="Times New Roman" w:eastAsia="宋体" w:cs="Times New Roman"/>
          <w:sz w:val="24"/>
          <w:lang w:eastAsia="zh-CN"/>
        </w:rPr>
        <w:t>。</w:t>
      </w:r>
    </w:p>
    <w:p w14:paraId="40657D92">
      <w:pPr>
        <w:keepNext w:val="0"/>
        <w:keepLines w:val="0"/>
        <w:pageBreakBefore w:val="0"/>
        <w:widowControl w:val="0"/>
        <w:numPr>
          <w:ilvl w:val="0"/>
          <w:numId w:val="604"/>
        </w:numPr>
        <w:kinsoku/>
        <w:overflowPunct/>
        <w:topLinePunct w:val="0"/>
        <w:bidi w:val="0"/>
        <w:adjustRightInd w:val="0"/>
        <w:snapToGrid w:val="0"/>
        <w:spacing w:beforeAutospacing="0" w:afterAutospacing="0" w:line="240" w:lineRule="auto"/>
        <w:ind w:left="0" w:leftChars="0" w:firstLine="0" w:firstLineChars="0"/>
        <w:jc w:val="left"/>
        <w:outlineLvl w:val="4"/>
        <w:rPr>
          <w:rFonts w:ascii="Times New Roman" w:hAnsi="Times New Roman" w:eastAsia="宋体" w:cs="Times New Roman"/>
          <w:sz w:val="24"/>
        </w:rPr>
      </w:pPr>
      <w:r>
        <w:rPr>
          <w:rFonts w:ascii="Times New Roman" w:hAnsi="Times New Roman" w:eastAsia="宋体" w:cs="Times New Roman"/>
          <w:sz w:val="24"/>
        </w:rPr>
        <w:t>主要技术指标</w:t>
      </w:r>
    </w:p>
    <w:tbl>
      <w:tblPr>
        <w:tblStyle w:val="44"/>
        <w:tblpPr w:leftFromText="180" w:rightFromText="180" w:vertAnchor="text" w:horzAnchor="page" w:tblpX="1362" w:tblpY="454"/>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17"/>
        <w:gridCol w:w="2907"/>
        <w:gridCol w:w="5128"/>
      </w:tblGrid>
      <w:tr w14:paraId="7300F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5EFDCA8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序号</w:t>
            </w:r>
          </w:p>
        </w:tc>
        <w:tc>
          <w:tcPr>
            <w:tcW w:w="1505" w:type="pct"/>
            <w:vAlign w:val="center"/>
          </w:tcPr>
          <w:p w14:paraId="5644D5B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项目</w:t>
            </w:r>
          </w:p>
        </w:tc>
        <w:tc>
          <w:tcPr>
            <w:tcW w:w="2655" w:type="pct"/>
            <w:vAlign w:val="center"/>
          </w:tcPr>
          <w:p w14:paraId="0305C83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内容</w:t>
            </w:r>
          </w:p>
        </w:tc>
      </w:tr>
      <w:tr w14:paraId="5E9A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2C113A8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1</w:t>
            </w:r>
          </w:p>
        </w:tc>
        <w:tc>
          <w:tcPr>
            <w:tcW w:w="1505" w:type="pct"/>
            <w:vAlign w:val="center"/>
          </w:tcPr>
          <w:p w14:paraId="7C8C603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加注介质</w:t>
            </w:r>
          </w:p>
        </w:tc>
        <w:tc>
          <w:tcPr>
            <w:tcW w:w="2655" w:type="pct"/>
            <w:vAlign w:val="center"/>
          </w:tcPr>
          <w:p w14:paraId="0990CFB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制动液</w:t>
            </w:r>
            <w:r>
              <w:rPr>
                <w:rFonts w:ascii="宋体" w:hAnsi="宋体" w:eastAsia="宋体" w:cs="宋体"/>
                <w:bCs/>
                <w:sz w:val="24"/>
              </w:rPr>
              <w:t>DOT3或DOT4（待定）</w:t>
            </w:r>
          </w:p>
        </w:tc>
      </w:tr>
      <w:tr w14:paraId="5ED4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5B0C073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2</w:t>
            </w:r>
          </w:p>
        </w:tc>
        <w:tc>
          <w:tcPr>
            <w:tcW w:w="1505" w:type="pct"/>
            <w:vAlign w:val="center"/>
          </w:tcPr>
          <w:p w14:paraId="09BF9F7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密封性标准</w:t>
            </w:r>
          </w:p>
        </w:tc>
        <w:tc>
          <w:tcPr>
            <w:tcW w:w="2655" w:type="pct"/>
            <w:vAlign w:val="center"/>
          </w:tcPr>
          <w:p w14:paraId="4089774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泄漏量≤</w:t>
            </w:r>
            <w:r>
              <w:rPr>
                <w:rFonts w:ascii="宋体" w:hAnsi="宋体" w:eastAsia="宋体" w:cs="宋体"/>
                <w:bCs/>
                <w:sz w:val="24"/>
              </w:rPr>
              <w:t>1mbar/5s</w:t>
            </w:r>
          </w:p>
        </w:tc>
      </w:tr>
      <w:tr w14:paraId="49BB7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21DB43C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3</w:t>
            </w:r>
          </w:p>
        </w:tc>
        <w:tc>
          <w:tcPr>
            <w:tcW w:w="1505" w:type="pct"/>
            <w:vAlign w:val="center"/>
          </w:tcPr>
          <w:p w14:paraId="429EA3F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加注枪端最低真空</w:t>
            </w:r>
          </w:p>
        </w:tc>
        <w:tc>
          <w:tcPr>
            <w:tcW w:w="2655" w:type="pct"/>
            <w:vAlign w:val="center"/>
          </w:tcPr>
          <w:p w14:paraId="4A7E8C2E">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w:t>
            </w:r>
            <w:r>
              <w:rPr>
                <w:rFonts w:ascii="宋体" w:hAnsi="宋体" w:eastAsia="宋体" w:cs="宋体"/>
                <w:bCs/>
                <w:sz w:val="24"/>
              </w:rPr>
              <w:t>2mbar</w:t>
            </w:r>
          </w:p>
        </w:tc>
      </w:tr>
      <w:tr w14:paraId="1FEB4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38" w:type="pct"/>
            <w:vAlign w:val="center"/>
          </w:tcPr>
          <w:p w14:paraId="75610A0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4</w:t>
            </w:r>
          </w:p>
        </w:tc>
        <w:tc>
          <w:tcPr>
            <w:tcW w:w="1505" w:type="pct"/>
            <w:vAlign w:val="center"/>
          </w:tcPr>
          <w:p w14:paraId="684AC8D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电子真空渗漏检测系统</w:t>
            </w:r>
          </w:p>
        </w:tc>
        <w:tc>
          <w:tcPr>
            <w:tcW w:w="2655" w:type="pct"/>
            <w:vAlign w:val="center"/>
          </w:tcPr>
          <w:p w14:paraId="5CF2E05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精度±</w:t>
            </w:r>
            <w:r>
              <w:rPr>
                <w:rFonts w:ascii="宋体" w:hAnsi="宋体" w:eastAsia="宋体" w:cs="宋体"/>
                <w:bCs/>
                <w:sz w:val="24"/>
              </w:rPr>
              <w:t>0.1%，检测范围0-250mbar</w:t>
            </w:r>
          </w:p>
        </w:tc>
      </w:tr>
      <w:tr w14:paraId="4515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1D15C62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5</w:t>
            </w:r>
          </w:p>
        </w:tc>
        <w:tc>
          <w:tcPr>
            <w:tcW w:w="1505" w:type="pct"/>
            <w:vAlign w:val="center"/>
          </w:tcPr>
          <w:p w14:paraId="5EFAA29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生产噪音</w:t>
            </w:r>
          </w:p>
        </w:tc>
        <w:tc>
          <w:tcPr>
            <w:tcW w:w="2655" w:type="pct"/>
            <w:vAlign w:val="center"/>
          </w:tcPr>
          <w:p w14:paraId="2A7E834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w:t>
            </w:r>
            <w:r>
              <w:rPr>
                <w:rFonts w:ascii="宋体" w:hAnsi="宋体" w:eastAsia="宋体" w:cs="宋体"/>
                <w:bCs/>
                <w:sz w:val="24"/>
              </w:rPr>
              <w:t>70db</w:t>
            </w:r>
          </w:p>
        </w:tc>
      </w:tr>
      <w:tr w14:paraId="134B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4F65B9C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6</w:t>
            </w:r>
          </w:p>
        </w:tc>
        <w:tc>
          <w:tcPr>
            <w:tcW w:w="1505" w:type="pct"/>
            <w:vAlign w:val="center"/>
          </w:tcPr>
          <w:p w14:paraId="4CEF286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加注压力</w:t>
            </w:r>
          </w:p>
        </w:tc>
        <w:tc>
          <w:tcPr>
            <w:tcW w:w="2655" w:type="pct"/>
            <w:vAlign w:val="center"/>
          </w:tcPr>
          <w:p w14:paraId="2B65578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3-6bar</w:t>
            </w:r>
          </w:p>
        </w:tc>
      </w:tr>
      <w:tr w14:paraId="58F88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4D1D64B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7</w:t>
            </w:r>
          </w:p>
        </w:tc>
        <w:tc>
          <w:tcPr>
            <w:tcW w:w="1505" w:type="pct"/>
            <w:vAlign w:val="center"/>
          </w:tcPr>
          <w:p w14:paraId="480D86E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加注压力传感器</w:t>
            </w:r>
          </w:p>
        </w:tc>
        <w:tc>
          <w:tcPr>
            <w:tcW w:w="2655" w:type="pct"/>
            <w:vAlign w:val="center"/>
          </w:tcPr>
          <w:p w14:paraId="2F96234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精度±</w:t>
            </w:r>
            <w:r>
              <w:rPr>
                <w:rFonts w:ascii="宋体" w:hAnsi="宋体" w:eastAsia="宋体" w:cs="宋体"/>
                <w:bCs/>
                <w:sz w:val="24"/>
              </w:rPr>
              <w:t>25mbar，测量范围0-4000mbr</w:t>
            </w:r>
          </w:p>
        </w:tc>
      </w:tr>
      <w:tr w14:paraId="37319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172DDCB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8</w:t>
            </w:r>
          </w:p>
        </w:tc>
        <w:tc>
          <w:tcPr>
            <w:tcW w:w="1505" w:type="pct"/>
            <w:vAlign w:val="center"/>
          </w:tcPr>
          <w:p w14:paraId="61D1BBD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加注节拍</w:t>
            </w:r>
          </w:p>
        </w:tc>
        <w:tc>
          <w:tcPr>
            <w:tcW w:w="2655" w:type="pct"/>
            <w:vAlign w:val="center"/>
          </w:tcPr>
          <w:p w14:paraId="5135156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w:t>
            </w:r>
            <w:r>
              <w:rPr>
                <w:rFonts w:ascii="宋体" w:hAnsi="宋体" w:eastAsia="宋体" w:cs="宋体"/>
                <w:bCs/>
                <w:sz w:val="24"/>
              </w:rPr>
              <w:t>200s</w:t>
            </w:r>
          </w:p>
        </w:tc>
      </w:tr>
      <w:tr w14:paraId="003A0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79B1172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9</w:t>
            </w:r>
          </w:p>
        </w:tc>
        <w:tc>
          <w:tcPr>
            <w:tcW w:w="1505" w:type="pct"/>
            <w:vAlign w:val="center"/>
          </w:tcPr>
          <w:p w14:paraId="446D1CF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加注液位要求</w:t>
            </w:r>
          </w:p>
        </w:tc>
        <w:tc>
          <w:tcPr>
            <w:tcW w:w="2655" w:type="pct"/>
            <w:vAlign w:val="center"/>
          </w:tcPr>
          <w:p w14:paraId="45516F5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+5/-3mm</w:t>
            </w:r>
          </w:p>
        </w:tc>
      </w:tr>
      <w:tr w14:paraId="5D47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838" w:type="pct"/>
            <w:vAlign w:val="center"/>
          </w:tcPr>
          <w:p w14:paraId="71B06AD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10</w:t>
            </w:r>
          </w:p>
        </w:tc>
        <w:tc>
          <w:tcPr>
            <w:tcW w:w="1505" w:type="pct"/>
            <w:vAlign w:val="center"/>
          </w:tcPr>
          <w:p w14:paraId="340E5B3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补液形式</w:t>
            </w:r>
          </w:p>
        </w:tc>
        <w:tc>
          <w:tcPr>
            <w:tcW w:w="2655" w:type="pct"/>
            <w:vAlign w:val="center"/>
          </w:tcPr>
          <w:p w14:paraId="16FAD86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线边供液</w:t>
            </w:r>
          </w:p>
        </w:tc>
      </w:tr>
      <w:tr w14:paraId="351AA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838" w:type="pct"/>
            <w:vAlign w:val="center"/>
          </w:tcPr>
          <w:p w14:paraId="6590A6C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11</w:t>
            </w:r>
          </w:p>
        </w:tc>
        <w:tc>
          <w:tcPr>
            <w:tcW w:w="1505" w:type="pct"/>
            <w:vAlign w:val="center"/>
          </w:tcPr>
          <w:p w14:paraId="6BE4914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操作系统</w:t>
            </w:r>
          </w:p>
        </w:tc>
        <w:tc>
          <w:tcPr>
            <w:tcW w:w="2655" w:type="pct"/>
            <w:vAlign w:val="center"/>
          </w:tcPr>
          <w:p w14:paraId="0A8CD0D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PLC+9英寸以上触摸屏，具备10种以上加注程序的设定</w:t>
            </w:r>
          </w:p>
        </w:tc>
      </w:tr>
    </w:tbl>
    <w:p w14:paraId="01837E1C">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b/>
          <w:sz w:val="24"/>
        </w:rPr>
      </w:pPr>
      <w:r>
        <w:rPr>
          <w:rFonts w:ascii="Times New Roman" w:hAnsi="Times New Roman" w:eastAsia="宋体" w:cs="Times New Roman"/>
          <w:b w:val="0"/>
          <w:bCs/>
          <w:sz w:val="24"/>
        </w:rPr>
        <w:t>主要部件品牌要求</w:t>
      </w:r>
      <w:r>
        <w:rPr>
          <w:rFonts w:hint="eastAsia" w:ascii="Times New Roman" w:hAnsi="Times New Roman" w:eastAsia="宋体" w:cs="Times New Roman"/>
          <w:b w:val="0"/>
          <w:bCs/>
          <w:sz w:val="24"/>
          <w:lang w:eastAsia="zh-CN"/>
        </w:rPr>
        <w:t>（投标人</w:t>
      </w:r>
      <w:r>
        <w:rPr>
          <w:rFonts w:ascii="Times New Roman" w:hAnsi="Times New Roman" w:eastAsia="宋体" w:cs="Times New Roman"/>
          <w:b w:val="0"/>
          <w:bCs/>
          <w:sz w:val="24"/>
        </w:rPr>
        <w:t>需选用高于或行业同等水平的品牌部件）</w:t>
      </w:r>
    </w:p>
    <w:tbl>
      <w:tblPr>
        <w:tblStyle w:val="4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8"/>
        <w:gridCol w:w="2939"/>
        <w:gridCol w:w="3298"/>
        <w:gridCol w:w="1627"/>
      </w:tblGrid>
      <w:tr w14:paraId="0CBB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Align w:val="center"/>
          </w:tcPr>
          <w:p w14:paraId="16F35CC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eastAsia="宋体" w:cs="宋体"/>
                <w:b w:val="0"/>
                <w:bCs/>
                <w:snapToGrid w:val="0"/>
                <w:kern w:val="0"/>
                <w:sz w:val="24"/>
              </w:rPr>
              <w:t>项目</w:t>
            </w:r>
          </w:p>
        </w:tc>
        <w:tc>
          <w:tcPr>
            <w:tcW w:w="1523" w:type="pct"/>
            <w:vAlign w:val="center"/>
          </w:tcPr>
          <w:p w14:paraId="3EB63FF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eastAsia="宋体" w:cs="宋体"/>
                <w:b w:val="0"/>
                <w:bCs/>
                <w:snapToGrid w:val="0"/>
                <w:kern w:val="0"/>
                <w:sz w:val="24"/>
              </w:rPr>
              <w:t>零部件</w:t>
            </w:r>
          </w:p>
        </w:tc>
        <w:tc>
          <w:tcPr>
            <w:tcW w:w="1709" w:type="pct"/>
            <w:vAlign w:val="center"/>
          </w:tcPr>
          <w:p w14:paraId="5B19CBC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eastAsia="宋体" w:cs="宋体"/>
                <w:b w:val="0"/>
                <w:bCs/>
                <w:snapToGrid w:val="0"/>
                <w:kern w:val="0"/>
                <w:sz w:val="24"/>
                <w:lang w:val="en-US" w:eastAsia="zh-CN"/>
              </w:rPr>
              <w:t>相当于或优于以下</w:t>
            </w:r>
            <w:r>
              <w:rPr>
                <w:rFonts w:hint="eastAsia" w:ascii="宋体" w:hAnsi="宋体" w:eastAsia="宋体" w:cs="宋体"/>
                <w:b w:val="0"/>
                <w:bCs/>
                <w:snapToGrid w:val="0"/>
                <w:kern w:val="0"/>
                <w:sz w:val="24"/>
              </w:rPr>
              <w:t>品牌</w:t>
            </w:r>
          </w:p>
        </w:tc>
        <w:tc>
          <w:tcPr>
            <w:tcW w:w="843" w:type="pct"/>
            <w:vAlign w:val="center"/>
          </w:tcPr>
          <w:p w14:paraId="598C435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 w:val="0"/>
                <w:bCs/>
                <w:snapToGrid w:val="0"/>
                <w:kern w:val="0"/>
                <w:sz w:val="24"/>
              </w:rPr>
            </w:pPr>
            <w:r>
              <w:rPr>
                <w:rFonts w:hint="eastAsia" w:ascii="宋体" w:hAnsi="宋体" w:eastAsia="宋体" w:cs="宋体"/>
                <w:b w:val="0"/>
                <w:bCs/>
                <w:snapToGrid w:val="0"/>
                <w:kern w:val="0"/>
                <w:sz w:val="24"/>
              </w:rPr>
              <w:t>备注</w:t>
            </w:r>
          </w:p>
        </w:tc>
      </w:tr>
      <w:tr w14:paraId="2691E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restart"/>
            <w:vAlign w:val="center"/>
          </w:tcPr>
          <w:p w14:paraId="0348578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制动液</w:t>
            </w:r>
          </w:p>
        </w:tc>
        <w:tc>
          <w:tcPr>
            <w:tcW w:w="1523" w:type="pct"/>
            <w:vAlign w:val="center"/>
          </w:tcPr>
          <w:p w14:paraId="609C3B7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真空泵</w:t>
            </w:r>
          </w:p>
        </w:tc>
        <w:tc>
          <w:tcPr>
            <w:tcW w:w="1709" w:type="pct"/>
            <w:vAlign w:val="center"/>
          </w:tcPr>
          <w:p w14:paraId="791F244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Cs/>
                <w:snapToGrid w:val="0"/>
                <w:kern w:val="0"/>
                <w:sz w:val="24"/>
                <w:szCs w:val="24"/>
                <w:lang w:val="en-US" w:eastAsia="zh-CN"/>
              </w:rPr>
            </w:pPr>
            <w:r>
              <w:rPr>
                <w:rFonts w:hint="eastAsia" w:ascii="宋体" w:hAnsi="宋体" w:eastAsia="宋体" w:cs="Arial"/>
                <w:bCs/>
                <w:color w:val="000000"/>
                <w:spacing w:val="6"/>
                <w:sz w:val="24"/>
                <w:szCs w:val="24"/>
              </w:rPr>
              <w:t>克拉克</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ITT LOWARA</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格兰富</w:t>
            </w:r>
          </w:p>
        </w:tc>
        <w:tc>
          <w:tcPr>
            <w:tcW w:w="843" w:type="pct"/>
            <w:vAlign w:val="center"/>
          </w:tcPr>
          <w:p w14:paraId="4A28BD10">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65A3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18E6BED6">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182DFA6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磁耦合加注泵</w:t>
            </w:r>
          </w:p>
        </w:tc>
        <w:tc>
          <w:tcPr>
            <w:tcW w:w="1709" w:type="pct"/>
            <w:vAlign w:val="center"/>
          </w:tcPr>
          <w:p w14:paraId="73A7A57F">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snapToGrid w:val="0"/>
                <w:kern w:val="0"/>
                <w:sz w:val="24"/>
                <w:szCs w:val="24"/>
              </w:rPr>
            </w:pPr>
            <w:r>
              <w:rPr>
                <w:rFonts w:hint="eastAsia" w:ascii="宋体" w:hAnsi="宋体" w:eastAsia="宋体" w:cs="Arial"/>
                <w:bCs/>
                <w:color w:val="000000"/>
                <w:spacing w:val="6"/>
                <w:sz w:val="24"/>
                <w:szCs w:val="24"/>
              </w:rPr>
              <w:t>克拉克</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ITT LOWARA</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格兰富</w:t>
            </w:r>
          </w:p>
        </w:tc>
        <w:tc>
          <w:tcPr>
            <w:tcW w:w="843" w:type="pct"/>
            <w:vAlign w:val="center"/>
          </w:tcPr>
          <w:p w14:paraId="439CBBC2">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7BFF4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1EA049CF">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6E0948B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流体阀</w:t>
            </w:r>
          </w:p>
        </w:tc>
        <w:tc>
          <w:tcPr>
            <w:tcW w:w="1709" w:type="pct"/>
            <w:vAlign w:val="center"/>
          </w:tcPr>
          <w:p w14:paraId="6EA0B98D">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napToGrid w:val="0"/>
                <w:color w:val="000000"/>
                <w:kern w:val="0"/>
                <w:sz w:val="24"/>
                <w:szCs w:val="24"/>
                <w:lang w:bidi="ar"/>
              </w:rPr>
            </w:pPr>
            <w:r>
              <w:rPr>
                <w:rFonts w:ascii="宋体" w:hAnsi="宋体" w:eastAsia="宋体" w:cs="宋体"/>
                <w:snapToGrid w:val="0"/>
                <w:color w:val="000000"/>
                <w:kern w:val="0"/>
                <w:sz w:val="24"/>
                <w:szCs w:val="24"/>
                <w:lang w:bidi="ar"/>
              </w:rPr>
              <w:t>ASCO/宝德/海菲勒</w:t>
            </w:r>
          </w:p>
        </w:tc>
        <w:tc>
          <w:tcPr>
            <w:tcW w:w="843" w:type="pct"/>
            <w:vAlign w:val="center"/>
          </w:tcPr>
          <w:p w14:paraId="00527E47">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5D38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687B794F">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4CF8F6B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过滤器</w:t>
            </w:r>
          </w:p>
        </w:tc>
        <w:tc>
          <w:tcPr>
            <w:tcW w:w="1709" w:type="pct"/>
            <w:vAlign w:val="center"/>
          </w:tcPr>
          <w:p w14:paraId="09663A6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snapToGrid w:val="0"/>
                <w:color w:val="000000"/>
                <w:kern w:val="0"/>
                <w:sz w:val="24"/>
                <w:szCs w:val="24"/>
                <w:lang w:val="en-US" w:eastAsia="zh-CN" w:bidi="ar"/>
              </w:rPr>
            </w:pPr>
            <w:bookmarkStart w:id="333" w:name="OLE_LINK7"/>
            <w:r>
              <w:rPr>
                <w:rFonts w:hint="eastAsia" w:ascii="宋体" w:hAnsi="宋体" w:eastAsia="宋体" w:cs="Arial"/>
                <w:bCs/>
                <w:color w:val="000000"/>
                <w:spacing w:val="6"/>
                <w:sz w:val="24"/>
                <w:szCs w:val="24"/>
              </w:rPr>
              <w:t>诺冠</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唐纳森</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丹佛斯</w:t>
            </w:r>
            <w:bookmarkEnd w:id="333"/>
          </w:p>
        </w:tc>
        <w:tc>
          <w:tcPr>
            <w:tcW w:w="843" w:type="pct"/>
            <w:vAlign w:val="center"/>
          </w:tcPr>
          <w:p w14:paraId="21F2DB35">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7499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0D550CE8">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056C649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真空计</w:t>
            </w:r>
            <w:r>
              <w:rPr>
                <w:rFonts w:ascii="宋体" w:hAnsi="宋体" w:eastAsia="宋体" w:cs="宋体"/>
                <w:bCs/>
                <w:snapToGrid w:val="0"/>
                <w:kern w:val="0"/>
                <w:sz w:val="24"/>
              </w:rPr>
              <w:t>/压力传感器</w:t>
            </w:r>
          </w:p>
        </w:tc>
        <w:tc>
          <w:tcPr>
            <w:tcW w:w="1709" w:type="pct"/>
            <w:vAlign w:val="center"/>
          </w:tcPr>
          <w:p w14:paraId="734C200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snapToGrid w:val="0"/>
                <w:color w:val="000000"/>
                <w:kern w:val="0"/>
                <w:sz w:val="24"/>
                <w:szCs w:val="24"/>
                <w:lang w:val="en-US" w:eastAsia="zh-CN" w:bidi="ar"/>
              </w:rPr>
            </w:pPr>
            <w:bookmarkStart w:id="334" w:name="OLE_LINK9"/>
            <w:r>
              <w:rPr>
                <w:rFonts w:hint="eastAsia" w:ascii="宋体" w:hAnsi="宋体" w:eastAsia="宋体" w:cs="Arial"/>
                <w:bCs/>
                <w:color w:val="000000"/>
                <w:spacing w:val="6"/>
                <w:sz w:val="24"/>
                <w:szCs w:val="24"/>
              </w:rPr>
              <w:t>恩德斯豪斯</w:t>
            </w:r>
            <w:r>
              <w:rPr>
                <w:rFonts w:hint="eastAsia" w:ascii="宋体" w:hAnsi="宋体" w:eastAsia="宋体" w:cs="宋体"/>
                <w:snapToGrid w:val="0"/>
                <w:color w:val="000000"/>
                <w:kern w:val="0"/>
                <w:sz w:val="24"/>
                <w:szCs w:val="24"/>
                <w:lang w:val="en-US" w:eastAsia="zh-CN" w:bidi="ar"/>
              </w:rPr>
              <w:t>/</w:t>
            </w:r>
            <w:bookmarkStart w:id="335" w:name="OLE_LINK6"/>
            <w:r>
              <w:rPr>
                <w:rFonts w:hint="eastAsia" w:ascii="宋体" w:hAnsi="宋体" w:eastAsia="宋体" w:cs="Arial"/>
                <w:bCs/>
                <w:color w:val="000000"/>
                <w:spacing w:val="6"/>
                <w:sz w:val="24"/>
                <w:szCs w:val="24"/>
              </w:rPr>
              <w:t>克拉克</w:t>
            </w:r>
            <w:bookmarkEnd w:id="335"/>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DRUCKMESS-TECHNIC</w:t>
            </w:r>
            <w:bookmarkEnd w:id="334"/>
          </w:p>
        </w:tc>
        <w:tc>
          <w:tcPr>
            <w:tcW w:w="843" w:type="pct"/>
            <w:vAlign w:val="center"/>
          </w:tcPr>
          <w:p w14:paraId="0DCCD514">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4C21F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4816340F">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19B25E3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流量计</w:t>
            </w:r>
          </w:p>
        </w:tc>
        <w:tc>
          <w:tcPr>
            <w:tcW w:w="1709" w:type="pct"/>
            <w:vAlign w:val="center"/>
          </w:tcPr>
          <w:p w14:paraId="6ED31D8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snapToGrid w:val="0"/>
                <w:color w:val="000000"/>
                <w:kern w:val="0"/>
                <w:sz w:val="24"/>
                <w:szCs w:val="24"/>
                <w:lang w:val="en-US" w:eastAsia="zh-CN" w:bidi="ar"/>
              </w:rPr>
            </w:pPr>
            <w:bookmarkStart w:id="336" w:name="OLE_LINK8"/>
            <w:r>
              <w:rPr>
                <w:rFonts w:hint="eastAsia" w:ascii="宋体" w:hAnsi="宋体" w:eastAsia="宋体" w:cs="Arial"/>
                <w:bCs/>
                <w:color w:val="000000"/>
                <w:spacing w:val="6"/>
                <w:sz w:val="24"/>
                <w:szCs w:val="24"/>
              </w:rPr>
              <w:t>宝德</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恩德斯豪斯</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克拉克</w:t>
            </w:r>
            <w:bookmarkEnd w:id="336"/>
          </w:p>
        </w:tc>
        <w:tc>
          <w:tcPr>
            <w:tcW w:w="843" w:type="pct"/>
            <w:vAlign w:val="center"/>
          </w:tcPr>
          <w:p w14:paraId="71769818">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73C04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7D9E2FC8">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024FC16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排气过滤器</w:t>
            </w:r>
          </w:p>
        </w:tc>
        <w:tc>
          <w:tcPr>
            <w:tcW w:w="1709" w:type="pct"/>
            <w:vAlign w:val="center"/>
          </w:tcPr>
          <w:p w14:paraId="7E83A6D9">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napToGrid w:val="0"/>
                <w:color w:val="000000"/>
                <w:kern w:val="0"/>
                <w:sz w:val="24"/>
                <w:szCs w:val="24"/>
                <w:lang w:bidi="ar"/>
              </w:rPr>
            </w:pPr>
            <w:bookmarkStart w:id="337" w:name="OLE_LINK12"/>
            <w:r>
              <w:rPr>
                <w:rFonts w:hint="eastAsia" w:ascii="宋体" w:hAnsi="宋体" w:eastAsia="宋体" w:cs="Arial"/>
                <w:bCs/>
                <w:color w:val="000000"/>
                <w:spacing w:val="6"/>
                <w:sz w:val="24"/>
                <w:szCs w:val="24"/>
              </w:rPr>
              <w:t>诺冠</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唐纳森</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丹佛斯</w:t>
            </w:r>
            <w:bookmarkEnd w:id="337"/>
          </w:p>
        </w:tc>
        <w:tc>
          <w:tcPr>
            <w:tcW w:w="843" w:type="pct"/>
            <w:vAlign w:val="center"/>
          </w:tcPr>
          <w:p w14:paraId="2A6CF310">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243CD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restart"/>
            <w:vAlign w:val="center"/>
          </w:tcPr>
          <w:p w14:paraId="7D9F23B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冷媒</w:t>
            </w:r>
          </w:p>
        </w:tc>
        <w:tc>
          <w:tcPr>
            <w:tcW w:w="1523" w:type="pct"/>
            <w:vAlign w:val="center"/>
          </w:tcPr>
          <w:p w14:paraId="137EB3C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增压泵</w:t>
            </w:r>
          </w:p>
        </w:tc>
        <w:tc>
          <w:tcPr>
            <w:tcW w:w="1709" w:type="pct"/>
            <w:vAlign w:val="center"/>
          </w:tcPr>
          <w:p w14:paraId="6610C3C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snapToGrid w:val="0"/>
                <w:color w:val="000000"/>
                <w:kern w:val="0"/>
                <w:sz w:val="24"/>
                <w:szCs w:val="24"/>
                <w:lang w:val="en-US" w:eastAsia="zh-CN" w:bidi="ar"/>
              </w:rPr>
            </w:pPr>
            <w:r>
              <w:rPr>
                <w:rFonts w:hint="eastAsia" w:ascii="宋体" w:hAnsi="宋体" w:eastAsia="宋体" w:cs="Arial"/>
                <w:bCs/>
                <w:color w:val="000000"/>
                <w:spacing w:val="6"/>
                <w:sz w:val="24"/>
                <w:szCs w:val="24"/>
              </w:rPr>
              <w:t>HASKEL</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固瑞克</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克拉克</w:t>
            </w:r>
          </w:p>
        </w:tc>
        <w:tc>
          <w:tcPr>
            <w:tcW w:w="843" w:type="pct"/>
            <w:vAlign w:val="center"/>
          </w:tcPr>
          <w:p w14:paraId="0132BCF2">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44C4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59EC123A">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75280CC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真空泵</w:t>
            </w:r>
          </w:p>
        </w:tc>
        <w:tc>
          <w:tcPr>
            <w:tcW w:w="1709" w:type="pct"/>
            <w:vAlign w:val="center"/>
          </w:tcPr>
          <w:p w14:paraId="11032C0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napToGrid w:val="0"/>
                <w:color w:val="000000"/>
                <w:kern w:val="0"/>
                <w:sz w:val="24"/>
                <w:szCs w:val="24"/>
                <w:lang w:bidi="ar"/>
              </w:rPr>
            </w:pPr>
            <w:bookmarkStart w:id="338" w:name="OLE_LINK13"/>
            <w:r>
              <w:rPr>
                <w:rFonts w:hint="eastAsia" w:ascii="宋体" w:hAnsi="宋体" w:eastAsia="宋体" w:cs="Arial"/>
                <w:bCs/>
                <w:color w:val="000000"/>
                <w:spacing w:val="6"/>
                <w:sz w:val="24"/>
                <w:szCs w:val="24"/>
              </w:rPr>
              <w:t>克拉克</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ITT LOWARA</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格兰富</w:t>
            </w:r>
            <w:bookmarkEnd w:id="338"/>
          </w:p>
        </w:tc>
        <w:tc>
          <w:tcPr>
            <w:tcW w:w="843" w:type="pct"/>
            <w:vAlign w:val="center"/>
          </w:tcPr>
          <w:p w14:paraId="4B91EB5D">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1068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7D117E78">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09C0071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质量流量计</w:t>
            </w:r>
          </w:p>
        </w:tc>
        <w:tc>
          <w:tcPr>
            <w:tcW w:w="1709" w:type="pct"/>
            <w:vAlign w:val="center"/>
          </w:tcPr>
          <w:p w14:paraId="7C43028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napToGrid w:val="0"/>
                <w:color w:val="000000"/>
                <w:kern w:val="0"/>
                <w:sz w:val="24"/>
                <w:szCs w:val="24"/>
                <w:lang w:bidi="ar"/>
              </w:rPr>
            </w:pPr>
            <w:bookmarkStart w:id="339" w:name="OLE_LINK15"/>
            <w:r>
              <w:rPr>
                <w:rFonts w:hint="eastAsia" w:ascii="宋体" w:hAnsi="宋体" w:eastAsia="宋体" w:cs="Arial"/>
                <w:bCs/>
                <w:color w:val="000000"/>
                <w:spacing w:val="6"/>
                <w:sz w:val="24"/>
                <w:szCs w:val="24"/>
              </w:rPr>
              <w:t>宝德</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恩德斯豪斯</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克拉克</w:t>
            </w:r>
            <w:bookmarkEnd w:id="339"/>
          </w:p>
        </w:tc>
        <w:tc>
          <w:tcPr>
            <w:tcW w:w="843" w:type="pct"/>
            <w:vAlign w:val="center"/>
          </w:tcPr>
          <w:p w14:paraId="151C287F">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1C742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4CD80C98">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c>
          <w:tcPr>
            <w:tcW w:w="1523" w:type="pct"/>
            <w:vAlign w:val="center"/>
          </w:tcPr>
          <w:p w14:paraId="32BD63C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真空传感器</w:t>
            </w:r>
          </w:p>
        </w:tc>
        <w:tc>
          <w:tcPr>
            <w:tcW w:w="1709" w:type="pct"/>
            <w:vAlign w:val="center"/>
          </w:tcPr>
          <w:p w14:paraId="3E3BC220">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napToGrid w:val="0"/>
                <w:color w:val="000000"/>
                <w:kern w:val="0"/>
                <w:sz w:val="24"/>
                <w:szCs w:val="24"/>
                <w:lang w:bidi="ar"/>
              </w:rPr>
            </w:pPr>
            <w:r>
              <w:rPr>
                <w:rFonts w:hint="eastAsia" w:ascii="宋体" w:hAnsi="宋体" w:eastAsia="宋体" w:cs="Arial"/>
                <w:bCs/>
                <w:color w:val="000000"/>
                <w:spacing w:val="6"/>
                <w:sz w:val="24"/>
                <w:szCs w:val="24"/>
              </w:rPr>
              <w:t>恩德斯豪斯</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克拉克</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DRUCKMESS-TECHNIC</w:t>
            </w:r>
          </w:p>
        </w:tc>
        <w:tc>
          <w:tcPr>
            <w:tcW w:w="843" w:type="pct"/>
            <w:vAlign w:val="center"/>
          </w:tcPr>
          <w:p w14:paraId="4EB785FB">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72B5B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restart"/>
            <w:vAlign w:val="center"/>
          </w:tcPr>
          <w:p w14:paraId="522415E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防冻液</w:t>
            </w:r>
          </w:p>
        </w:tc>
        <w:tc>
          <w:tcPr>
            <w:tcW w:w="1523" w:type="pct"/>
            <w:vAlign w:val="center"/>
          </w:tcPr>
          <w:p w14:paraId="7AFB87D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napToGrid w:val="0"/>
                <w:kern w:val="0"/>
                <w:sz w:val="24"/>
              </w:rPr>
            </w:pPr>
            <w:r>
              <w:rPr>
                <w:rFonts w:hint="eastAsia" w:ascii="宋体" w:hAnsi="宋体" w:eastAsia="宋体" w:cs="宋体"/>
                <w:bCs/>
                <w:snapToGrid w:val="0"/>
                <w:kern w:val="0"/>
                <w:sz w:val="24"/>
              </w:rPr>
              <w:t>加注泵</w:t>
            </w:r>
          </w:p>
        </w:tc>
        <w:tc>
          <w:tcPr>
            <w:tcW w:w="1709" w:type="pct"/>
            <w:vAlign w:val="center"/>
          </w:tcPr>
          <w:p w14:paraId="316109F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napToGrid w:val="0"/>
                <w:color w:val="000000"/>
                <w:kern w:val="0"/>
                <w:sz w:val="24"/>
                <w:szCs w:val="24"/>
                <w:lang w:bidi="ar"/>
              </w:rPr>
            </w:pPr>
            <w:bookmarkStart w:id="340" w:name="OLE_LINK16"/>
            <w:r>
              <w:rPr>
                <w:rFonts w:hint="eastAsia" w:ascii="宋体" w:hAnsi="宋体" w:eastAsia="宋体" w:cs="Arial"/>
                <w:bCs/>
                <w:color w:val="000000"/>
                <w:spacing w:val="6"/>
                <w:sz w:val="24"/>
                <w:szCs w:val="24"/>
              </w:rPr>
              <w:t>克拉克</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ITT LOWARA</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格兰富</w:t>
            </w:r>
            <w:bookmarkEnd w:id="340"/>
          </w:p>
        </w:tc>
        <w:tc>
          <w:tcPr>
            <w:tcW w:w="843" w:type="pct"/>
            <w:vAlign w:val="center"/>
          </w:tcPr>
          <w:p w14:paraId="09F5BD1E">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napToGrid w:val="0"/>
                <w:kern w:val="0"/>
                <w:sz w:val="24"/>
              </w:rPr>
            </w:pPr>
          </w:p>
        </w:tc>
      </w:tr>
      <w:tr w14:paraId="56986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49D36EFE">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c>
          <w:tcPr>
            <w:tcW w:w="1523" w:type="pct"/>
            <w:vAlign w:val="center"/>
          </w:tcPr>
          <w:p w14:paraId="4B3C285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bCs/>
                <w:sz w:val="24"/>
                <w:szCs w:val="24"/>
              </w:rPr>
            </w:pPr>
            <w:r>
              <w:rPr>
                <w:rFonts w:hint="eastAsia" w:ascii="宋体" w:hAnsi="宋体" w:eastAsia="宋体" w:cs="宋体"/>
                <w:color w:val="000000"/>
                <w:kern w:val="0"/>
                <w:sz w:val="24"/>
                <w:szCs w:val="24"/>
                <w:lang w:bidi="ar"/>
              </w:rPr>
              <w:t>过滤器</w:t>
            </w:r>
          </w:p>
        </w:tc>
        <w:tc>
          <w:tcPr>
            <w:tcW w:w="1709" w:type="pct"/>
            <w:vAlign w:val="center"/>
          </w:tcPr>
          <w:p w14:paraId="02ED89B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Arial"/>
                <w:bCs/>
                <w:color w:val="000000"/>
                <w:spacing w:val="6"/>
                <w:sz w:val="24"/>
                <w:szCs w:val="24"/>
              </w:rPr>
              <w:t>诺冠</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唐纳森</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丹佛斯</w:t>
            </w:r>
          </w:p>
        </w:tc>
        <w:tc>
          <w:tcPr>
            <w:tcW w:w="843" w:type="pct"/>
            <w:vAlign w:val="center"/>
          </w:tcPr>
          <w:p w14:paraId="1E733C6F">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r w14:paraId="20DD0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22" w:type="pct"/>
            <w:vMerge w:val="continue"/>
            <w:vAlign w:val="center"/>
          </w:tcPr>
          <w:p w14:paraId="7C7F8B14">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c>
          <w:tcPr>
            <w:tcW w:w="1523" w:type="pct"/>
            <w:vAlign w:val="center"/>
          </w:tcPr>
          <w:p w14:paraId="425FBA8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真空泵</w:t>
            </w:r>
          </w:p>
        </w:tc>
        <w:tc>
          <w:tcPr>
            <w:tcW w:w="1709" w:type="pct"/>
            <w:vAlign w:val="center"/>
          </w:tcPr>
          <w:p w14:paraId="48E8FC3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Arial"/>
                <w:bCs/>
                <w:color w:val="000000"/>
                <w:spacing w:val="6"/>
                <w:sz w:val="24"/>
                <w:szCs w:val="24"/>
              </w:rPr>
              <w:t>克拉克</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ITT LOWARA</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格兰富</w:t>
            </w:r>
          </w:p>
        </w:tc>
        <w:tc>
          <w:tcPr>
            <w:tcW w:w="843" w:type="pct"/>
            <w:vAlign w:val="center"/>
          </w:tcPr>
          <w:p w14:paraId="51E171F7">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r w14:paraId="5DA1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73A1C7DD">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c>
          <w:tcPr>
            <w:tcW w:w="1523" w:type="pct"/>
            <w:vAlign w:val="center"/>
          </w:tcPr>
          <w:p w14:paraId="07C451B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真空传感器</w:t>
            </w:r>
          </w:p>
        </w:tc>
        <w:tc>
          <w:tcPr>
            <w:tcW w:w="1709" w:type="pct"/>
            <w:vAlign w:val="center"/>
          </w:tcPr>
          <w:p w14:paraId="1FE5F8DB">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Arial"/>
                <w:bCs/>
                <w:color w:val="000000"/>
                <w:spacing w:val="6"/>
                <w:sz w:val="24"/>
                <w:szCs w:val="24"/>
              </w:rPr>
              <w:t>恩德斯豪斯</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克拉克</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DRUCKMESS-TECHNIC</w:t>
            </w:r>
          </w:p>
        </w:tc>
        <w:tc>
          <w:tcPr>
            <w:tcW w:w="843" w:type="pct"/>
            <w:vAlign w:val="center"/>
          </w:tcPr>
          <w:p w14:paraId="37906028">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r w14:paraId="77419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007843F1">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c>
          <w:tcPr>
            <w:tcW w:w="1523" w:type="pct"/>
            <w:vAlign w:val="center"/>
          </w:tcPr>
          <w:p w14:paraId="0512D73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流量计</w:t>
            </w:r>
          </w:p>
        </w:tc>
        <w:tc>
          <w:tcPr>
            <w:tcW w:w="1709" w:type="pct"/>
            <w:vAlign w:val="center"/>
          </w:tcPr>
          <w:p w14:paraId="3D596266">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Arial"/>
                <w:bCs/>
                <w:color w:val="000000"/>
                <w:spacing w:val="6"/>
                <w:sz w:val="24"/>
                <w:szCs w:val="24"/>
              </w:rPr>
              <w:t>宝德</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恩德斯豪斯</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克拉克</w:t>
            </w:r>
          </w:p>
        </w:tc>
        <w:tc>
          <w:tcPr>
            <w:tcW w:w="843" w:type="pct"/>
            <w:vAlign w:val="center"/>
          </w:tcPr>
          <w:p w14:paraId="2C54808C">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r w14:paraId="5C174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restart"/>
            <w:vAlign w:val="center"/>
          </w:tcPr>
          <w:p w14:paraId="3A76FF9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洗涤液</w:t>
            </w:r>
          </w:p>
        </w:tc>
        <w:tc>
          <w:tcPr>
            <w:tcW w:w="1523" w:type="pct"/>
            <w:vAlign w:val="center"/>
          </w:tcPr>
          <w:p w14:paraId="3CCCECA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color w:val="000000"/>
                <w:kern w:val="0"/>
                <w:sz w:val="24"/>
                <w:lang w:bidi="ar"/>
              </w:rPr>
            </w:pPr>
            <w:r>
              <w:rPr>
                <w:rFonts w:hint="eastAsia" w:ascii="宋体" w:hAnsi="宋体" w:eastAsia="宋体" w:cs="宋体"/>
                <w:bCs/>
                <w:sz w:val="24"/>
              </w:rPr>
              <w:t>加注泵</w:t>
            </w:r>
          </w:p>
        </w:tc>
        <w:tc>
          <w:tcPr>
            <w:tcW w:w="1709" w:type="pct"/>
            <w:vAlign w:val="center"/>
          </w:tcPr>
          <w:p w14:paraId="4C00027A">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Arial"/>
                <w:bCs/>
                <w:color w:val="000000"/>
                <w:spacing w:val="6"/>
                <w:sz w:val="24"/>
                <w:szCs w:val="24"/>
              </w:rPr>
              <w:t>克拉克</w:t>
            </w:r>
            <w:r>
              <w:rPr>
                <w:rFonts w:hint="eastAsia" w:ascii="宋体" w:hAnsi="宋体" w:eastAsia="宋体" w:cs="宋体"/>
                <w:snapToGrid w:val="0"/>
                <w:color w:val="000000"/>
                <w:kern w:val="0"/>
                <w:sz w:val="24"/>
                <w:szCs w:val="24"/>
                <w:lang w:val="en-US" w:eastAsia="zh-CN" w:bidi="ar"/>
              </w:rPr>
              <w:t>/</w:t>
            </w:r>
            <w:r>
              <w:rPr>
                <w:rFonts w:hint="eastAsia" w:ascii="宋体" w:hAnsi="宋体" w:eastAsia="宋体" w:cs="Arial"/>
                <w:bCs/>
                <w:color w:val="000000"/>
                <w:spacing w:val="6"/>
                <w:sz w:val="24"/>
                <w:szCs w:val="24"/>
              </w:rPr>
              <w:t>ITT LOWARA</w:t>
            </w:r>
            <w:r>
              <w:rPr>
                <w:rFonts w:hint="eastAsia" w:ascii="宋体" w:hAnsi="宋体" w:eastAsia="宋体" w:cs="Arial"/>
                <w:bCs/>
                <w:color w:val="000000"/>
                <w:spacing w:val="6"/>
                <w:sz w:val="24"/>
                <w:szCs w:val="24"/>
                <w:lang w:val="en-US" w:eastAsia="zh-CN"/>
              </w:rPr>
              <w:t>/</w:t>
            </w:r>
            <w:r>
              <w:rPr>
                <w:rFonts w:hint="eastAsia" w:ascii="宋体" w:hAnsi="宋体" w:eastAsia="宋体" w:cs="Arial"/>
                <w:bCs/>
                <w:color w:val="000000"/>
                <w:spacing w:val="6"/>
                <w:sz w:val="24"/>
                <w:szCs w:val="24"/>
              </w:rPr>
              <w:t>格兰富</w:t>
            </w:r>
          </w:p>
        </w:tc>
        <w:tc>
          <w:tcPr>
            <w:tcW w:w="843" w:type="pct"/>
            <w:vAlign w:val="center"/>
          </w:tcPr>
          <w:p w14:paraId="2F281697">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r w14:paraId="5D9D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Merge w:val="continue"/>
            <w:vAlign w:val="center"/>
          </w:tcPr>
          <w:p w14:paraId="1BFD182C">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c>
          <w:tcPr>
            <w:tcW w:w="1523" w:type="pct"/>
            <w:vAlign w:val="center"/>
          </w:tcPr>
          <w:p w14:paraId="66C48C1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加注阀</w:t>
            </w:r>
          </w:p>
        </w:tc>
        <w:tc>
          <w:tcPr>
            <w:tcW w:w="1709" w:type="pct"/>
            <w:vAlign w:val="center"/>
          </w:tcPr>
          <w:p w14:paraId="53E98088">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ASCO/宝德/海菲勒</w:t>
            </w:r>
          </w:p>
        </w:tc>
        <w:tc>
          <w:tcPr>
            <w:tcW w:w="843" w:type="pct"/>
            <w:vAlign w:val="center"/>
          </w:tcPr>
          <w:p w14:paraId="39B0182C">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r w14:paraId="0F8A3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22" w:type="pct"/>
            <w:vAlign w:val="center"/>
          </w:tcPr>
          <w:p w14:paraId="636905C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气动元件</w:t>
            </w:r>
          </w:p>
        </w:tc>
        <w:tc>
          <w:tcPr>
            <w:tcW w:w="1523" w:type="pct"/>
            <w:vAlign w:val="center"/>
          </w:tcPr>
          <w:p w14:paraId="1558C97B">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c>
          <w:tcPr>
            <w:tcW w:w="1709" w:type="pct"/>
            <w:vAlign w:val="center"/>
          </w:tcPr>
          <w:p w14:paraId="488F87D3">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bidi="ar"/>
              </w:rPr>
              <w:t>SMC/FASTO</w:t>
            </w:r>
            <w:r>
              <w:rPr>
                <w:rFonts w:hint="eastAsia" w:ascii="宋体" w:hAnsi="宋体" w:eastAsia="宋体" w:cs="宋体"/>
                <w:color w:val="000000"/>
                <w:kern w:val="0"/>
                <w:sz w:val="24"/>
                <w:szCs w:val="24"/>
                <w:lang w:val="en-US" w:eastAsia="zh-CN" w:bidi="ar"/>
              </w:rPr>
              <w:t>/</w:t>
            </w:r>
            <w:r>
              <w:rPr>
                <w:rFonts w:ascii="宋体" w:hAnsi="宋体" w:eastAsia="宋体" w:cs="宋体"/>
                <w:kern w:val="0"/>
                <w:sz w:val="24"/>
                <w:szCs w:val="24"/>
                <w:lang w:val="en-US" w:eastAsia="zh-CN" w:bidi="ar"/>
              </w:rPr>
              <w:t>UNIVER</w:t>
            </w:r>
          </w:p>
        </w:tc>
        <w:tc>
          <w:tcPr>
            <w:tcW w:w="843" w:type="pct"/>
            <w:vAlign w:val="center"/>
          </w:tcPr>
          <w:p w14:paraId="47D59AA5">
            <w:pPr>
              <w:keepNext w:val="0"/>
              <w:keepLines w:val="0"/>
              <w:pageBreakBefore w:val="0"/>
              <w:widowControl w:val="0"/>
              <w:kinsoku/>
              <w:overflowPunct/>
              <w:topLinePunct w:val="0"/>
              <w:bidi w:val="0"/>
              <w:adjustRightInd w:val="0"/>
              <w:snapToGrid w:val="0"/>
              <w:spacing w:afterAutospacing="0" w:line="240" w:lineRule="auto"/>
              <w:ind w:firstLine="480" w:firstLineChars="200"/>
              <w:jc w:val="center"/>
              <w:rPr>
                <w:rFonts w:ascii="宋体" w:hAnsi="宋体" w:eastAsia="宋体" w:cs="宋体"/>
                <w:bCs/>
                <w:sz w:val="24"/>
              </w:rPr>
            </w:pPr>
          </w:p>
        </w:tc>
      </w:tr>
    </w:tbl>
    <w:p w14:paraId="6199E4A4">
      <w:pPr>
        <w:keepNext w:val="0"/>
        <w:keepLines w:val="0"/>
        <w:pageBreakBefore w:val="0"/>
        <w:widowControl w:val="0"/>
        <w:numPr>
          <w:ilvl w:val="0"/>
          <w:numId w:val="0"/>
        </w:numPr>
        <w:tabs>
          <w:tab w:val="left" w:pos="0"/>
        </w:tabs>
        <w:kinsoku/>
        <w:overflowPunct/>
        <w:topLinePunct w:val="0"/>
        <w:bidi w:val="0"/>
        <w:adjustRightInd w:val="0"/>
        <w:snapToGrid w:val="0"/>
        <w:spacing w:beforeAutospacing="0" w:afterAutospacing="0" w:line="360" w:lineRule="auto"/>
        <w:ind w:leftChars="0"/>
        <w:outlineLvl w:val="3"/>
        <w:rPr>
          <w:rFonts w:ascii="Times New Roman" w:hAnsi="Times New Roman" w:eastAsia="宋体" w:cs="Times New Roman"/>
          <w:b/>
          <w:sz w:val="24"/>
        </w:rPr>
      </w:pPr>
    </w:p>
    <w:p w14:paraId="4D86009D">
      <w:pPr>
        <w:keepNext w:val="0"/>
        <w:keepLines w:val="0"/>
        <w:pageBreakBefore w:val="0"/>
        <w:widowControl w:val="0"/>
        <w:numPr>
          <w:ilvl w:val="0"/>
          <w:numId w:val="60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防冻液加注机</w:t>
      </w:r>
    </w:p>
    <w:p w14:paraId="1446BC6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设备结构：采用落地式可移动式结构，带四个移动轮，也可固定使用。</w:t>
      </w:r>
    </w:p>
    <w:p w14:paraId="70155234">
      <w:pPr>
        <w:keepNext w:val="0"/>
        <w:keepLines w:val="0"/>
        <w:pageBreakBefore w:val="0"/>
        <w:widowControl w:val="0"/>
        <w:numPr>
          <w:ilvl w:val="0"/>
          <w:numId w:val="60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设备动作过程：</w:t>
      </w:r>
    </w:p>
    <w:p w14:paraId="0DEE077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操作人员通过扫描枪或车型选择按钮，将加注头放置到加注灌口上，并按下加注头上的启动按钮（绿色启动/红色停止），自动过程开始：</w:t>
      </w:r>
    </w:p>
    <w:p w14:paraId="4FF0FBFA">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加注头自动夹紧</w:t>
      </w:r>
      <w:r>
        <w:rPr>
          <w:rFonts w:hint="eastAsia" w:ascii="Times New Roman" w:hAnsi="Times New Roman" w:eastAsia="宋体" w:cs="Times New Roman"/>
          <w:sz w:val="24"/>
          <w:lang w:eastAsia="zh-CN"/>
        </w:rPr>
        <w:t>。</w:t>
      </w:r>
    </w:p>
    <w:p w14:paraId="47B43E01">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第一次抽真空</w:t>
      </w:r>
      <w:r>
        <w:rPr>
          <w:rFonts w:hint="eastAsia" w:ascii="Times New Roman" w:hAnsi="Times New Roman" w:eastAsia="宋体" w:cs="Times New Roman"/>
          <w:sz w:val="24"/>
          <w:lang w:eastAsia="zh-CN"/>
        </w:rPr>
        <w:t>。</w:t>
      </w:r>
    </w:p>
    <w:p w14:paraId="3C20585D">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稳压检漏（大漏、小漏检测）</w:t>
      </w:r>
      <w:r>
        <w:rPr>
          <w:rFonts w:hint="eastAsia" w:ascii="Times New Roman" w:hAnsi="Times New Roman" w:eastAsia="宋体" w:cs="Times New Roman"/>
          <w:sz w:val="24"/>
          <w:lang w:eastAsia="zh-CN"/>
        </w:rPr>
        <w:t>。</w:t>
      </w:r>
    </w:p>
    <w:p w14:paraId="2B9130A7">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第二次抽真空</w:t>
      </w:r>
      <w:r>
        <w:rPr>
          <w:rFonts w:hint="eastAsia" w:ascii="Times New Roman" w:hAnsi="Times New Roman" w:eastAsia="宋体" w:cs="Times New Roman"/>
          <w:sz w:val="24"/>
          <w:lang w:eastAsia="zh-CN"/>
        </w:rPr>
        <w:t>。</w:t>
      </w:r>
    </w:p>
    <w:p w14:paraId="40D47217">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定压加注</w:t>
      </w:r>
      <w:r>
        <w:rPr>
          <w:rFonts w:hint="eastAsia" w:ascii="Times New Roman" w:hAnsi="Times New Roman" w:eastAsia="宋体" w:cs="Times New Roman"/>
          <w:sz w:val="24"/>
          <w:lang w:eastAsia="zh-CN"/>
        </w:rPr>
        <w:t>。</w:t>
      </w:r>
    </w:p>
    <w:p w14:paraId="53983CA1">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回吸</w:t>
      </w:r>
      <w:r>
        <w:rPr>
          <w:rFonts w:hint="eastAsia" w:ascii="Times New Roman" w:hAnsi="Times New Roman" w:eastAsia="宋体" w:cs="Times New Roman"/>
          <w:sz w:val="24"/>
          <w:lang w:eastAsia="zh-CN"/>
        </w:rPr>
        <w:t>。</w:t>
      </w:r>
    </w:p>
    <w:p w14:paraId="17098A4C">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加注过程结束；声光信号提示操作人员自动过程结束</w:t>
      </w:r>
      <w:r>
        <w:rPr>
          <w:rFonts w:hint="eastAsia" w:ascii="Times New Roman" w:hAnsi="Times New Roman" w:eastAsia="宋体" w:cs="Times New Roman"/>
          <w:sz w:val="24"/>
          <w:lang w:eastAsia="zh-CN"/>
        </w:rPr>
        <w:t>。</w:t>
      </w:r>
    </w:p>
    <w:p w14:paraId="46AF99AB">
      <w:pPr>
        <w:keepNext w:val="0"/>
        <w:keepLines w:val="0"/>
        <w:pageBreakBefore w:val="0"/>
        <w:widowControl w:val="0"/>
        <w:numPr>
          <w:ilvl w:val="0"/>
          <w:numId w:val="60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操作人员按下加注头上的停止按钮、加注头松开、管口真空返吸，将加注头放置在枪架上，停止回吸。</w:t>
      </w:r>
    </w:p>
    <w:p w14:paraId="34DF49AE">
      <w:pPr>
        <w:keepNext w:val="0"/>
        <w:keepLines w:val="0"/>
        <w:pageBreakBefore w:val="0"/>
        <w:widowControl w:val="0"/>
        <w:numPr>
          <w:ilvl w:val="0"/>
          <w:numId w:val="60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基本结构</w:t>
      </w:r>
    </w:p>
    <w:p w14:paraId="56CACF0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基本结构必须包含和满足下列内容和要求，但不限于在此提出的内容和要求：</w:t>
      </w:r>
    </w:p>
    <w:p w14:paraId="6A800368">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设置防冻液储罐一套，材质为不锈钢。该储罐必须配备4级液位开关（液位高低可以自由设置）、溢流液位开关（与供液进口阀联锁）、玻璃液位视管及检修门等。</w:t>
      </w:r>
    </w:p>
    <w:p w14:paraId="4BF9B2FF">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采用Leybold真空泵一套，用于系统高速抽真空。</w:t>
      </w:r>
    </w:p>
    <w:p w14:paraId="708E5AB3">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真空发生器一套用于回吸。</w:t>
      </w:r>
    </w:p>
    <w:p w14:paraId="0C9778CB">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加注泵一套。</w:t>
      </w:r>
    </w:p>
    <w:p w14:paraId="11135640">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压力传感器一套，用于系统加注压力的测量控制。</w:t>
      </w:r>
    </w:p>
    <w:p w14:paraId="583B0A5B">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真空度传感器一套，用于系统真空度的测量控制。</w:t>
      </w:r>
    </w:p>
    <w:p w14:paraId="266EEB8E">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防冻液加注流量计一套。</w:t>
      </w:r>
    </w:p>
    <w:p w14:paraId="0C6C9A19">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设置压力放大器，用于加注头夹紧压力控制。</w:t>
      </w:r>
    </w:p>
    <w:p w14:paraId="1AB3EAB1">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配备各种控制和调节阀门、压力开关及真空、压力指示表。</w:t>
      </w:r>
    </w:p>
    <w:p w14:paraId="6FFC30F7">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具有回吸防冻液至正确液位及保持加注头无液滴掉落的功能。</w:t>
      </w:r>
    </w:p>
    <w:p w14:paraId="39F04995">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供液管路及加注管路必须设置过滤器。</w:t>
      </w:r>
    </w:p>
    <w:p w14:paraId="0EC73076">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所有金属管道必须采用不锈钢材质。</w:t>
      </w:r>
    </w:p>
    <w:p w14:paraId="5C0476DF">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柜子底部必须设置完整的集液盘。</w:t>
      </w:r>
    </w:p>
    <w:p w14:paraId="6D8DB52B">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柜内真空泵排出废气必须引至柜顶外排出，并在此设置带排液阀的高效过滤器处理。</w:t>
      </w:r>
    </w:p>
    <w:p w14:paraId="395055A8">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各元器件必须设置在箱体内，不允许安放在箱体之外。</w:t>
      </w:r>
    </w:p>
    <w:p w14:paraId="54410D64">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显示屏采用西门子9寸以上触摸屏，用于显示加注过程、过程数据、设备故障信息以及参数设定和调整。</w:t>
      </w:r>
    </w:p>
    <w:p w14:paraId="7F8F3AE9">
      <w:pPr>
        <w:keepNext w:val="0"/>
        <w:keepLines w:val="0"/>
        <w:pageBreakBefore w:val="0"/>
        <w:widowControl w:val="0"/>
        <w:numPr>
          <w:ilvl w:val="0"/>
          <w:numId w:val="61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补液形式：线边供液</w:t>
      </w:r>
      <w:r>
        <w:rPr>
          <w:rFonts w:hint="eastAsia" w:ascii="Times New Roman" w:hAnsi="Times New Roman" w:eastAsia="宋体" w:cs="Times New Roman"/>
          <w:sz w:val="24"/>
          <w:lang w:eastAsia="zh-CN"/>
        </w:rPr>
        <w:t>。</w:t>
      </w:r>
    </w:p>
    <w:p w14:paraId="666819CD">
      <w:pPr>
        <w:keepNext w:val="0"/>
        <w:keepLines w:val="0"/>
        <w:pageBreakBefore w:val="0"/>
        <w:widowControl w:val="0"/>
        <w:numPr>
          <w:ilvl w:val="0"/>
          <w:numId w:val="608"/>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设备主要技术指标</w:t>
      </w:r>
    </w:p>
    <w:tbl>
      <w:tblPr>
        <w:tblStyle w:val="44"/>
        <w:tblpPr w:leftFromText="180" w:rightFromText="180" w:vertAnchor="text" w:horzAnchor="page" w:tblpX="1245" w:tblpY="743"/>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4"/>
        <w:gridCol w:w="3156"/>
        <w:gridCol w:w="5672"/>
      </w:tblGrid>
      <w:tr w14:paraId="22FDF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7DEDACDD">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firstLine="0" w:firstLineChars="0"/>
              <w:jc w:val="center"/>
              <w:textAlignment w:val="auto"/>
              <w:rPr>
                <w:rFonts w:ascii="宋体" w:hAnsi="宋体" w:eastAsia="宋体" w:cs="宋体"/>
                <w:bCs/>
                <w:sz w:val="24"/>
              </w:rPr>
            </w:pPr>
            <w:r>
              <w:rPr>
                <w:rFonts w:hint="eastAsia" w:ascii="宋体" w:hAnsi="宋体" w:eastAsia="宋体" w:cs="宋体"/>
                <w:bCs/>
                <w:sz w:val="24"/>
              </w:rPr>
              <w:t>序号</w:t>
            </w:r>
          </w:p>
        </w:tc>
        <w:tc>
          <w:tcPr>
            <w:tcW w:w="1634" w:type="pct"/>
            <w:vAlign w:val="center"/>
          </w:tcPr>
          <w:p w14:paraId="5CF282E1">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firstLine="0" w:firstLineChars="0"/>
              <w:jc w:val="center"/>
              <w:textAlignment w:val="auto"/>
              <w:rPr>
                <w:rFonts w:ascii="宋体" w:hAnsi="宋体" w:eastAsia="宋体" w:cs="宋体"/>
                <w:bCs/>
                <w:sz w:val="24"/>
              </w:rPr>
            </w:pPr>
            <w:r>
              <w:rPr>
                <w:rFonts w:hint="eastAsia" w:ascii="宋体" w:hAnsi="宋体" w:eastAsia="宋体" w:cs="宋体"/>
                <w:bCs/>
                <w:sz w:val="24"/>
              </w:rPr>
              <w:t>项目</w:t>
            </w:r>
          </w:p>
        </w:tc>
        <w:tc>
          <w:tcPr>
            <w:tcW w:w="2937" w:type="pct"/>
            <w:vAlign w:val="center"/>
          </w:tcPr>
          <w:p w14:paraId="5830F584">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firstLine="0" w:firstLineChars="0"/>
              <w:jc w:val="center"/>
              <w:textAlignment w:val="auto"/>
              <w:rPr>
                <w:rFonts w:ascii="宋体" w:hAnsi="宋体" w:eastAsia="宋体" w:cs="宋体"/>
                <w:bCs/>
                <w:sz w:val="24"/>
              </w:rPr>
            </w:pPr>
            <w:r>
              <w:rPr>
                <w:rFonts w:hint="eastAsia" w:ascii="宋体" w:hAnsi="宋体" w:eastAsia="宋体" w:cs="宋体"/>
                <w:bCs/>
                <w:sz w:val="24"/>
              </w:rPr>
              <w:t>内容</w:t>
            </w:r>
          </w:p>
        </w:tc>
      </w:tr>
      <w:tr w14:paraId="4556D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00B98990">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firstLine="0" w:firstLineChars="0"/>
              <w:jc w:val="center"/>
              <w:textAlignment w:val="auto"/>
              <w:rPr>
                <w:rFonts w:ascii="宋体" w:hAnsi="宋体" w:eastAsia="宋体" w:cs="宋体"/>
                <w:bCs/>
                <w:sz w:val="24"/>
              </w:rPr>
            </w:pPr>
            <w:r>
              <w:rPr>
                <w:rFonts w:ascii="宋体" w:hAnsi="宋体" w:eastAsia="宋体" w:cs="宋体"/>
                <w:bCs/>
                <w:sz w:val="24"/>
              </w:rPr>
              <w:t>1</w:t>
            </w:r>
          </w:p>
        </w:tc>
        <w:tc>
          <w:tcPr>
            <w:tcW w:w="1634" w:type="pct"/>
            <w:vAlign w:val="center"/>
          </w:tcPr>
          <w:p w14:paraId="08DECF5B">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firstLine="0" w:firstLineChars="0"/>
              <w:jc w:val="center"/>
              <w:textAlignment w:val="auto"/>
              <w:rPr>
                <w:rFonts w:ascii="宋体" w:hAnsi="宋体" w:eastAsia="宋体" w:cs="宋体"/>
                <w:bCs/>
                <w:sz w:val="24"/>
              </w:rPr>
            </w:pPr>
            <w:r>
              <w:rPr>
                <w:rFonts w:hint="eastAsia" w:ascii="宋体" w:hAnsi="宋体" w:eastAsia="宋体" w:cs="宋体"/>
                <w:bCs/>
                <w:sz w:val="24"/>
              </w:rPr>
              <w:t>加注枪端最低真空</w:t>
            </w:r>
          </w:p>
        </w:tc>
        <w:tc>
          <w:tcPr>
            <w:tcW w:w="2937" w:type="pct"/>
            <w:vAlign w:val="center"/>
          </w:tcPr>
          <w:p w14:paraId="57FC6903">
            <w:pPr>
              <w:keepNext w:val="0"/>
              <w:keepLines w:val="0"/>
              <w:pageBreakBefore w:val="0"/>
              <w:widowControl w:val="0"/>
              <w:kinsoku/>
              <w:wordWrap/>
              <w:overflowPunct/>
              <w:topLinePunct w:val="0"/>
              <w:autoSpaceDE/>
              <w:autoSpaceDN/>
              <w:bidi w:val="0"/>
              <w:adjustRightInd w:val="0"/>
              <w:snapToGrid w:val="0"/>
              <w:spacing w:afterAutospacing="0" w:line="360" w:lineRule="auto"/>
              <w:ind w:left="0" w:leftChars="0" w:firstLine="0" w:firstLineChars="0"/>
              <w:jc w:val="center"/>
              <w:textAlignment w:val="auto"/>
              <w:rPr>
                <w:rFonts w:ascii="宋体" w:hAnsi="宋体" w:eastAsia="宋体" w:cs="宋体"/>
                <w:bCs/>
                <w:sz w:val="24"/>
              </w:rPr>
            </w:pPr>
            <w:r>
              <w:rPr>
                <w:rFonts w:ascii="宋体" w:hAnsi="宋体" w:eastAsia="宋体" w:cs="宋体"/>
                <w:bCs/>
                <w:sz w:val="24"/>
              </w:rPr>
              <w:t>5mbar</w:t>
            </w:r>
          </w:p>
        </w:tc>
      </w:tr>
      <w:tr w14:paraId="46BB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27" w:type="pct"/>
            <w:vAlign w:val="center"/>
          </w:tcPr>
          <w:p w14:paraId="51E6F30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2</w:t>
            </w:r>
          </w:p>
        </w:tc>
        <w:tc>
          <w:tcPr>
            <w:tcW w:w="1634" w:type="pct"/>
            <w:vAlign w:val="center"/>
          </w:tcPr>
          <w:p w14:paraId="0C739EC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加主管长度</w:t>
            </w:r>
          </w:p>
        </w:tc>
        <w:tc>
          <w:tcPr>
            <w:tcW w:w="2937" w:type="pct"/>
            <w:vAlign w:val="center"/>
          </w:tcPr>
          <w:p w14:paraId="4C55D26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满足使用要求</w:t>
            </w:r>
          </w:p>
        </w:tc>
      </w:tr>
      <w:tr w14:paraId="5F1AC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0FF0433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3</w:t>
            </w:r>
          </w:p>
        </w:tc>
        <w:tc>
          <w:tcPr>
            <w:tcW w:w="1634" w:type="pct"/>
            <w:vAlign w:val="center"/>
          </w:tcPr>
          <w:p w14:paraId="64ED1C6B">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生产噪音</w:t>
            </w:r>
          </w:p>
        </w:tc>
        <w:tc>
          <w:tcPr>
            <w:tcW w:w="2937" w:type="pct"/>
            <w:vAlign w:val="center"/>
          </w:tcPr>
          <w:p w14:paraId="22CDFCB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w:t>
            </w:r>
            <w:r>
              <w:rPr>
                <w:rFonts w:ascii="宋体" w:hAnsi="宋体" w:eastAsia="宋体" w:cs="宋体"/>
                <w:bCs/>
                <w:sz w:val="24"/>
              </w:rPr>
              <w:t>70db</w:t>
            </w:r>
          </w:p>
        </w:tc>
      </w:tr>
      <w:tr w14:paraId="40211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0DD3757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4</w:t>
            </w:r>
          </w:p>
        </w:tc>
        <w:tc>
          <w:tcPr>
            <w:tcW w:w="1634" w:type="pct"/>
            <w:vAlign w:val="center"/>
          </w:tcPr>
          <w:p w14:paraId="1A7858C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加注压力</w:t>
            </w:r>
          </w:p>
        </w:tc>
        <w:tc>
          <w:tcPr>
            <w:tcW w:w="2937" w:type="pct"/>
            <w:vAlign w:val="center"/>
          </w:tcPr>
          <w:p w14:paraId="3670B2B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1-4bar</w:t>
            </w:r>
          </w:p>
        </w:tc>
      </w:tr>
      <w:tr w14:paraId="22F4E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631AD62E">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5</w:t>
            </w:r>
          </w:p>
        </w:tc>
        <w:tc>
          <w:tcPr>
            <w:tcW w:w="1634" w:type="pct"/>
            <w:vAlign w:val="center"/>
          </w:tcPr>
          <w:p w14:paraId="49F9917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加注量</w:t>
            </w:r>
          </w:p>
        </w:tc>
        <w:tc>
          <w:tcPr>
            <w:tcW w:w="2937" w:type="pct"/>
            <w:vAlign w:val="center"/>
          </w:tcPr>
          <w:p w14:paraId="7CD7B99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可调</w:t>
            </w:r>
          </w:p>
        </w:tc>
      </w:tr>
      <w:tr w14:paraId="37E1C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6E82222E">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6</w:t>
            </w:r>
          </w:p>
        </w:tc>
        <w:tc>
          <w:tcPr>
            <w:tcW w:w="1634" w:type="pct"/>
            <w:vAlign w:val="center"/>
          </w:tcPr>
          <w:p w14:paraId="77E3607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加注节拍</w:t>
            </w:r>
          </w:p>
        </w:tc>
        <w:tc>
          <w:tcPr>
            <w:tcW w:w="2937" w:type="pct"/>
            <w:vAlign w:val="center"/>
          </w:tcPr>
          <w:p w14:paraId="07D8F21B">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w:t>
            </w:r>
            <w:r>
              <w:rPr>
                <w:rFonts w:ascii="宋体" w:hAnsi="宋体" w:eastAsia="宋体" w:cs="宋体"/>
                <w:bCs/>
                <w:sz w:val="24"/>
              </w:rPr>
              <w:t>120s</w:t>
            </w:r>
          </w:p>
        </w:tc>
      </w:tr>
      <w:tr w14:paraId="3B482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4A2AD11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7</w:t>
            </w:r>
          </w:p>
        </w:tc>
        <w:tc>
          <w:tcPr>
            <w:tcW w:w="1634" w:type="pct"/>
            <w:vAlign w:val="center"/>
          </w:tcPr>
          <w:p w14:paraId="0CCE873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加注精度</w:t>
            </w:r>
          </w:p>
        </w:tc>
        <w:tc>
          <w:tcPr>
            <w:tcW w:w="2937" w:type="pct"/>
            <w:vAlign w:val="center"/>
          </w:tcPr>
          <w:p w14:paraId="4694199E">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液面±</w:t>
            </w:r>
            <w:r>
              <w:rPr>
                <w:rFonts w:ascii="宋体" w:hAnsi="宋体" w:eastAsia="宋体" w:cs="宋体"/>
                <w:bCs/>
                <w:sz w:val="24"/>
              </w:rPr>
              <w:t>2mm</w:t>
            </w:r>
          </w:p>
        </w:tc>
      </w:tr>
      <w:tr w14:paraId="2ABF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0B5ED54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8</w:t>
            </w:r>
          </w:p>
        </w:tc>
        <w:tc>
          <w:tcPr>
            <w:tcW w:w="1634" w:type="pct"/>
            <w:vAlign w:val="center"/>
          </w:tcPr>
          <w:p w14:paraId="4501F0A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补液形式</w:t>
            </w:r>
          </w:p>
        </w:tc>
        <w:tc>
          <w:tcPr>
            <w:tcW w:w="2937" w:type="pct"/>
            <w:vAlign w:val="center"/>
          </w:tcPr>
          <w:p w14:paraId="67653FC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线边供液</w:t>
            </w:r>
          </w:p>
        </w:tc>
      </w:tr>
      <w:tr w14:paraId="03E04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45003C53">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9</w:t>
            </w:r>
          </w:p>
        </w:tc>
        <w:tc>
          <w:tcPr>
            <w:tcW w:w="1634" w:type="pct"/>
            <w:vAlign w:val="center"/>
          </w:tcPr>
          <w:p w14:paraId="2795BFB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节拍</w:t>
            </w:r>
          </w:p>
        </w:tc>
        <w:tc>
          <w:tcPr>
            <w:tcW w:w="2937" w:type="pct"/>
            <w:vAlign w:val="center"/>
          </w:tcPr>
          <w:p w14:paraId="446CF9C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w:t>
            </w:r>
            <w:r>
              <w:rPr>
                <w:rFonts w:ascii="宋体" w:hAnsi="宋体" w:eastAsia="宋体" w:cs="宋体"/>
                <w:bCs/>
                <w:sz w:val="24"/>
              </w:rPr>
              <w:t>120s</w:t>
            </w:r>
          </w:p>
        </w:tc>
      </w:tr>
      <w:tr w14:paraId="1F157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7" w:type="pct"/>
            <w:vAlign w:val="center"/>
          </w:tcPr>
          <w:p w14:paraId="1E988FA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10</w:t>
            </w:r>
          </w:p>
        </w:tc>
        <w:tc>
          <w:tcPr>
            <w:tcW w:w="1634" w:type="pct"/>
            <w:vAlign w:val="center"/>
          </w:tcPr>
          <w:p w14:paraId="6419951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hint="eastAsia" w:ascii="宋体" w:hAnsi="宋体" w:eastAsia="宋体" w:cs="宋体"/>
                <w:bCs/>
                <w:sz w:val="24"/>
              </w:rPr>
              <w:t>操作系统</w:t>
            </w:r>
          </w:p>
        </w:tc>
        <w:tc>
          <w:tcPr>
            <w:tcW w:w="2937" w:type="pct"/>
            <w:vAlign w:val="center"/>
          </w:tcPr>
          <w:p w14:paraId="4885703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rPr>
            </w:pPr>
            <w:r>
              <w:rPr>
                <w:rFonts w:ascii="宋体" w:hAnsi="宋体" w:eastAsia="宋体" w:cs="宋体"/>
                <w:bCs/>
                <w:sz w:val="24"/>
              </w:rPr>
              <w:t>PLC+</w:t>
            </w:r>
            <w:r>
              <w:rPr>
                <w:rFonts w:ascii="宋体" w:hAnsi="宋体" w:eastAsia="宋体" w:cs="宋体"/>
                <w:sz w:val="24"/>
              </w:rPr>
              <w:t>9寸以上</w:t>
            </w:r>
            <w:r>
              <w:rPr>
                <w:rFonts w:hint="eastAsia" w:ascii="宋体" w:hAnsi="宋体" w:eastAsia="宋体" w:cs="宋体"/>
                <w:bCs/>
                <w:sz w:val="24"/>
              </w:rPr>
              <w:t>触摸屏，具备</w:t>
            </w:r>
            <w:r>
              <w:rPr>
                <w:rFonts w:ascii="宋体" w:hAnsi="宋体" w:eastAsia="宋体" w:cs="宋体"/>
                <w:bCs/>
                <w:sz w:val="24"/>
              </w:rPr>
              <w:t>10种以上加注程序的设定和操作</w:t>
            </w:r>
          </w:p>
        </w:tc>
      </w:tr>
    </w:tbl>
    <w:p w14:paraId="37F1831D">
      <w:pPr>
        <w:keepNext w:val="0"/>
        <w:keepLines w:val="0"/>
        <w:pageBreakBefore w:val="0"/>
        <w:kinsoku/>
        <w:overflowPunct/>
        <w:topLinePunct w:val="0"/>
        <w:bidi w:val="0"/>
        <w:adjustRightInd w:val="0"/>
        <w:snapToGrid w:val="0"/>
        <w:spacing w:afterAutospacing="0" w:line="360" w:lineRule="auto"/>
        <w:rPr>
          <w:rFonts w:ascii="Times New Roman" w:hAnsi="Times New Roman" w:eastAsia="宋体" w:cs="Times New Roman"/>
          <w:szCs w:val="20"/>
        </w:rPr>
      </w:pPr>
    </w:p>
    <w:p w14:paraId="0C72DA11">
      <w:pPr>
        <w:keepNext w:val="0"/>
        <w:keepLines w:val="0"/>
        <w:pageBreakBefore w:val="0"/>
        <w:widowControl w:val="0"/>
        <w:numPr>
          <w:ilvl w:val="0"/>
          <w:numId w:val="60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冷媒加注设备要求</w:t>
      </w:r>
    </w:p>
    <w:p w14:paraId="6C675AC1">
      <w:pPr>
        <w:keepNext w:val="0"/>
        <w:keepLines w:val="0"/>
        <w:pageBreakBefore w:val="0"/>
        <w:widowControl w:val="0"/>
        <w:numPr>
          <w:ilvl w:val="0"/>
          <w:numId w:val="61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设备基本要求</w:t>
      </w:r>
    </w:p>
    <w:p w14:paraId="0860CA87">
      <w:pPr>
        <w:keepNext w:val="0"/>
        <w:keepLines w:val="0"/>
        <w:pageBreakBefore w:val="0"/>
        <w:widowControl w:val="0"/>
        <w:numPr>
          <w:ilvl w:val="0"/>
          <w:numId w:val="6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设备结构：采用落地式可移动式结构，带四个移动轮，也可固定使用。</w:t>
      </w:r>
    </w:p>
    <w:p w14:paraId="745B950B">
      <w:pPr>
        <w:keepNext w:val="0"/>
        <w:keepLines w:val="0"/>
        <w:pageBreakBefore w:val="0"/>
        <w:widowControl w:val="0"/>
        <w:numPr>
          <w:ilvl w:val="0"/>
          <w:numId w:val="61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sz w:val="24"/>
        </w:rPr>
        <w:t>设备需配</w:t>
      </w:r>
      <w:r>
        <w:rPr>
          <w:rFonts w:ascii="Times New Roman" w:hAnsi="Times New Roman" w:eastAsia="宋体" w:cs="Times New Roman"/>
          <w:color w:val="000000"/>
          <w:sz w:val="24"/>
        </w:rPr>
        <w:t>有无线条形码扫描器，具备直接扫描登录功能，同时在条形码扫描器功能失效时有键盘输入VIN码登录功能。</w:t>
      </w:r>
    </w:p>
    <w:p w14:paraId="19C2DDCA">
      <w:pPr>
        <w:keepNext w:val="0"/>
        <w:keepLines w:val="0"/>
        <w:pageBreakBefore w:val="0"/>
        <w:widowControl w:val="0"/>
        <w:numPr>
          <w:ilvl w:val="0"/>
          <w:numId w:val="61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设备动作过程</w:t>
      </w:r>
    </w:p>
    <w:p w14:paraId="1A2FD59C">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设备人员通过扫描枪或车型选择按钮，将加注枪与汽车空调接口连接，并按下加注头上的启动按钮（绿色启动/红色停止），自动过程开始：</w:t>
      </w:r>
    </w:p>
    <w:p w14:paraId="5FDC3BA3">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一次抽真空。</w:t>
      </w:r>
    </w:p>
    <w:p w14:paraId="240A7090">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大渗漏检测。</w:t>
      </w:r>
    </w:p>
    <w:p w14:paraId="0345A246">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二次抽真空。</w:t>
      </w:r>
    </w:p>
    <w:p w14:paraId="69987CA1">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小渗漏检测（真空衰减）。</w:t>
      </w:r>
    </w:p>
    <w:p w14:paraId="3E119296">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三次抽真空（补抽）。</w:t>
      </w:r>
    </w:p>
    <w:p w14:paraId="5B231C60">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加注制冷剂，如果完成加注量，关闭加注头阀门。</w:t>
      </w:r>
    </w:p>
    <w:p w14:paraId="74889827">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稳压（等待直到所有的制冷剂加入系统内）。</w:t>
      </w:r>
    </w:p>
    <w:p w14:paraId="0E2A43E6">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加注过程结束，声光信号提示操作人员自动过程 结束（绿灯亮：合格；红灯亮：不合格）。</w:t>
      </w:r>
    </w:p>
    <w:p w14:paraId="36909350">
      <w:pPr>
        <w:keepNext w:val="0"/>
        <w:keepLines w:val="0"/>
        <w:pageBreakBefore w:val="0"/>
        <w:widowControl w:val="0"/>
        <w:numPr>
          <w:ilvl w:val="0"/>
          <w:numId w:val="61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操作人员按下加注头上的停止按钮，卸下空调接口端的加注软管接头。</w:t>
      </w:r>
    </w:p>
    <w:p w14:paraId="3373E2AD">
      <w:pPr>
        <w:keepNext w:val="0"/>
        <w:keepLines w:val="0"/>
        <w:pageBreakBefore w:val="0"/>
        <w:widowControl w:val="0"/>
        <w:numPr>
          <w:ilvl w:val="0"/>
          <w:numId w:val="61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设备主要功能和构成</w:t>
      </w:r>
    </w:p>
    <w:p w14:paraId="1DDFFB46">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基本结构必须包含和满足下列内容和要求，但不限于在此提出的内容和要求：</w:t>
      </w:r>
    </w:p>
    <w:p w14:paraId="2441DDFC">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采用HASKEL专用空调液加注泵一套</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压缩比5:1，用于将介质从压力瓶中吸出，送入液压蓄能器</w:t>
      </w:r>
      <w:r>
        <w:rPr>
          <w:rFonts w:hint="eastAsia" w:ascii="Times New Roman" w:hAnsi="Times New Roman" w:eastAsia="宋体" w:cs="Times New Roman"/>
          <w:color w:val="000000"/>
          <w:sz w:val="24"/>
          <w:lang w:eastAsia="zh-CN"/>
        </w:rPr>
        <w:t>。</w:t>
      </w:r>
    </w:p>
    <w:p w14:paraId="2339F14E">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采用Leybold真空泵，用于系统高速抽真空，免维护。</w:t>
      </w:r>
    </w:p>
    <w:p w14:paraId="6CC88B11">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冷媒加注流量计一套，进口</w:t>
      </w:r>
      <w:r>
        <w:rPr>
          <w:rFonts w:ascii="Times New Roman" w:hAnsi="Times New Roman" w:eastAsia="宋体" w:cs="Times New Roman"/>
          <w:sz w:val="24"/>
        </w:rPr>
        <w:t>质量流量计精度±5g</w:t>
      </w:r>
      <w:r>
        <w:rPr>
          <w:rFonts w:hint="eastAsia" w:ascii="Times New Roman" w:hAnsi="Times New Roman" w:eastAsia="宋体" w:cs="Times New Roman"/>
          <w:sz w:val="24"/>
          <w:lang w:eastAsia="zh-CN"/>
        </w:rPr>
        <w:t>。</w:t>
      </w:r>
    </w:p>
    <w:p w14:paraId="242D967D">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配备过滤干燥器、液流透视玻璃管及空气过滤器。</w:t>
      </w:r>
    </w:p>
    <w:p w14:paraId="3EA17301">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所有金属管道必须采用不锈钢材质。</w:t>
      </w:r>
    </w:p>
    <w:p w14:paraId="38A71A9F">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配备各种控制和调节阀门，包括分配阀、止回阀和安全阀，以及压力开关和压力指示表。</w:t>
      </w:r>
    </w:p>
    <w:p w14:paraId="15C0E214">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显示屏采用西门子9寸以上触摸屏，用于显示加注过程、过程数据、设备故障信息以及参数设定和调整，要求采用中文显示。</w:t>
      </w:r>
    </w:p>
    <w:p w14:paraId="517E6D39">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OBDII插头及通讯电缆两套，一套使用，另一套备用。必须采用工业级插头，经久耐用；无线条码扫描器一套。</w:t>
      </w:r>
    </w:p>
    <w:p w14:paraId="59BFF5D3">
      <w:pPr>
        <w:keepNext w:val="0"/>
        <w:keepLines w:val="0"/>
        <w:pageBreakBefore w:val="0"/>
        <w:widowControl w:val="0"/>
        <w:numPr>
          <w:ilvl w:val="0"/>
          <w:numId w:val="61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补液形式：线边供液</w:t>
      </w:r>
    </w:p>
    <w:p w14:paraId="13868D5E">
      <w:pPr>
        <w:keepNext w:val="0"/>
        <w:keepLines w:val="0"/>
        <w:pageBreakBefore w:val="0"/>
        <w:widowControl w:val="0"/>
        <w:numPr>
          <w:ilvl w:val="0"/>
          <w:numId w:val="611"/>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设备主要技术指标</w:t>
      </w:r>
    </w:p>
    <w:tbl>
      <w:tblPr>
        <w:tblStyle w:val="4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2374"/>
        <w:gridCol w:w="6382"/>
      </w:tblGrid>
      <w:tr w14:paraId="42D52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24BF5E75">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序号</w:t>
            </w:r>
          </w:p>
        </w:tc>
        <w:tc>
          <w:tcPr>
            <w:tcW w:w="1230" w:type="pct"/>
            <w:vAlign w:val="center"/>
          </w:tcPr>
          <w:p w14:paraId="4821BC0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项目</w:t>
            </w:r>
          </w:p>
        </w:tc>
        <w:tc>
          <w:tcPr>
            <w:tcW w:w="3306" w:type="pct"/>
            <w:vAlign w:val="center"/>
          </w:tcPr>
          <w:p w14:paraId="335F414B">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内容</w:t>
            </w:r>
          </w:p>
        </w:tc>
      </w:tr>
      <w:tr w14:paraId="2CAD5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1503B90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1</w:t>
            </w:r>
          </w:p>
        </w:tc>
        <w:tc>
          <w:tcPr>
            <w:tcW w:w="1230" w:type="pct"/>
            <w:vAlign w:val="center"/>
          </w:tcPr>
          <w:p w14:paraId="6D31BF3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加注介质</w:t>
            </w:r>
          </w:p>
        </w:tc>
        <w:tc>
          <w:tcPr>
            <w:tcW w:w="3306" w:type="pct"/>
            <w:vAlign w:val="center"/>
          </w:tcPr>
          <w:p w14:paraId="4DF7C93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R134a</w:t>
            </w:r>
          </w:p>
        </w:tc>
      </w:tr>
      <w:tr w14:paraId="4E67F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0251C06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2</w:t>
            </w:r>
          </w:p>
        </w:tc>
        <w:tc>
          <w:tcPr>
            <w:tcW w:w="1230" w:type="pct"/>
            <w:vAlign w:val="center"/>
          </w:tcPr>
          <w:p w14:paraId="4C3F8F4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加注枪端最低真空</w:t>
            </w:r>
          </w:p>
        </w:tc>
        <w:tc>
          <w:tcPr>
            <w:tcW w:w="3306" w:type="pct"/>
            <w:vAlign w:val="center"/>
          </w:tcPr>
          <w:p w14:paraId="40BF0303">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≤2mbar</w:t>
            </w:r>
          </w:p>
        </w:tc>
      </w:tr>
      <w:tr w14:paraId="0A29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79025F4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3</w:t>
            </w:r>
          </w:p>
        </w:tc>
        <w:tc>
          <w:tcPr>
            <w:tcW w:w="1230" w:type="pct"/>
            <w:vAlign w:val="center"/>
          </w:tcPr>
          <w:p w14:paraId="7B422F38">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电子真空渗漏检测系统</w:t>
            </w:r>
          </w:p>
        </w:tc>
        <w:tc>
          <w:tcPr>
            <w:tcW w:w="3306" w:type="pct"/>
            <w:vAlign w:val="center"/>
          </w:tcPr>
          <w:p w14:paraId="44190D6D">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精度±0.1%，检测范围0-250mbar</w:t>
            </w:r>
          </w:p>
        </w:tc>
      </w:tr>
      <w:tr w14:paraId="75C9A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0DBA3C9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4</w:t>
            </w:r>
          </w:p>
        </w:tc>
        <w:tc>
          <w:tcPr>
            <w:tcW w:w="1230" w:type="pct"/>
            <w:vAlign w:val="center"/>
          </w:tcPr>
          <w:p w14:paraId="07ABC0E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生产噪音</w:t>
            </w:r>
          </w:p>
        </w:tc>
        <w:tc>
          <w:tcPr>
            <w:tcW w:w="3306" w:type="pct"/>
            <w:vAlign w:val="center"/>
          </w:tcPr>
          <w:p w14:paraId="7867955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≤70db</w:t>
            </w:r>
          </w:p>
        </w:tc>
      </w:tr>
      <w:tr w14:paraId="4D8B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06E2849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5</w:t>
            </w:r>
          </w:p>
        </w:tc>
        <w:tc>
          <w:tcPr>
            <w:tcW w:w="1230" w:type="pct"/>
            <w:vAlign w:val="center"/>
          </w:tcPr>
          <w:p w14:paraId="123A161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加注量</w:t>
            </w:r>
          </w:p>
        </w:tc>
        <w:tc>
          <w:tcPr>
            <w:tcW w:w="3306" w:type="pct"/>
            <w:vAlign w:val="center"/>
          </w:tcPr>
          <w:p w14:paraId="58463B37">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0.1kg</w:t>
            </w:r>
            <w:r>
              <w:rPr>
                <w:rFonts w:hint="eastAsia" w:ascii="宋体" w:hAnsi="宋体" w:eastAsia="宋体" w:cs="宋体"/>
                <w:bCs/>
                <w:sz w:val="24"/>
                <w:szCs w:val="21"/>
                <w:lang w:eastAsia="zh-CN"/>
              </w:rPr>
              <w:t>—</w:t>
            </w:r>
            <w:r>
              <w:rPr>
                <w:rFonts w:hint="eastAsia" w:ascii="宋体" w:hAnsi="宋体" w:eastAsia="宋体" w:cs="宋体"/>
                <w:bCs/>
                <w:sz w:val="24"/>
                <w:szCs w:val="21"/>
              </w:rPr>
              <w:t>2kg</w:t>
            </w:r>
            <w:r>
              <w:rPr>
                <w:rFonts w:hint="eastAsia" w:ascii="宋体" w:hAnsi="宋体" w:eastAsia="宋体" w:cs="宋体"/>
                <w:bCs/>
                <w:sz w:val="24"/>
                <w:szCs w:val="21"/>
                <w:lang w:eastAsia="zh-CN"/>
              </w:rPr>
              <w:t>（</w:t>
            </w:r>
            <w:r>
              <w:rPr>
                <w:rFonts w:hint="eastAsia" w:ascii="宋体" w:hAnsi="宋体" w:eastAsia="宋体" w:cs="宋体"/>
                <w:bCs/>
                <w:sz w:val="24"/>
                <w:szCs w:val="21"/>
              </w:rPr>
              <w:t>可调）</w:t>
            </w:r>
          </w:p>
        </w:tc>
      </w:tr>
      <w:tr w14:paraId="78819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02FAFC2A">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6</w:t>
            </w:r>
          </w:p>
        </w:tc>
        <w:tc>
          <w:tcPr>
            <w:tcW w:w="1230" w:type="pct"/>
            <w:vAlign w:val="center"/>
          </w:tcPr>
          <w:p w14:paraId="791EA3BB">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加注压力</w:t>
            </w:r>
          </w:p>
        </w:tc>
        <w:tc>
          <w:tcPr>
            <w:tcW w:w="3306" w:type="pct"/>
            <w:vAlign w:val="center"/>
          </w:tcPr>
          <w:p w14:paraId="56FFFA79">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12-24bar</w:t>
            </w:r>
          </w:p>
        </w:tc>
      </w:tr>
      <w:tr w14:paraId="44094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68849DB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7</w:t>
            </w:r>
          </w:p>
        </w:tc>
        <w:tc>
          <w:tcPr>
            <w:tcW w:w="1230" w:type="pct"/>
            <w:vAlign w:val="center"/>
          </w:tcPr>
          <w:p w14:paraId="69A1D7E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加注压力传感器</w:t>
            </w:r>
          </w:p>
        </w:tc>
        <w:tc>
          <w:tcPr>
            <w:tcW w:w="3306" w:type="pct"/>
            <w:vAlign w:val="center"/>
          </w:tcPr>
          <w:p w14:paraId="1BE612B2">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精度±0.1bar，测量范围0-24bar</w:t>
            </w:r>
          </w:p>
        </w:tc>
      </w:tr>
      <w:tr w14:paraId="7C296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784C56C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8</w:t>
            </w:r>
          </w:p>
        </w:tc>
        <w:tc>
          <w:tcPr>
            <w:tcW w:w="1230" w:type="pct"/>
            <w:vAlign w:val="center"/>
          </w:tcPr>
          <w:p w14:paraId="6EEB4FF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加注精度</w:t>
            </w:r>
          </w:p>
        </w:tc>
        <w:tc>
          <w:tcPr>
            <w:tcW w:w="3306" w:type="pct"/>
            <w:vAlign w:val="center"/>
          </w:tcPr>
          <w:p w14:paraId="1E5C64D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≤±5g</w:t>
            </w:r>
          </w:p>
        </w:tc>
      </w:tr>
      <w:tr w14:paraId="110B5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58C17FAF">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9</w:t>
            </w:r>
          </w:p>
        </w:tc>
        <w:tc>
          <w:tcPr>
            <w:tcW w:w="1230" w:type="pct"/>
            <w:vAlign w:val="center"/>
          </w:tcPr>
          <w:p w14:paraId="01AACB6B">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加注枪口</w:t>
            </w:r>
          </w:p>
        </w:tc>
        <w:tc>
          <w:tcPr>
            <w:tcW w:w="3306" w:type="pct"/>
            <w:vAlign w:val="center"/>
          </w:tcPr>
          <w:p w14:paraId="47050CD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SAE标准快速接头STAUBLI</w:t>
            </w:r>
          </w:p>
        </w:tc>
      </w:tr>
      <w:tr w14:paraId="578FC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62" w:type="pct"/>
            <w:vAlign w:val="center"/>
          </w:tcPr>
          <w:p w14:paraId="6565C754">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10</w:t>
            </w:r>
          </w:p>
        </w:tc>
        <w:tc>
          <w:tcPr>
            <w:tcW w:w="1230" w:type="pct"/>
            <w:vAlign w:val="center"/>
          </w:tcPr>
          <w:p w14:paraId="2026A2F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节拍</w:t>
            </w:r>
          </w:p>
        </w:tc>
        <w:tc>
          <w:tcPr>
            <w:tcW w:w="3306" w:type="pct"/>
            <w:vAlign w:val="center"/>
          </w:tcPr>
          <w:p w14:paraId="34E87A90">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≤200s</w:t>
            </w:r>
          </w:p>
        </w:tc>
      </w:tr>
      <w:tr w14:paraId="174E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2" w:type="pct"/>
            <w:vAlign w:val="center"/>
          </w:tcPr>
          <w:p w14:paraId="104AB48C">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11</w:t>
            </w:r>
          </w:p>
        </w:tc>
        <w:tc>
          <w:tcPr>
            <w:tcW w:w="1230" w:type="pct"/>
            <w:vAlign w:val="center"/>
          </w:tcPr>
          <w:p w14:paraId="29F79DE1">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操作系统</w:t>
            </w:r>
          </w:p>
        </w:tc>
        <w:tc>
          <w:tcPr>
            <w:tcW w:w="3306" w:type="pct"/>
            <w:vAlign w:val="center"/>
          </w:tcPr>
          <w:p w14:paraId="68F8D1C6">
            <w:pPr>
              <w:keepNext w:val="0"/>
              <w:keepLines w:val="0"/>
              <w:pageBreakBefore w:val="0"/>
              <w:widowControl w:val="0"/>
              <w:kinsoku/>
              <w:overflowPunct/>
              <w:topLinePunct w:val="0"/>
              <w:bidi w:val="0"/>
              <w:adjustRightInd w:val="0"/>
              <w:snapToGrid w:val="0"/>
              <w:spacing w:afterAutospacing="0" w:line="240" w:lineRule="auto"/>
              <w:ind w:left="0" w:leftChars="0" w:firstLine="0" w:firstLineChars="0"/>
              <w:jc w:val="center"/>
              <w:rPr>
                <w:rFonts w:ascii="宋体" w:hAnsi="宋体" w:eastAsia="宋体" w:cs="宋体"/>
                <w:bCs/>
                <w:sz w:val="24"/>
                <w:szCs w:val="21"/>
              </w:rPr>
            </w:pPr>
            <w:r>
              <w:rPr>
                <w:rFonts w:hint="eastAsia" w:ascii="宋体" w:hAnsi="宋体" w:eastAsia="宋体" w:cs="宋体"/>
                <w:bCs/>
                <w:sz w:val="24"/>
                <w:szCs w:val="21"/>
              </w:rPr>
              <w:t>PLC+9寸以上触摸屏，具备10种以上加注程序的设定和操作</w:t>
            </w:r>
          </w:p>
        </w:tc>
      </w:tr>
    </w:tbl>
    <w:p w14:paraId="5E0F8589">
      <w:pPr>
        <w:keepNext w:val="0"/>
        <w:keepLines w:val="0"/>
        <w:pageBreakBefore w:val="0"/>
        <w:widowControl w:val="0"/>
        <w:numPr>
          <w:ilvl w:val="0"/>
          <w:numId w:val="60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洗涤液加注机技术要求</w:t>
      </w:r>
    </w:p>
    <w:p w14:paraId="5E368C9A">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设备结构：采用落地式可移动式结构，带四个移动轮，也可固定使用，流量计等设备要有防爆设计（利旧原有设备）。</w:t>
      </w:r>
    </w:p>
    <w:p w14:paraId="5DD2C183">
      <w:pPr>
        <w:keepNext w:val="0"/>
        <w:keepLines w:val="0"/>
        <w:pageBreakBefore w:val="0"/>
        <w:widowControl w:val="0"/>
        <w:numPr>
          <w:ilvl w:val="0"/>
          <w:numId w:val="61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设备动作过程</w:t>
      </w:r>
    </w:p>
    <w:p w14:paraId="3BF1705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设备人员将加注头放置到加注灌口上，并按下加注头上的启动按钮（绿色启动/红色停止），加注过程开始：</w:t>
      </w:r>
    </w:p>
    <w:p w14:paraId="61F52B90">
      <w:pPr>
        <w:keepNext w:val="0"/>
        <w:keepLines w:val="0"/>
        <w:pageBreakBefore w:val="0"/>
        <w:widowControl w:val="0"/>
        <w:numPr>
          <w:ilvl w:val="0"/>
          <w:numId w:val="61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手动定位</w:t>
      </w:r>
      <w:r>
        <w:rPr>
          <w:rFonts w:hint="eastAsia" w:ascii="Times New Roman" w:hAnsi="Times New Roman" w:eastAsia="宋体" w:cs="Times New Roman"/>
          <w:sz w:val="24"/>
          <w:lang w:eastAsia="zh-CN"/>
        </w:rPr>
        <w:t>。</w:t>
      </w:r>
    </w:p>
    <w:p w14:paraId="7719B762">
      <w:pPr>
        <w:keepNext w:val="0"/>
        <w:keepLines w:val="0"/>
        <w:pageBreakBefore w:val="0"/>
        <w:widowControl w:val="0"/>
        <w:numPr>
          <w:ilvl w:val="0"/>
          <w:numId w:val="61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定量加注</w:t>
      </w:r>
      <w:r>
        <w:rPr>
          <w:rFonts w:hint="eastAsia" w:ascii="Times New Roman" w:hAnsi="Times New Roman" w:eastAsia="宋体" w:cs="Times New Roman"/>
          <w:sz w:val="24"/>
          <w:lang w:eastAsia="zh-CN"/>
        </w:rPr>
        <w:t>。</w:t>
      </w:r>
    </w:p>
    <w:p w14:paraId="4266AA30">
      <w:pPr>
        <w:keepNext w:val="0"/>
        <w:keepLines w:val="0"/>
        <w:pageBreakBefore w:val="0"/>
        <w:widowControl w:val="0"/>
        <w:numPr>
          <w:ilvl w:val="0"/>
          <w:numId w:val="61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加注过程结束；声光信号提升操作人员自动过程结束</w:t>
      </w:r>
      <w:r>
        <w:rPr>
          <w:rFonts w:hint="eastAsia" w:ascii="Times New Roman" w:hAnsi="Times New Roman" w:eastAsia="宋体" w:cs="Times New Roman"/>
          <w:sz w:val="24"/>
          <w:lang w:eastAsia="zh-CN"/>
        </w:rPr>
        <w:t>。</w:t>
      </w:r>
    </w:p>
    <w:p w14:paraId="5B3F42CA">
      <w:pPr>
        <w:keepNext w:val="0"/>
        <w:keepLines w:val="0"/>
        <w:pageBreakBefore w:val="0"/>
        <w:widowControl w:val="0"/>
        <w:numPr>
          <w:ilvl w:val="0"/>
          <w:numId w:val="61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操作人员按下加注头上的停止按钮，将加注头放置在枪架上</w:t>
      </w:r>
      <w:r>
        <w:rPr>
          <w:rFonts w:hint="eastAsia" w:ascii="Times New Roman" w:hAnsi="Times New Roman" w:eastAsia="宋体" w:cs="Times New Roman"/>
          <w:sz w:val="24"/>
          <w:lang w:eastAsia="zh-CN"/>
        </w:rPr>
        <w:t>。</w:t>
      </w:r>
    </w:p>
    <w:p w14:paraId="269DCE97">
      <w:pPr>
        <w:keepNext w:val="0"/>
        <w:keepLines w:val="0"/>
        <w:pageBreakBefore w:val="0"/>
        <w:widowControl w:val="0"/>
        <w:numPr>
          <w:ilvl w:val="0"/>
          <w:numId w:val="61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设备主要功能和构成</w:t>
      </w:r>
    </w:p>
    <w:p w14:paraId="633F910C">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加注泵一套。</w:t>
      </w:r>
    </w:p>
    <w:p w14:paraId="6C630405">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流量计一套，精度不低于+/- 0.5 % 。</w:t>
      </w:r>
    </w:p>
    <w:p w14:paraId="04AD9540">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配备各种控制和调节阀门、压力开关及压力指示表。</w:t>
      </w:r>
    </w:p>
    <w:p w14:paraId="2C6F98CF">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供液管路及加注管路必须设置过滤器。</w:t>
      </w:r>
    </w:p>
    <w:p w14:paraId="200E4B09">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所有金属管道必须采用不锈钢材质。</w:t>
      </w:r>
    </w:p>
    <w:p w14:paraId="7DD1F076">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柜子底部必须设置完整的集液盘。</w:t>
      </w:r>
    </w:p>
    <w:p w14:paraId="37EA10E8">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阀体流量计等考虑防爆</w:t>
      </w:r>
      <w:r>
        <w:rPr>
          <w:rFonts w:hint="eastAsia" w:ascii="Times New Roman" w:hAnsi="Times New Roman" w:eastAsia="宋体" w:cs="Times New Roman"/>
          <w:sz w:val="24"/>
          <w:lang w:eastAsia="zh-CN"/>
        </w:rPr>
        <w:t>。</w:t>
      </w:r>
    </w:p>
    <w:p w14:paraId="56B27318">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显示屏采用西门子9寸以上触摸屏，用于显示加注过程、过程数据、设备故障信息以及参数设定和调整。要求采用中英文显示，可切换。</w:t>
      </w:r>
    </w:p>
    <w:p w14:paraId="3AD941F5">
      <w:pPr>
        <w:keepNext w:val="0"/>
        <w:keepLines w:val="0"/>
        <w:pageBreakBefore w:val="0"/>
        <w:widowControl w:val="0"/>
        <w:numPr>
          <w:ilvl w:val="0"/>
          <w:numId w:val="61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供液方式：线边供液</w:t>
      </w:r>
      <w:r>
        <w:rPr>
          <w:rFonts w:hint="eastAsia" w:ascii="Times New Roman" w:hAnsi="Times New Roman" w:eastAsia="宋体" w:cs="Times New Roman"/>
          <w:sz w:val="24"/>
          <w:lang w:eastAsia="zh-CN"/>
        </w:rPr>
        <w:t>。</w:t>
      </w:r>
    </w:p>
    <w:p w14:paraId="0C42B208">
      <w:pPr>
        <w:keepNext w:val="0"/>
        <w:keepLines w:val="0"/>
        <w:pageBreakBefore w:val="0"/>
        <w:widowControl w:val="0"/>
        <w:numPr>
          <w:ilvl w:val="0"/>
          <w:numId w:val="61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设备主要技术指标</w:t>
      </w:r>
    </w:p>
    <w:p w14:paraId="2573CF44">
      <w:pPr>
        <w:keepNext w:val="0"/>
        <w:keepLines w:val="0"/>
        <w:pageBreakBefore w:val="0"/>
        <w:widowControl w:val="0"/>
        <w:numPr>
          <w:ilvl w:val="0"/>
          <w:numId w:val="61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生产噪音：≤70dB。</w:t>
      </w:r>
    </w:p>
    <w:p w14:paraId="0D7ED5FB">
      <w:pPr>
        <w:keepNext w:val="0"/>
        <w:keepLines w:val="0"/>
        <w:pageBreakBefore w:val="0"/>
        <w:widowControl w:val="0"/>
        <w:numPr>
          <w:ilvl w:val="0"/>
          <w:numId w:val="61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记录显示范围：0.0-99.99L。</w:t>
      </w:r>
    </w:p>
    <w:p w14:paraId="44108047">
      <w:pPr>
        <w:keepNext w:val="0"/>
        <w:keepLines w:val="0"/>
        <w:pageBreakBefore w:val="0"/>
        <w:widowControl w:val="0"/>
        <w:numPr>
          <w:ilvl w:val="0"/>
          <w:numId w:val="61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加压压力：1-6bar（可调）。</w:t>
      </w:r>
    </w:p>
    <w:p w14:paraId="106A01B1">
      <w:pPr>
        <w:keepNext w:val="0"/>
        <w:keepLines w:val="0"/>
        <w:pageBreakBefore w:val="0"/>
        <w:widowControl w:val="0"/>
        <w:numPr>
          <w:ilvl w:val="0"/>
          <w:numId w:val="61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加注量（可调）。</w:t>
      </w:r>
    </w:p>
    <w:p w14:paraId="53A80542">
      <w:pPr>
        <w:keepNext w:val="0"/>
        <w:keepLines w:val="0"/>
        <w:pageBreakBefore w:val="0"/>
        <w:widowControl w:val="0"/>
        <w:numPr>
          <w:ilvl w:val="0"/>
          <w:numId w:val="61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加注节拍：≤120秒。</w:t>
      </w:r>
    </w:p>
    <w:p w14:paraId="6DB6C446">
      <w:pPr>
        <w:keepNext w:val="0"/>
        <w:keepLines w:val="0"/>
        <w:pageBreakBefore w:val="0"/>
        <w:widowControl w:val="0"/>
        <w:numPr>
          <w:ilvl w:val="0"/>
          <w:numId w:val="61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洗涤液加注精度要求：≤±3.5%。</w:t>
      </w:r>
    </w:p>
    <w:p w14:paraId="3761D87A">
      <w:pPr>
        <w:keepNext w:val="0"/>
        <w:keepLines w:val="0"/>
        <w:pageBreakBefore w:val="0"/>
        <w:widowControl w:val="0"/>
        <w:numPr>
          <w:ilvl w:val="0"/>
          <w:numId w:val="60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返修制动液加注机</w:t>
      </w:r>
    </w:p>
    <w:p w14:paraId="2D8F7EAA">
      <w:pPr>
        <w:keepNext w:val="0"/>
        <w:keepLines w:val="0"/>
        <w:pageBreakBefore w:val="0"/>
        <w:widowControl/>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设备用于整车装配线返修制动系统的抽真空加注</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加注工艺流程与主线设备一致。双桶线边供液。</w:t>
      </w:r>
    </w:p>
    <w:p w14:paraId="354902C1">
      <w:pPr>
        <w:keepNext w:val="0"/>
        <w:keepLines w:val="0"/>
        <w:pageBreakBefore w:val="0"/>
        <w:widowControl w:val="0"/>
        <w:numPr>
          <w:ilvl w:val="0"/>
          <w:numId w:val="61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 xml:space="preserve">设备工作流程 </w:t>
      </w:r>
    </w:p>
    <w:p w14:paraId="08F4E380">
      <w:pPr>
        <w:keepNext w:val="0"/>
        <w:keepLines w:val="0"/>
        <w:pageBreakBefore w:val="0"/>
        <w:widowControl/>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制动液加注机可以自动将车辆制动系统的ABS阀打开，对需加注的容器一次真空， 检漏，二次真空，检漏，压力加注，保压检漏，释放压力，吹气回吸，将多余的液体回吸至需要的液面，压力均衡、提示完成取枪，从而完成一个加注循环。 </w:t>
      </w:r>
    </w:p>
    <w:p w14:paraId="3FB5ED34">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工艺步骤</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213DF747">
      <w:pPr>
        <w:keepNext w:val="0"/>
        <w:keepLines w:val="0"/>
        <w:pageBreakBefore w:val="0"/>
        <w:widowControl/>
        <w:numPr>
          <w:ilvl w:val="0"/>
          <w:numId w:val="620"/>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步骤一：操作工根据进入加注工位的车辆信息，选择该车型加注信息</w:t>
      </w:r>
      <w:r>
        <w:rPr>
          <w:rFonts w:hint="eastAsia" w:ascii="Times New Roman" w:hAnsi="Times New Roman" w:eastAsia="宋体" w:cs="Times New Roman"/>
          <w:color w:val="000000"/>
          <w:sz w:val="24"/>
          <w:lang w:eastAsia="zh-CN"/>
        </w:rPr>
        <w:t>。</w:t>
      </w:r>
    </w:p>
    <w:p w14:paraId="421305A6">
      <w:pPr>
        <w:keepNext w:val="0"/>
        <w:keepLines w:val="0"/>
        <w:pageBreakBefore w:val="0"/>
        <w:widowControl/>
        <w:numPr>
          <w:ilvl w:val="0"/>
          <w:numId w:val="620"/>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步骤二：将加注枪与加注口相连，把ABS通讯电缆与车辆ODB-II口连接</w:t>
      </w:r>
      <w:r>
        <w:rPr>
          <w:rFonts w:hint="eastAsia" w:ascii="Times New Roman" w:hAnsi="Times New Roman" w:eastAsia="宋体" w:cs="Times New Roman"/>
          <w:color w:val="000000"/>
          <w:sz w:val="24"/>
          <w:lang w:eastAsia="zh-CN"/>
        </w:rPr>
        <w:t>。</w:t>
      </w:r>
    </w:p>
    <w:p w14:paraId="36FB29D3">
      <w:pPr>
        <w:keepNext w:val="0"/>
        <w:keepLines w:val="0"/>
        <w:pageBreakBefore w:val="0"/>
        <w:widowControl/>
        <w:numPr>
          <w:ilvl w:val="0"/>
          <w:numId w:val="62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步骤三：按下加注枪上的加注开关，加注系统自动进入开 ABS 阀、对需加注的容器 一次真空，检漏，二次真空，检漏，加注，检漏，释放压力，回吸及净化状态，加注量达到要求后声音报警，提示加注完毕</w:t>
      </w:r>
      <w:r>
        <w:rPr>
          <w:rFonts w:hint="eastAsia" w:ascii="Times New Roman" w:hAnsi="Times New Roman" w:eastAsia="宋体" w:cs="Times New Roman"/>
          <w:color w:val="000000"/>
          <w:sz w:val="24"/>
          <w:lang w:eastAsia="zh-CN"/>
        </w:rPr>
        <w:t>。</w:t>
      </w:r>
    </w:p>
    <w:p w14:paraId="1707F12A">
      <w:pPr>
        <w:keepNext w:val="0"/>
        <w:keepLines w:val="0"/>
        <w:pageBreakBefore w:val="0"/>
        <w:widowControl/>
        <w:numPr>
          <w:ilvl w:val="0"/>
          <w:numId w:val="620"/>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color w:val="000000"/>
          <w:sz w:val="24"/>
        </w:rPr>
        <w:t>步骤四：操作工将接到加注枪接口端的加注枪卸下，将加注</w:t>
      </w:r>
      <w:r>
        <w:rPr>
          <w:rFonts w:hint="eastAsia" w:ascii="Times New Roman" w:hAnsi="Times New Roman" w:eastAsia="宋体" w:cs="Times New Roman"/>
          <w:color w:val="000000"/>
          <w:sz w:val="24"/>
          <w:lang w:eastAsia="zh-CN"/>
        </w:rPr>
        <w:t>枪</w:t>
      </w:r>
      <w:r>
        <w:rPr>
          <w:rFonts w:ascii="Times New Roman" w:hAnsi="Times New Roman" w:eastAsia="宋体" w:cs="Times New Roman"/>
          <w:color w:val="000000"/>
          <w:sz w:val="24"/>
        </w:rPr>
        <w:t>放置到枪架上</w:t>
      </w:r>
      <w:r>
        <w:rPr>
          <w:rFonts w:hint="eastAsia" w:ascii="Times New Roman" w:hAnsi="Times New Roman" w:eastAsia="宋体" w:cs="Times New Roman"/>
          <w:color w:val="000000"/>
          <w:sz w:val="24"/>
          <w:lang w:eastAsia="zh-CN"/>
        </w:rPr>
        <w:t>。</w:t>
      </w:r>
    </w:p>
    <w:p w14:paraId="7DD79D73">
      <w:pPr>
        <w:keepNext w:val="0"/>
        <w:keepLines w:val="0"/>
        <w:pageBreakBefore w:val="0"/>
        <w:widowControl w:val="0"/>
        <w:numPr>
          <w:ilvl w:val="0"/>
          <w:numId w:val="61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基本要求</w:t>
      </w:r>
    </w:p>
    <w:p w14:paraId="45C312B1">
      <w:pPr>
        <w:keepNext w:val="0"/>
        <w:keepLines w:val="0"/>
        <w:pageBreakBefore w:val="0"/>
        <w:widowControl/>
        <w:numPr>
          <w:ilvl w:val="0"/>
          <w:numId w:val="6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定置定点加注设备</w:t>
      </w:r>
      <w:r>
        <w:rPr>
          <w:rFonts w:hint="eastAsia" w:ascii="Times New Roman" w:hAnsi="Times New Roman" w:eastAsia="宋体" w:cs="Times New Roman"/>
          <w:color w:val="000000"/>
          <w:sz w:val="24"/>
          <w:lang w:eastAsia="zh-CN"/>
        </w:rPr>
        <w:t>。</w:t>
      </w:r>
    </w:p>
    <w:p w14:paraId="195BE183">
      <w:pPr>
        <w:keepNext w:val="0"/>
        <w:keepLines w:val="0"/>
        <w:pageBreakBefore w:val="0"/>
        <w:widowControl/>
        <w:numPr>
          <w:ilvl w:val="0"/>
          <w:numId w:val="6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枪头及软管采用悬挂方式</w:t>
      </w:r>
      <w:r>
        <w:rPr>
          <w:rFonts w:hint="eastAsia" w:ascii="Times New Roman" w:hAnsi="Times New Roman" w:eastAsia="宋体" w:cs="Times New Roman"/>
          <w:color w:val="000000"/>
          <w:sz w:val="24"/>
          <w:lang w:eastAsia="zh-CN"/>
        </w:rPr>
        <w:t>。</w:t>
      </w:r>
    </w:p>
    <w:p w14:paraId="29CB15C9">
      <w:pPr>
        <w:keepNext w:val="0"/>
        <w:keepLines w:val="0"/>
        <w:pageBreakBefore w:val="0"/>
        <w:widowControl/>
        <w:numPr>
          <w:ilvl w:val="0"/>
          <w:numId w:val="6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加注量可以自由设置</w:t>
      </w:r>
      <w:r>
        <w:rPr>
          <w:rFonts w:hint="eastAsia" w:ascii="Times New Roman" w:hAnsi="Times New Roman" w:eastAsia="宋体" w:cs="Times New Roman"/>
          <w:color w:val="000000"/>
          <w:sz w:val="24"/>
          <w:lang w:eastAsia="zh-CN"/>
        </w:rPr>
        <w:t>。</w:t>
      </w:r>
    </w:p>
    <w:p w14:paraId="0D6AF972">
      <w:pPr>
        <w:keepNext w:val="0"/>
        <w:keepLines w:val="0"/>
        <w:pageBreakBefore w:val="0"/>
        <w:widowControl/>
        <w:numPr>
          <w:ilvl w:val="0"/>
          <w:numId w:val="6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加注节拍无要求，加注泵与真空泵、阀体、气动元件等重点设备选型要求与主线设备保持一致</w:t>
      </w:r>
      <w:r>
        <w:rPr>
          <w:rFonts w:hint="eastAsia" w:ascii="Times New Roman" w:hAnsi="Times New Roman" w:eastAsia="宋体" w:cs="Times New Roman"/>
          <w:color w:val="000000"/>
          <w:sz w:val="24"/>
          <w:lang w:eastAsia="zh-CN"/>
        </w:rPr>
        <w:t>。</w:t>
      </w:r>
    </w:p>
    <w:p w14:paraId="7623102B">
      <w:pPr>
        <w:keepNext w:val="0"/>
        <w:keepLines w:val="0"/>
        <w:pageBreakBefore w:val="0"/>
        <w:widowControl/>
        <w:numPr>
          <w:ilvl w:val="0"/>
          <w:numId w:val="62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1套PLC、1套9寸以上触摸屏，以中/英文显示工艺步骤﹑数值及参数设置</w:t>
      </w:r>
      <w:r>
        <w:rPr>
          <w:rFonts w:hint="eastAsia" w:ascii="Times New Roman" w:hAnsi="Times New Roman" w:eastAsia="宋体" w:cs="Times New Roman"/>
          <w:color w:val="000000"/>
          <w:sz w:val="24"/>
          <w:lang w:eastAsia="zh-CN"/>
        </w:rPr>
        <w:t>。</w:t>
      </w:r>
    </w:p>
    <w:p w14:paraId="78DCE414">
      <w:pPr>
        <w:keepNext w:val="0"/>
        <w:keepLines w:val="0"/>
        <w:pageBreakBefore w:val="0"/>
        <w:widowControl w:val="0"/>
        <w:numPr>
          <w:ilvl w:val="0"/>
          <w:numId w:val="60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测试小车</w:t>
      </w:r>
    </w:p>
    <w:p w14:paraId="06DEF3E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hint="default" w:ascii="Times New Roman" w:hAnsi="Times New Roman" w:eastAsia="宋体" w:cs="Times New Roman"/>
          <w:sz w:val="24"/>
          <w:lang w:val="en-US" w:eastAsia="zh-CN"/>
        </w:rPr>
      </w:pPr>
      <w:r>
        <w:rPr>
          <w:rFonts w:ascii="Times New Roman" w:hAnsi="Times New Roman" w:eastAsia="宋体" w:cs="Times New Roman"/>
          <w:sz w:val="24"/>
        </w:rPr>
        <w:t>配备一个测试小车，满足制动测试、冷媒测试及防冻液测试</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为三个独立单元。</w:t>
      </w:r>
    </w:p>
    <w:p w14:paraId="7929CD9F">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激光标签打刻设备技术要求</w:t>
      </w:r>
      <w:r>
        <w:rPr>
          <w:rFonts w:ascii="Times New Roman" w:hAnsi="Times New Roman" w:eastAsia="宋体" w:cs="Times New Roman"/>
          <w:b/>
          <w:sz w:val="24"/>
        </w:rPr>
        <w:tab/>
      </w:r>
    </w:p>
    <w:p w14:paraId="2A95CFBD">
      <w:pPr>
        <w:keepNext w:val="0"/>
        <w:keepLines w:val="0"/>
        <w:pageBreakBefore w:val="0"/>
        <w:widowControl w:val="0"/>
        <w:numPr>
          <w:ilvl w:val="0"/>
          <w:numId w:val="622"/>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 xml:space="preserve">供货清单 </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3"/>
        <w:gridCol w:w="5234"/>
        <w:gridCol w:w="2825"/>
      </w:tblGrid>
      <w:tr w14:paraId="6A8B8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pct"/>
            <w:tcBorders>
              <w:top w:val="single" w:color="auto" w:sz="4" w:space="0"/>
              <w:left w:val="single" w:color="auto" w:sz="4" w:space="0"/>
              <w:bottom w:val="single" w:color="auto" w:sz="4" w:space="0"/>
              <w:right w:val="single" w:color="auto" w:sz="4" w:space="0"/>
            </w:tcBorders>
            <w:vAlign w:val="center"/>
          </w:tcPr>
          <w:p w14:paraId="11DB05E1">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序号</w:t>
            </w:r>
          </w:p>
        </w:tc>
        <w:tc>
          <w:tcPr>
            <w:tcW w:w="2710" w:type="pct"/>
            <w:tcBorders>
              <w:top w:val="single" w:color="auto" w:sz="4" w:space="0"/>
              <w:left w:val="single" w:color="auto" w:sz="4" w:space="0"/>
              <w:bottom w:val="single" w:color="auto" w:sz="4" w:space="0"/>
              <w:right w:val="single" w:color="auto" w:sz="4" w:space="0"/>
            </w:tcBorders>
            <w:vAlign w:val="center"/>
          </w:tcPr>
          <w:p w14:paraId="1528B16B">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分项名称</w:t>
            </w:r>
          </w:p>
        </w:tc>
        <w:tc>
          <w:tcPr>
            <w:tcW w:w="1463" w:type="pct"/>
            <w:tcBorders>
              <w:top w:val="single" w:color="auto" w:sz="4" w:space="0"/>
              <w:left w:val="single" w:color="auto" w:sz="4" w:space="0"/>
              <w:bottom w:val="single" w:color="auto" w:sz="4" w:space="0"/>
              <w:right w:val="single" w:color="auto" w:sz="4" w:space="0"/>
            </w:tcBorders>
            <w:vAlign w:val="center"/>
          </w:tcPr>
          <w:p w14:paraId="0960CC2D">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设备数量</w:t>
            </w:r>
          </w:p>
        </w:tc>
      </w:tr>
      <w:tr w14:paraId="77EB1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5" w:type="pct"/>
            <w:tcBorders>
              <w:top w:val="single" w:color="auto" w:sz="4" w:space="0"/>
              <w:left w:val="single" w:color="auto" w:sz="4" w:space="0"/>
              <w:bottom w:val="single" w:color="auto" w:sz="4" w:space="0"/>
              <w:right w:val="single" w:color="auto" w:sz="4" w:space="0"/>
            </w:tcBorders>
            <w:vAlign w:val="center"/>
          </w:tcPr>
          <w:p w14:paraId="298E1EF4">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1</w:t>
            </w:r>
          </w:p>
        </w:tc>
        <w:tc>
          <w:tcPr>
            <w:tcW w:w="2710" w:type="pct"/>
            <w:tcBorders>
              <w:top w:val="single" w:color="auto" w:sz="4" w:space="0"/>
              <w:left w:val="single" w:color="auto" w:sz="4" w:space="0"/>
              <w:bottom w:val="single" w:color="auto" w:sz="4" w:space="0"/>
              <w:right w:val="single" w:color="auto" w:sz="4" w:space="0"/>
            </w:tcBorders>
            <w:vAlign w:val="center"/>
          </w:tcPr>
          <w:p w14:paraId="0BAB9289">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激光标签打刻设备</w:t>
            </w:r>
          </w:p>
        </w:tc>
        <w:tc>
          <w:tcPr>
            <w:tcW w:w="1463" w:type="pct"/>
            <w:tcBorders>
              <w:top w:val="single" w:color="auto" w:sz="4" w:space="0"/>
              <w:left w:val="single" w:color="auto" w:sz="4" w:space="0"/>
              <w:bottom w:val="single" w:color="auto" w:sz="4" w:space="0"/>
              <w:right w:val="single" w:color="auto" w:sz="4" w:space="0"/>
            </w:tcBorders>
            <w:vAlign w:val="center"/>
          </w:tcPr>
          <w:p w14:paraId="19FD6E68">
            <w:pPr>
              <w:keepNext w:val="0"/>
              <w:keepLines w:val="0"/>
              <w:pageBreakBefore w:val="0"/>
              <w:widowControl w:val="0"/>
              <w:kinsoku/>
              <w:overflowPunct/>
              <w:topLinePunct w:val="0"/>
              <w:bidi w:val="0"/>
              <w:adjustRightInd w:val="0"/>
              <w:snapToGrid w:val="0"/>
              <w:spacing w:afterAutospacing="0" w:line="240" w:lineRule="auto"/>
              <w:ind w:left="0" w:firstLine="0" w:firstLineChars="0"/>
              <w:jc w:val="center"/>
              <w:rPr>
                <w:rFonts w:ascii="宋体" w:hAnsi="宋体" w:eastAsia="宋体" w:cs="宋体"/>
                <w:kern w:val="2"/>
                <w:sz w:val="24"/>
                <w:szCs w:val="24"/>
                <w:lang w:val="en-US" w:eastAsia="zh-CN" w:bidi="ar-SA"/>
              </w:rPr>
            </w:pPr>
            <w:r>
              <w:rPr>
                <w:rFonts w:ascii="宋体" w:hAnsi="宋体" w:eastAsia="宋体" w:cs="宋体"/>
                <w:kern w:val="2"/>
                <w:sz w:val="24"/>
                <w:szCs w:val="24"/>
                <w:lang w:val="en-US" w:eastAsia="zh-CN" w:bidi="ar-SA"/>
              </w:rPr>
              <w:t>1</w:t>
            </w:r>
            <w:r>
              <w:rPr>
                <w:rFonts w:hint="eastAsia" w:ascii="宋体" w:hAnsi="宋体" w:eastAsia="宋体" w:cs="宋体"/>
                <w:kern w:val="2"/>
                <w:sz w:val="24"/>
                <w:szCs w:val="24"/>
                <w:lang w:val="en-US" w:eastAsia="zh-CN" w:bidi="ar-SA"/>
              </w:rPr>
              <w:t>套</w:t>
            </w:r>
          </w:p>
        </w:tc>
      </w:tr>
    </w:tbl>
    <w:p w14:paraId="67462161">
      <w:pPr>
        <w:keepNext w:val="0"/>
        <w:keepLines w:val="0"/>
        <w:pageBreakBefore w:val="0"/>
        <w:widowControl w:val="0"/>
        <w:numPr>
          <w:ilvl w:val="0"/>
          <w:numId w:val="622"/>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工艺技术要求</w:t>
      </w:r>
    </w:p>
    <w:p w14:paraId="21AD3B34">
      <w:pPr>
        <w:keepNext w:val="0"/>
        <w:keepLines w:val="0"/>
        <w:pageBreakBefore w:val="0"/>
        <w:widowControl w:val="0"/>
        <w:numPr>
          <w:ilvl w:val="0"/>
          <w:numId w:val="0"/>
        </w:numPr>
        <w:kinsoku/>
        <w:overflowPunct/>
        <w:topLinePunct w:val="0"/>
        <w:bidi w:val="0"/>
        <w:adjustRightInd w:val="0"/>
        <w:snapToGrid w:val="0"/>
        <w:spacing w:beforeAutospacing="0" w:afterAutospacing="0" w:line="360" w:lineRule="auto"/>
        <w:jc w:val="left"/>
        <w:outlineLvl w:val="4"/>
        <w:rPr>
          <w:rFonts w:hint="eastAsia" w:ascii="Times New Roman" w:hAnsi="Times New Roman" w:eastAsia="宋体" w:cs="Times New Roman"/>
          <w:sz w:val="24"/>
          <w:lang w:eastAsia="zh-CN"/>
        </w:rPr>
      </w:pPr>
      <w:r>
        <w:rPr>
          <w:rFonts w:ascii="Times New Roman" w:hAnsi="Times New Roman" w:eastAsia="宋体" w:cs="Times New Roman"/>
          <w:sz w:val="24"/>
        </w:rPr>
        <w:t>打码信息数据流</w:t>
      </w:r>
      <w:r>
        <w:rPr>
          <w:rFonts w:hint="eastAsia" w:cs="Times New Roman"/>
          <w:sz w:val="24"/>
          <w:lang w:eastAsia="zh-CN"/>
        </w:rPr>
        <w:t>：</w:t>
      </w:r>
    </w:p>
    <w:p w14:paraId="6386E303">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装置从MES获取铭牌或VIN零件号和车辆信息—组织铭牌或VIN参数视图—装置获取视图数据—装置比对数据—装置打刻对应车辆激光铭牌或VIN。</w:t>
      </w:r>
    </w:p>
    <w:p w14:paraId="29D3108B">
      <w:pPr>
        <w:keepNext w:val="0"/>
        <w:keepLines w:val="0"/>
        <w:pageBreakBefore w:val="0"/>
        <w:widowControl w:val="0"/>
        <w:numPr>
          <w:ilvl w:val="0"/>
          <w:numId w:val="622"/>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设备技术要求</w:t>
      </w:r>
    </w:p>
    <w:p w14:paraId="4071A05E">
      <w:pPr>
        <w:keepNext w:val="0"/>
        <w:keepLines w:val="0"/>
        <w:pageBreakBefore w:val="0"/>
        <w:widowControl w:val="0"/>
        <w:numPr>
          <w:ilvl w:val="0"/>
          <w:numId w:val="623"/>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设备基本参数</w:t>
      </w:r>
    </w:p>
    <w:tbl>
      <w:tblPr>
        <w:tblStyle w:val="53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3"/>
        <w:gridCol w:w="7399"/>
      </w:tblGrid>
      <w:tr w14:paraId="3E3DC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4397589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纸卷最大外径</w:t>
            </w:r>
          </w:p>
        </w:tc>
        <w:tc>
          <w:tcPr>
            <w:tcW w:w="3832" w:type="pct"/>
            <w:tcBorders>
              <w:top w:val="single" w:color="auto" w:sz="4" w:space="0"/>
              <w:left w:val="single" w:color="auto" w:sz="4" w:space="0"/>
              <w:bottom w:val="single" w:color="auto" w:sz="4" w:space="0"/>
              <w:right w:val="single" w:color="auto" w:sz="4" w:space="0"/>
            </w:tcBorders>
            <w:vAlign w:val="center"/>
          </w:tcPr>
          <w:p w14:paraId="72235FA6">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不小于</w:t>
            </w:r>
            <w:r>
              <w:rPr>
                <w:rFonts w:ascii="宋体" w:hAnsi="宋体" w:eastAsia="宋体" w:cs="宋体"/>
                <w:kern w:val="0"/>
                <w:sz w:val="24"/>
                <w:szCs w:val="24"/>
              </w:rPr>
              <w:t>300mm</w:t>
            </w:r>
          </w:p>
        </w:tc>
      </w:tr>
      <w:tr w14:paraId="0E20F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24DE4B6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材料宽度</w:t>
            </w:r>
          </w:p>
        </w:tc>
        <w:tc>
          <w:tcPr>
            <w:tcW w:w="3832" w:type="pct"/>
            <w:tcBorders>
              <w:top w:val="single" w:color="auto" w:sz="4" w:space="0"/>
              <w:left w:val="single" w:color="auto" w:sz="4" w:space="0"/>
              <w:bottom w:val="single" w:color="auto" w:sz="4" w:space="0"/>
              <w:right w:val="single" w:color="auto" w:sz="4" w:space="0"/>
            </w:tcBorders>
            <w:vAlign w:val="center"/>
          </w:tcPr>
          <w:p w14:paraId="7888872D">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ascii="宋体" w:hAnsi="宋体" w:eastAsia="宋体" w:cs="宋体"/>
                <w:kern w:val="0"/>
                <w:sz w:val="24"/>
                <w:szCs w:val="24"/>
              </w:rPr>
              <w:t>100mm</w:t>
            </w:r>
          </w:p>
        </w:tc>
      </w:tr>
      <w:tr w14:paraId="2EF39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0E9237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材料厚度</w:t>
            </w:r>
          </w:p>
        </w:tc>
        <w:tc>
          <w:tcPr>
            <w:tcW w:w="3832" w:type="pct"/>
            <w:tcBorders>
              <w:top w:val="single" w:color="auto" w:sz="4" w:space="0"/>
              <w:left w:val="single" w:color="auto" w:sz="4" w:space="0"/>
              <w:bottom w:val="single" w:color="auto" w:sz="4" w:space="0"/>
              <w:right w:val="single" w:color="auto" w:sz="4" w:space="0"/>
            </w:tcBorders>
            <w:vAlign w:val="center"/>
          </w:tcPr>
          <w:p w14:paraId="4FA5EBC2">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ascii="宋体" w:hAnsi="宋体" w:eastAsia="宋体" w:cs="宋体"/>
                <w:kern w:val="0"/>
                <w:sz w:val="24"/>
                <w:szCs w:val="24"/>
              </w:rPr>
              <w:t>0.1</w:t>
            </w:r>
            <w:r>
              <w:rPr>
                <w:rFonts w:hint="eastAsia" w:ascii="宋体" w:hAnsi="宋体" w:eastAsia="宋体" w:cs="宋体"/>
                <w:kern w:val="0"/>
                <w:sz w:val="24"/>
                <w:szCs w:val="24"/>
                <w:lang w:eastAsia="zh-CN"/>
              </w:rPr>
              <w:t>—</w:t>
            </w:r>
            <w:r>
              <w:rPr>
                <w:rFonts w:ascii="宋体" w:hAnsi="宋体" w:eastAsia="宋体" w:cs="宋体"/>
                <w:kern w:val="0"/>
                <w:sz w:val="24"/>
                <w:szCs w:val="24"/>
              </w:rPr>
              <w:t>0.3mm</w:t>
            </w:r>
          </w:p>
        </w:tc>
      </w:tr>
      <w:tr w14:paraId="23132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66103C8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最小光斑直径</w:t>
            </w:r>
          </w:p>
        </w:tc>
        <w:tc>
          <w:tcPr>
            <w:tcW w:w="3832" w:type="pct"/>
            <w:tcBorders>
              <w:top w:val="single" w:color="auto" w:sz="4" w:space="0"/>
              <w:left w:val="single" w:color="auto" w:sz="4" w:space="0"/>
              <w:bottom w:val="single" w:color="auto" w:sz="4" w:space="0"/>
              <w:right w:val="single" w:color="auto" w:sz="4" w:space="0"/>
            </w:tcBorders>
            <w:vAlign w:val="center"/>
          </w:tcPr>
          <w:p w14:paraId="15B687E4">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ascii="宋体" w:hAnsi="宋体" w:eastAsia="宋体" w:cs="宋体"/>
                <w:kern w:val="0"/>
                <w:sz w:val="24"/>
                <w:szCs w:val="24"/>
              </w:rPr>
              <w:t>0.02mm</w:t>
            </w:r>
          </w:p>
        </w:tc>
      </w:tr>
      <w:tr w14:paraId="24B7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4EA5A6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最小字符</w:t>
            </w:r>
          </w:p>
        </w:tc>
        <w:tc>
          <w:tcPr>
            <w:tcW w:w="3832" w:type="pct"/>
            <w:tcBorders>
              <w:top w:val="single" w:color="auto" w:sz="4" w:space="0"/>
              <w:left w:val="single" w:color="auto" w:sz="4" w:space="0"/>
              <w:bottom w:val="single" w:color="auto" w:sz="4" w:space="0"/>
              <w:right w:val="single" w:color="auto" w:sz="4" w:space="0"/>
            </w:tcBorders>
            <w:vAlign w:val="center"/>
          </w:tcPr>
          <w:p w14:paraId="4041484A">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ascii="宋体" w:hAnsi="宋体" w:eastAsia="宋体" w:cs="宋体"/>
                <w:kern w:val="0"/>
                <w:sz w:val="24"/>
                <w:szCs w:val="24"/>
              </w:rPr>
              <w:t>0.2mm</w:t>
            </w:r>
          </w:p>
        </w:tc>
      </w:tr>
      <w:tr w14:paraId="38F3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6056AF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打标区域</w:t>
            </w:r>
          </w:p>
        </w:tc>
        <w:tc>
          <w:tcPr>
            <w:tcW w:w="3832" w:type="pct"/>
            <w:tcBorders>
              <w:top w:val="single" w:color="auto" w:sz="4" w:space="0"/>
              <w:left w:val="single" w:color="auto" w:sz="4" w:space="0"/>
              <w:bottom w:val="single" w:color="auto" w:sz="4" w:space="0"/>
              <w:right w:val="single" w:color="auto" w:sz="4" w:space="0"/>
            </w:tcBorders>
            <w:vAlign w:val="center"/>
          </w:tcPr>
          <w:p w14:paraId="0002F266">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长</w:t>
            </w:r>
            <w:r>
              <w:rPr>
                <w:rFonts w:ascii="宋体" w:hAnsi="宋体" w:eastAsia="宋体" w:cs="宋体"/>
                <w:kern w:val="0"/>
                <w:sz w:val="24"/>
                <w:szCs w:val="24"/>
              </w:rPr>
              <w:t>X宽≥110×110【mm×mm】</w:t>
            </w:r>
          </w:p>
        </w:tc>
      </w:tr>
      <w:tr w14:paraId="05B45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6862F93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重复精度</w:t>
            </w:r>
          </w:p>
        </w:tc>
        <w:tc>
          <w:tcPr>
            <w:tcW w:w="3832" w:type="pct"/>
            <w:tcBorders>
              <w:top w:val="single" w:color="auto" w:sz="4" w:space="0"/>
              <w:left w:val="single" w:color="auto" w:sz="4" w:space="0"/>
              <w:bottom w:val="single" w:color="auto" w:sz="4" w:space="0"/>
              <w:right w:val="single" w:color="auto" w:sz="4" w:space="0"/>
            </w:tcBorders>
            <w:vAlign w:val="center"/>
          </w:tcPr>
          <w:p w14:paraId="3085DAF2">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w:t>
            </w:r>
            <w:r>
              <w:rPr>
                <w:rFonts w:ascii="宋体" w:hAnsi="宋体" w:eastAsia="宋体" w:cs="宋体"/>
                <w:kern w:val="0"/>
                <w:sz w:val="24"/>
                <w:szCs w:val="24"/>
              </w:rPr>
              <w:t>0.01mm</w:t>
            </w:r>
          </w:p>
        </w:tc>
      </w:tr>
      <w:tr w14:paraId="68540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77481E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打刻速度</w:t>
            </w:r>
          </w:p>
        </w:tc>
        <w:tc>
          <w:tcPr>
            <w:tcW w:w="3832" w:type="pct"/>
            <w:tcBorders>
              <w:top w:val="single" w:color="auto" w:sz="4" w:space="0"/>
              <w:left w:val="single" w:color="auto" w:sz="4" w:space="0"/>
              <w:bottom w:val="single" w:color="auto" w:sz="4" w:space="0"/>
              <w:right w:val="single" w:color="auto" w:sz="4" w:space="0"/>
            </w:tcBorders>
            <w:vAlign w:val="center"/>
          </w:tcPr>
          <w:p w14:paraId="250ADBA2">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大于</w:t>
            </w:r>
            <w:r>
              <w:rPr>
                <w:rFonts w:ascii="宋体" w:hAnsi="宋体" w:eastAsia="宋体" w:cs="宋体"/>
                <w:kern w:val="0"/>
                <w:sz w:val="24"/>
                <w:szCs w:val="24"/>
              </w:rPr>
              <w:t>3个字符/秒（3×2mm数字或外文字符）</w:t>
            </w:r>
          </w:p>
        </w:tc>
      </w:tr>
      <w:tr w14:paraId="59F8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4191EF7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设备尺寸</w:t>
            </w:r>
          </w:p>
        </w:tc>
        <w:tc>
          <w:tcPr>
            <w:tcW w:w="3832" w:type="pct"/>
            <w:tcBorders>
              <w:top w:val="single" w:color="auto" w:sz="4" w:space="0"/>
              <w:left w:val="single" w:color="auto" w:sz="4" w:space="0"/>
              <w:bottom w:val="single" w:color="auto" w:sz="4" w:space="0"/>
              <w:right w:val="single" w:color="auto" w:sz="4" w:space="0"/>
            </w:tcBorders>
            <w:vAlign w:val="center"/>
          </w:tcPr>
          <w:p w14:paraId="21BE3755">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长</w:t>
            </w:r>
            <w:r>
              <w:rPr>
                <w:rFonts w:ascii="宋体" w:hAnsi="宋体" w:eastAsia="宋体" w:cs="宋体"/>
                <w:kern w:val="0"/>
                <w:sz w:val="24"/>
                <w:szCs w:val="24"/>
              </w:rPr>
              <w:t>*宽*高≤1000mm*800mm*1800mm</w:t>
            </w:r>
          </w:p>
        </w:tc>
      </w:tr>
      <w:tr w14:paraId="0EA4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5954AE7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打刻内容</w:t>
            </w:r>
          </w:p>
        </w:tc>
        <w:tc>
          <w:tcPr>
            <w:tcW w:w="3832" w:type="pct"/>
            <w:tcBorders>
              <w:top w:val="single" w:color="auto" w:sz="4" w:space="0"/>
              <w:left w:val="single" w:color="auto" w:sz="4" w:space="0"/>
              <w:bottom w:val="single" w:color="auto" w:sz="4" w:space="0"/>
              <w:right w:val="single" w:color="auto" w:sz="4" w:space="0"/>
            </w:tcBorders>
            <w:vAlign w:val="center"/>
          </w:tcPr>
          <w:p w14:paraId="486F9982">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兼容数字、字母、外文等多种文字类型</w:t>
            </w:r>
          </w:p>
        </w:tc>
      </w:tr>
      <w:tr w14:paraId="4C4F1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7" w:type="pct"/>
            <w:tcBorders>
              <w:top w:val="single" w:color="auto" w:sz="4" w:space="0"/>
              <w:left w:val="single" w:color="auto" w:sz="4" w:space="0"/>
              <w:bottom w:val="single" w:color="auto" w:sz="4" w:space="0"/>
              <w:right w:val="single" w:color="auto" w:sz="4" w:space="0"/>
            </w:tcBorders>
            <w:vAlign w:val="center"/>
          </w:tcPr>
          <w:p w14:paraId="35717C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打刻模板</w:t>
            </w:r>
          </w:p>
        </w:tc>
        <w:tc>
          <w:tcPr>
            <w:tcW w:w="3832" w:type="pct"/>
            <w:tcBorders>
              <w:top w:val="single" w:color="auto" w:sz="4" w:space="0"/>
              <w:left w:val="single" w:color="auto" w:sz="4" w:space="0"/>
              <w:bottom w:val="single" w:color="auto" w:sz="4" w:space="0"/>
              <w:right w:val="single" w:color="auto" w:sz="4" w:space="0"/>
            </w:tcBorders>
            <w:vAlign w:val="center"/>
          </w:tcPr>
          <w:p w14:paraId="36D03B08">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宋体"/>
                <w:sz w:val="24"/>
                <w:szCs w:val="24"/>
              </w:rPr>
            </w:pPr>
            <w:r>
              <w:rPr>
                <w:rFonts w:hint="eastAsia" w:ascii="宋体" w:hAnsi="宋体" w:eastAsia="宋体" w:cs="宋体"/>
                <w:kern w:val="0"/>
                <w:sz w:val="24"/>
                <w:szCs w:val="24"/>
              </w:rPr>
              <w:t>可以满足后续新增模板</w:t>
            </w:r>
          </w:p>
        </w:tc>
      </w:tr>
    </w:tbl>
    <w:p w14:paraId="673BEEBF">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风冷脉冲光纤激光器功率不小于20W，含光隔离器。工作温度为：-20°~65°，系统寿命不低于10万小时</w:t>
      </w:r>
      <w:r>
        <w:rPr>
          <w:rFonts w:hint="eastAsia" w:ascii="Times New Roman" w:hAnsi="Times New Roman" w:eastAsia="宋体" w:cs="Times New Roman"/>
          <w:sz w:val="24"/>
          <w:lang w:eastAsia="zh-CN"/>
        </w:rPr>
        <w:t>。</w:t>
      </w:r>
    </w:p>
    <w:p w14:paraId="6C2E901C">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一套激光标记头，包含X、Y扫描振镜，用于将入射激光按输入信号进行反射偏转</w:t>
      </w:r>
      <w:r>
        <w:rPr>
          <w:rFonts w:hint="eastAsia" w:ascii="Times New Roman" w:hAnsi="Times New Roman" w:eastAsia="宋体" w:cs="Times New Roman"/>
          <w:sz w:val="24"/>
          <w:lang w:eastAsia="zh-CN"/>
        </w:rPr>
        <w:t>。</w:t>
      </w:r>
    </w:p>
    <w:p w14:paraId="373C0CA8">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一套平场透镜，用于将通过偏转振镜的激光进行聚焦后打在加工标签纸上</w:t>
      </w:r>
      <w:r>
        <w:rPr>
          <w:rFonts w:hint="eastAsia" w:ascii="Times New Roman" w:hAnsi="Times New Roman" w:eastAsia="宋体" w:cs="Times New Roman"/>
          <w:sz w:val="24"/>
          <w:lang w:eastAsia="zh-CN"/>
        </w:rPr>
        <w:t>。</w:t>
      </w:r>
    </w:p>
    <w:p w14:paraId="6F6678B3">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一套进纸系统，用于输送打刻标签纸。包括展开单元、输送单元、运出单元等；采用进纸机构代替压板结构，保证标签的吸平效果及进退纸过程中的平稳性</w:t>
      </w:r>
      <w:r>
        <w:rPr>
          <w:rFonts w:hint="eastAsia" w:ascii="Times New Roman" w:hAnsi="Times New Roman" w:eastAsia="宋体" w:cs="Times New Roman"/>
          <w:sz w:val="24"/>
          <w:lang w:eastAsia="zh-CN"/>
        </w:rPr>
        <w:t>。</w:t>
      </w:r>
    </w:p>
    <w:p w14:paraId="47DCCDB3">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一套切纸系统，用于将打刻完毕的标签切割下来，切刀处增加润滑油，原则一周增加一次</w:t>
      </w:r>
      <w:r>
        <w:rPr>
          <w:rFonts w:hint="eastAsia" w:ascii="Times New Roman" w:hAnsi="Times New Roman" w:eastAsia="宋体" w:cs="Times New Roman"/>
          <w:sz w:val="24"/>
          <w:lang w:eastAsia="zh-CN"/>
        </w:rPr>
        <w:t>。</w:t>
      </w:r>
    </w:p>
    <w:p w14:paraId="2510F4E0">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标签料盒，用于盛放已经打刻完毕的标签</w:t>
      </w:r>
      <w:r>
        <w:rPr>
          <w:rFonts w:hint="eastAsia" w:ascii="Times New Roman" w:hAnsi="Times New Roman" w:eastAsia="宋体" w:cs="Times New Roman"/>
          <w:sz w:val="24"/>
          <w:lang w:eastAsia="zh-CN"/>
        </w:rPr>
        <w:t>。</w:t>
      </w:r>
    </w:p>
    <w:p w14:paraId="6D8A91A3">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可以实现自动进出纸的上下料系统</w:t>
      </w:r>
      <w:r>
        <w:rPr>
          <w:rFonts w:hint="eastAsia" w:ascii="Times New Roman" w:hAnsi="Times New Roman" w:eastAsia="宋体" w:cs="Times New Roman"/>
          <w:sz w:val="24"/>
          <w:lang w:eastAsia="zh-CN"/>
        </w:rPr>
        <w:t>。</w:t>
      </w:r>
    </w:p>
    <w:p w14:paraId="301A6425">
      <w:pPr>
        <w:keepNext w:val="0"/>
        <w:keepLines w:val="0"/>
        <w:pageBreakBefore w:val="0"/>
        <w:widowControl/>
        <w:numPr>
          <w:ilvl w:val="0"/>
          <w:numId w:val="62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每台设备带一套无线手动扫码枪，工作距离20米以上，扫码成功后有提示音。</w:t>
      </w:r>
    </w:p>
    <w:p w14:paraId="2AC97483">
      <w:pPr>
        <w:keepNext w:val="0"/>
        <w:keepLines w:val="0"/>
        <w:pageBreakBefore w:val="0"/>
        <w:widowControl w:val="0"/>
        <w:numPr>
          <w:ilvl w:val="0"/>
          <w:numId w:val="623"/>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设备组成</w:t>
      </w:r>
    </w:p>
    <w:p w14:paraId="42954A22">
      <w:pPr>
        <w:keepNext w:val="0"/>
        <w:keepLines w:val="0"/>
        <w:pageBreakBefore w:val="0"/>
        <w:widowControl/>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激光标签打标设备打印纸质标签，应当包含以下内容：</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2806"/>
        <w:gridCol w:w="927"/>
        <w:gridCol w:w="753"/>
        <w:gridCol w:w="3123"/>
        <w:gridCol w:w="1300"/>
      </w:tblGrid>
      <w:tr w14:paraId="5ED6A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3B5FDA6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1453" w:type="pct"/>
            <w:tcBorders>
              <w:top w:val="single" w:color="auto" w:sz="4" w:space="0"/>
              <w:left w:val="single" w:color="auto" w:sz="4" w:space="0"/>
              <w:bottom w:val="single" w:color="auto" w:sz="4" w:space="0"/>
              <w:right w:val="single" w:color="auto" w:sz="4" w:space="0"/>
            </w:tcBorders>
            <w:vAlign w:val="center"/>
          </w:tcPr>
          <w:p w14:paraId="779009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sz w:val="24"/>
                <w:szCs w:val="24"/>
              </w:rPr>
              <w:t>内容</w:t>
            </w:r>
          </w:p>
        </w:tc>
        <w:tc>
          <w:tcPr>
            <w:tcW w:w="480" w:type="pct"/>
            <w:tcBorders>
              <w:top w:val="single" w:color="auto" w:sz="4" w:space="0"/>
              <w:left w:val="single" w:color="auto" w:sz="4" w:space="0"/>
              <w:bottom w:val="single" w:color="auto" w:sz="4" w:space="0"/>
              <w:right w:val="single" w:color="auto" w:sz="4" w:space="0"/>
            </w:tcBorders>
            <w:vAlign w:val="center"/>
          </w:tcPr>
          <w:p w14:paraId="111B717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sz w:val="24"/>
                <w:szCs w:val="24"/>
              </w:rPr>
              <w:t>单位</w:t>
            </w:r>
          </w:p>
        </w:tc>
        <w:tc>
          <w:tcPr>
            <w:tcW w:w="390" w:type="pct"/>
            <w:tcBorders>
              <w:top w:val="single" w:color="auto" w:sz="4" w:space="0"/>
              <w:left w:val="single" w:color="auto" w:sz="4" w:space="0"/>
              <w:bottom w:val="single" w:color="auto" w:sz="4" w:space="0"/>
              <w:right w:val="single" w:color="auto" w:sz="4" w:space="0"/>
            </w:tcBorders>
            <w:vAlign w:val="center"/>
          </w:tcPr>
          <w:p w14:paraId="4ACC397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sz w:val="24"/>
                <w:szCs w:val="24"/>
              </w:rPr>
              <w:t>数量</w:t>
            </w:r>
          </w:p>
        </w:tc>
        <w:tc>
          <w:tcPr>
            <w:tcW w:w="1617" w:type="pct"/>
            <w:tcBorders>
              <w:top w:val="single" w:color="auto" w:sz="4" w:space="0"/>
              <w:left w:val="single" w:color="auto" w:sz="4" w:space="0"/>
              <w:bottom w:val="single" w:color="auto" w:sz="4" w:space="0"/>
              <w:right w:val="single" w:color="auto" w:sz="4" w:space="0"/>
            </w:tcBorders>
            <w:vAlign w:val="center"/>
          </w:tcPr>
          <w:p w14:paraId="6D221BC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sz w:val="24"/>
                <w:szCs w:val="24"/>
              </w:rPr>
              <w:t>参数、规格</w:t>
            </w:r>
          </w:p>
        </w:tc>
        <w:tc>
          <w:tcPr>
            <w:tcW w:w="673" w:type="pct"/>
            <w:tcBorders>
              <w:top w:val="single" w:color="auto" w:sz="4" w:space="0"/>
              <w:left w:val="single" w:color="auto" w:sz="4" w:space="0"/>
              <w:bottom w:val="single" w:color="auto" w:sz="4" w:space="0"/>
              <w:right w:val="single" w:color="auto" w:sz="4" w:space="0"/>
            </w:tcBorders>
          </w:tcPr>
          <w:p w14:paraId="479337D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sz w:val="24"/>
                <w:szCs w:val="24"/>
              </w:rPr>
              <w:t>备注</w:t>
            </w:r>
          </w:p>
        </w:tc>
      </w:tr>
      <w:tr w14:paraId="300A6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7046726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ascii="宋体" w:hAnsi="宋体" w:eastAsia="宋体" w:cs="Times New Roman"/>
                <w:sz w:val="24"/>
                <w:szCs w:val="24"/>
              </w:rPr>
              <w:t>1</w:t>
            </w:r>
          </w:p>
        </w:tc>
        <w:tc>
          <w:tcPr>
            <w:tcW w:w="1453" w:type="pct"/>
            <w:tcBorders>
              <w:top w:val="single" w:color="auto" w:sz="4" w:space="0"/>
              <w:left w:val="single" w:color="auto" w:sz="4" w:space="0"/>
              <w:bottom w:val="single" w:color="auto" w:sz="4" w:space="0"/>
              <w:right w:val="single" w:color="auto" w:sz="4" w:space="0"/>
            </w:tcBorders>
            <w:vAlign w:val="center"/>
          </w:tcPr>
          <w:p w14:paraId="08E4560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Times New Roman"/>
                <w:kern w:val="0"/>
                <w:sz w:val="24"/>
                <w:szCs w:val="24"/>
              </w:rPr>
              <w:t>激光打刻系统</w:t>
            </w:r>
          </w:p>
        </w:tc>
        <w:tc>
          <w:tcPr>
            <w:tcW w:w="480" w:type="pct"/>
            <w:tcBorders>
              <w:top w:val="single" w:color="auto" w:sz="4" w:space="0"/>
              <w:left w:val="single" w:color="auto" w:sz="4" w:space="0"/>
              <w:bottom w:val="single" w:color="auto" w:sz="4" w:space="0"/>
              <w:right w:val="single" w:color="auto" w:sz="4" w:space="0"/>
            </w:tcBorders>
            <w:vAlign w:val="center"/>
          </w:tcPr>
          <w:p w14:paraId="193A325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个</w:t>
            </w:r>
          </w:p>
        </w:tc>
        <w:tc>
          <w:tcPr>
            <w:tcW w:w="390" w:type="pct"/>
            <w:tcBorders>
              <w:top w:val="single" w:color="auto" w:sz="4" w:space="0"/>
              <w:left w:val="single" w:color="auto" w:sz="4" w:space="0"/>
              <w:bottom w:val="single" w:color="auto" w:sz="4" w:space="0"/>
              <w:right w:val="single" w:color="auto" w:sz="4" w:space="0"/>
            </w:tcBorders>
            <w:vAlign w:val="center"/>
          </w:tcPr>
          <w:p w14:paraId="3F182C9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w:t>
            </w:r>
          </w:p>
        </w:tc>
        <w:tc>
          <w:tcPr>
            <w:tcW w:w="1617" w:type="pct"/>
            <w:tcBorders>
              <w:top w:val="single" w:color="auto" w:sz="4" w:space="0"/>
              <w:left w:val="single" w:color="auto" w:sz="4" w:space="0"/>
              <w:bottom w:val="single" w:color="auto" w:sz="4" w:space="0"/>
              <w:right w:val="single" w:color="auto" w:sz="4" w:space="0"/>
            </w:tcBorders>
            <w:vAlign w:val="center"/>
          </w:tcPr>
          <w:p w14:paraId="6CA1222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Times New Roman"/>
                <w:kern w:val="0"/>
                <w:sz w:val="24"/>
                <w:szCs w:val="24"/>
              </w:rPr>
              <w:t>含激光器、激光标记头、聚焦镜头等</w:t>
            </w:r>
          </w:p>
        </w:tc>
        <w:tc>
          <w:tcPr>
            <w:tcW w:w="673" w:type="pct"/>
            <w:tcBorders>
              <w:top w:val="single" w:color="auto" w:sz="4" w:space="0"/>
              <w:left w:val="single" w:color="auto" w:sz="4" w:space="0"/>
              <w:bottom w:val="single" w:color="auto" w:sz="4" w:space="0"/>
              <w:right w:val="single" w:color="auto" w:sz="4" w:space="0"/>
            </w:tcBorders>
          </w:tcPr>
          <w:p w14:paraId="5419057E">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Arial"/>
                <w:sz w:val="24"/>
                <w:szCs w:val="24"/>
              </w:rPr>
            </w:pPr>
          </w:p>
        </w:tc>
      </w:tr>
      <w:tr w14:paraId="4E36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595B637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ascii="宋体" w:hAnsi="宋体" w:eastAsia="宋体" w:cs="Times New Roman"/>
                <w:sz w:val="24"/>
                <w:szCs w:val="24"/>
              </w:rPr>
              <w:t>2</w:t>
            </w:r>
          </w:p>
        </w:tc>
        <w:tc>
          <w:tcPr>
            <w:tcW w:w="1453" w:type="pct"/>
            <w:tcBorders>
              <w:top w:val="single" w:color="auto" w:sz="4" w:space="0"/>
              <w:left w:val="single" w:color="auto" w:sz="4" w:space="0"/>
              <w:bottom w:val="single" w:color="auto" w:sz="4" w:space="0"/>
              <w:right w:val="single" w:color="auto" w:sz="4" w:space="0"/>
            </w:tcBorders>
            <w:vAlign w:val="center"/>
          </w:tcPr>
          <w:p w14:paraId="7CC4CA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电控系统</w:t>
            </w:r>
          </w:p>
        </w:tc>
        <w:tc>
          <w:tcPr>
            <w:tcW w:w="480" w:type="pct"/>
            <w:tcBorders>
              <w:top w:val="single" w:color="auto" w:sz="4" w:space="0"/>
              <w:left w:val="single" w:color="auto" w:sz="4" w:space="0"/>
              <w:bottom w:val="single" w:color="auto" w:sz="4" w:space="0"/>
              <w:right w:val="single" w:color="auto" w:sz="4" w:space="0"/>
            </w:tcBorders>
            <w:vAlign w:val="center"/>
          </w:tcPr>
          <w:p w14:paraId="45D64C1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套</w:t>
            </w:r>
          </w:p>
        </w:tc>
        <w:tc>
          <w:tcPr>
            <w:tcW w:w="390" w:type="pct"/>
            <w:tcBorders>
              <w:top w:val="single" w:color="auto" w:sz="4" w:space="0"/>
              <w:left w:val="single" w:color="auto" w:sz="4" w:space="0"/>
              <w:bottom w:val="single" w:color="auto" w:sz="4" w:space="0"/>
              <w:right w:val="single" w:color="auto" w:sz="4" w:space="0"/>
            </w:tcBorders>
            <w:vAlign w:val="center"/>
          </w:tcPr>
          <w:p w14:paraId="1F26321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default" w:ascii="宋体" w:hAnsi="宋体" w:eastAsia="宋体" w:cs="Arial"/>
                <w:sz w:val="24"/>
                <w:szCs w:val="24"/>
              </w:rPr>
              <w:t>1</w:t>
            </w:r>
          </w:p>
        </w:tc>
        <w:tc>
          <w:tcPr>
            <w:tcW w:w="1617" w:type="pct"/>
            <w:tcBorders>
              <w:top w:val="single" w:color="auto" w:sz="4" w:space="0"/>
              <w:left w:val="single" w:color="auto" w:sz="4" w:space="0"/>
              <w:bottom w:val="single" w:color="auto" w:sz="4" w:space="0"/>
              <w:right w:val="single" w:color="auto" w:sz="4" w:space="0"/>
            </w:tcBorders>
            <w:vAlign w:val="center"/>
          </w:tcPr>
          <w:p w14:paraId="6257D59F">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c>
          <w:tcPr>
            <w:tcW w:w="673" w:type="pct"/>
            <w:tcBorders>
              <w:top w:val="single" w:color="auto" w:sz="4" w:space="0"/>
              <w:left w:val="single" w:color="auto" w:sz="4" w:space="0"/>
              <w:bottom w:val="single" w:color="auto" w:sz="4" w:space="0"/>
              <w:right w:val="single" w:color="auto" w:sz="4" w:space="0"/>
            </w:tcBorders>
          </w:tcPr>
          <w:p w14:paraId="211AF809">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r>
      <w:tr w14:paraId="44EB4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3C45E6C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ascii="宋体" w:hAnsi="宋体" w:eastAsia="宋体" w:cs="Times New Roman"/>
                <w:sz w:val="24"/>
                <w:szCs w:val="24"/>
              </w:rPr>
              <w:t>3</w:t>
            </w:r>
          </w:p>
        </w:tc>
        <w:tc>
          <w:tcPr>
            <w:tcW w:w="1453" w:type="pct"/>
            <w:tcBorders>
              <w:top w:val="single" w:color="auto" w:sz="4" w:space="0"/>
              <w:left w:val="single" w:color="auto" w:sz="4" w:space="0"/>
              <w:bottom w:val="single" w:color="auto" w:sz="4" w:space="0"/>
              <w:right w:val="single" w:color="auto" w:sz="4" w:space="0"/>
            </w:tcBorders>
            <w:vAlign w:val="center"/>
          </w:tcPr>
          <w:p w14:paraId="3CB97F6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工控机</w:t>
            </w:r>
          </w:p>
        </w:tc>
        <w:tc>
          <w:tcPr>
            <w:tcW w:w="480" w:type="pct"/>
            <w:tcBorders>
              <w:top w:val="single" w:color="auto" w:sz="4" w:space="0"/>
              <w:left w:val="single" w:color="auto" w:sz="4" w:space="0"/>
              <w:bottom w:val="single" w:color="auto" w:sz="4" w:space="0"/>
              <w:right w:val="single" w:color="auto" w:sz="4" w:space="0"/>
            </w:tcBorders>
            <w:vAlign w:val="center"/>
          </w:tcPr>
          <w:p w14:paraId="617935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个</w:t>
            </w:r>
          </w:p>
        </w:tc>
        <w:tc>
          <w:tcPr>
            <w:tcW w:w="390" w:type="pct"/>
            <w:tcBorders>
              <w:top w:val="single" w:color="auto" w:sz="4" w:space="0"/>
              <w:left w:val="single" w:color="auto" w:sz="4" w:space="0"/>
              <w:bottom w:val="single" w:color="auto" w:sz="4" w:space="0"/>
              <w:right w:val="single" w:color="auto" w:sz="4" w:space="0"/>
            </w:tcBorders>
            <w:vAlign w:val="center"/>
          </w:tcPr>
          <w:p w14:paraId="0B48F4F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default" w:ascii="宋体" w:hAnsi="宋体" w:eastAsia="宋体" w:cs="Arial"/>
                <w:sz w:val="24"/>
                <w:szCs w:val="24"/>
              </w:rPr>
              <w:t>1</w:t>
            </w:r>
          </w:p>
        </w:tc>
        <w:tc>
          <w:tcPr>
            <w:tcW w:w="1617" w:type="pct"/>
            <w:tcBorders>
              <w:top w:val="single" w:color="auto" w:sz="4" w:space="0"/>
              <w:left w:val="single" w:color="auto" w:sz="4" w:space="0"/>
              <w:bottom w:val="single" w:color="auto" w:sz="4" w:space="0"/>
              <w:right w:val="single" w:color="auto" w:sz="4" w:space="0"/>
            </w:tcBorders>
            <w:vAlign w:val="center"/>
          </w:tcPr>
          <w:p w14:paraId="2CE5F08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具备</w:t>
            </w:r>
            <w:r>
              <w:rPr>
                <w:rFonts w:hint="default" w:ascii="宋体" w:hAnsi="宋体" w:eastAsia="宋体" w:cs="Arial"/>
                <w:sz w:val="24"/>
                <w:szCs w:val="24"/>
              </w:rPr>
              <w:t>UPS</w:t>
            </w:r>
          </w:p>
        </w:tc>
        <w:tc>
          <w:tcPr>
            <w:tcW w:w="673" w:type="pct"/>
            <w:tcBorders>
              <w:top w:val="single" w:color="auto" w:sz="4" w:space="0"/>
              <w:left w:val="single" w:color="auto" w:sz="4" w:space="0"/>
              <w:bottom w:val="single" w:color="auto" w:sz="4" w:space="0"/>
              <w:right w:val="single" w:color="auto" w:sz="4" w:space="0"/>
            </w:tcBorders>
          </w:tcPr>
          <w:p w14:paraId="520F94E0">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r>
      <w:tr w14:paraId="7A923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2CF4C81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ascii="宋体" w:hAnsi="宋体" w:eastAsia="宋体" w:cs="Times New Roman"/>
                <w:sz w:val="24"/>
                <w:szCs w:val="24"/>
              </w:rPr>
              <w:t>4</w:t>
            </w:r>
          </w:p>
        </w:tc>
        <w:tc>
          <w:tcPr>
            <w:tcW w:w="1453" w:type="pct"/>
            <w:tcBorders>
              <w:top w:val="single" w:color="auto" w:sz="4" w:space="0"/>
              <w:left w:val="single" w:color="auto" w:sz="4" w:space="0"/>
              <w:bottom w:val="single" w:color="auto" w:sz="4" w:space="0"/>
              <w:right w:val="single" w:color="auto" w:sz="4" w:space="0"/>
            </w:tcBorders>
            <w:vAlign w:val="center"/>
          </w:tcPr>
          <w:p w14:paraId="33DE138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供纸系统、切纸系统</w:t>
            </w:r>
          </w:p>
        </w:tc>
        <w:tc>
          <w:tcPr>
            <w:tcW w:w="480" w:type="pct"/>
            <w:tcBorders>
              <w:top w:val="single" w:color="auto" w:sz="4" w:space="0"/>
              <w:left w:val="single" w:color="auto" w:sz="4" w:space="0"/>
              <w:bottom w:val="single" w:color="auto" w:sz="4" w:space="0"/>
              <w:right w:val="single" w:color="auto" w:sz="4" w:space="0"/>
            </w:tcBorders>
            <w:vAlign w:val="center"/>
          </w:tcPr>
          <w:p w14:paraId="063B106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个</w:t>
            </w:r>
          </w:p>
        </w:tc>
        <w:tc>
          <w:tcPr>
            <w:tcW w:w="390" w:type="pct"/>
            <w:tcBorders>
              <w:top w:val="single" w:color="auto" w:sz="4" w:space="0"/>
              <w:left w:val="single" w:color="auto" w:sz="4" w:space="0"/>
              <w:bottom w:val="single" w:color="auto" w:sz="4" w:space="0"/>
              <w:right w:val="single" w:color="auto" w:sz="4" w:space="0"/>
            </w:tcBorders>
            <w:vAlign w:val="center"/>
          </w:tcPr>
          <w:p w14:paraId="2AAC8D9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default" w:ascii="宋体" w:hAnsi="宋体" w:eastAsia="宋体" w:cs="Arial"/>
                <w:sz w:val="24"/>
                <w:szCs w:val="24"/>
              </w:rPr>
              <w:t>1</w:t>
            </w:r>
          </w:p>
        </w:tc>
        <w:tc>
          <w:tcPr>
            <w:tcW w:w="1617" w:type="pct"/>
            <w:tcBorders>
              <w:top w:val="single" w:color="auto" w:sz="4" w:space="0"/>
              <w:left w:val="single" w:color="auto" w:sz="4" w:space="0"/>
              <w:bottom w:val="single" w:color="auto" w:sz="4" w:space="0"/>
              <w:right w:val="single" w:color="auto" w:sz="4" w:space="0"/>
            </w:tcBorders>
            <w:vAlign w:val="center"/>
          </w:tcPr>
          <w:p w14:paraId="10404760">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c>
          <w:tcPr>
            <w:tcW w:w="673" w:type="pct"/>
            <w:tcBorders>
              <w:top w:val="single" w:color="auto" w:sz="4" w:space="0"/>
              <w:left w:val="single" w:color="auto" w:sz="4" w:space="0"/>
              <w:bottom w:val="single" w:color="auto" w:sz="4" w:space="0"/>
              <w:right w:val="single" w:color="auto" w:sz="4" w:space="0"/>
            </w:tcBorders>
          </w:tcPr>
          <w:p w14:paraId="15F62D4F">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r>
      <w:tr w14:paraId="1D3E1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3D756EE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ascii="宋体" w:hAnsi="宋体" w:eastAsia="宋体" w:cs="Times New Roman"/>
                <w:sz w:val="24"/>
                <w:szCs w:val="24"/>
              </w:rPr>
              <w:t>5</w:t>
            </w:r>
          </w:p>
        </w:tc>
        <w:tc>
          <w:tcPr>
            <w:tcW w:w="1453" w:type="pct"/>
            <w:tcBorders>
              <w:top w:val="single" w:color="auto" w:sz="4" w:space="0"/>
              <w:left w:val="single" w:color="auto" w:sz="4" w:space="0"/>
              <w:bottom w:val="single" w:color="auto" w:sz="4" w:space="0"/>
              <w:right w:val="single" w:color="auto" w:sz="4" w:space="0"/>
            </w:tcBorders>
            <w:vAlign w:val="center"/>
          </w:tcPr>
          <w:p w14:paraId="67A1D25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吸尘系统</w:t>
            </w:r>
          </w:p>
        </w:tc>
        <w:tc>
          <w:tcPr>
            <w:tcW w:w="480" w:type="pct"/>
            <w:tcBorders>
              <w:top w:val="single" w:color="auto" w:sz="4" w:space="0"/>
              <w:left w:val="single" w:color="auto" w:sz="4" w:space="0"/>
              <w:bottom w:val="single" w:color="auto" w:sz="4" w:space="0"/>
              <w:right w:val="single" w:color="auto" w:sz="4" w:space="0"/>
            </w:tcBorders>
            <w:vAlign w:val="center"/>
          </w:tcPr>
          <w:p w14:paraId="6616F28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套</w:t>
            </w:r>
          </w:p>
        </w:tc>
        <w:tc>
          <w:tcPr>
            <w:tcW w:w="390" w:type="pct"/>
            <w:tcBorders>
              <w:top w:val="single" w:color="auto" w:sz="4" w:space="0"/>
              <w:left w:val="single" w:color="auto" w:sz="4" w:space="0"/>
              <w:bottom w:val="single" w:color="auto" w:sz="4" w:space="0"/>
              <w:right w:val="single" w:color="auto" w:sz="4" w:space="0"/>
            </w:tcBorders>
            <w:vAlign w:val="center"/>
          </w:tcPr>
          <w:p w14:paraId="37FBF55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default" w:ascii="宋体" w:hAnsi="宋体" w:eastAsia="宋体" w:cs="Arial"/>
                <w:sz w:val="24"/>
                <w:szCs w:val="24"/>
              </w:rPr>
              <w:t>1</w:t>
            </w:r>
          </w:p>
        </w:tc>
        <w:tc>
          <w:tcPr>
            <w:tcW w:w="1617" w:type="pct"/>
            <w:tcBorders>
              <w:top w:val="single" w:color="auto" w:sz="4" w:space="0"/>
              <w:left w:val="single" w:color="auto" w:sz="4" w:space="0"/>
              <w:bottom w:val="single" w:color="auto" w:sz="4" w:space="0"/>
              <w:right w:val="single" w:color="auto" w:sz="4" w:space="0"/>
            </w:tcBorders>
            <w:vAlign w:val="center"/>
          </w:tcPr>
          <w:p w14:paraId="3A47C6A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收集、净化打刻产生的烟尘</w:t>
            </w:r>
          </w:p>
        </w:tc>
        <w:tc>
          <w:tcPr>
            <w:tcW w:w="673" w:type="pct"/>
            <w:tcBorders>
              <w:top w:val="single" w:color="auto" w:sz="4" w:space="0"/>
              <w:left w:val="single" w:color="auto" w:sz="4" w:space="0"/>
              <w:bottom w:val="single" w:color="auto" w:sz="4" w:space="0"/>
              <w:right w:val="single" w:color="auto" w:sz="4" w:space="0"/>
            </w:tcBorders>
          </w:tcPr>
          <w:p w14:paraId="21399E10">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r>
      <w:tr w14:paraId="155A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84" w:type="pct"/>
            <w:tcBorders>
              <w:top w:val="single" w:color="auto" w:sz="4" w:space="0"/>
              <w:left w:val="single" w:color="auto" w:sz="4" w:space="0"/>
              <w:bottom w:val="single" w:color="auto" w:sz="4" w:space="0"/>
              <w:right w:val="single" w:color="auto" w:sz="4" w:space="0"/>
            </w:tcBorders>
            <w:vAlign w:val="center"/>
          </w:tcPr>
          <w:p w14:paraId="57363C0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ascii="宋体" w:hAnsi="宋体" w:eastAsia="宋体" w:cs="Times New Roman"/>
                <w:sz w:val="24"/>
                <w:szCs w:val="24"/>
              </w:rPr>
              <w:t>6</w:t>
            </w:r>
          </w:p>
        </w:tc>
        <w:tc>
          <w:tcPr>
            <w:tcW w:w="1453" w:type="pct"/>
            <w:tcBorders>
              <w:top w:val="single" w:color="auto" w:sz="4" w:space="0"/>
              <w:left w:val="single" w:color="auto" w:sz="4" w:space="0"/>
              <w:bottom w:val="single" w:color="auto" w:sz="4" w:space="0"/>
              <w:right w:val="single" w:color="auto" w:sz="4" w:space="0"/>
            </w:tcBorders>
            <w:vAlign w:val="center"/>
          </w:tcPr>
          <w:p w14:paraId="7D76EB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Times New Roman"/>
                <w:kern w:val="0"/>
                <w:sz w:val="24"/>
                <w:szCs w:val="24"/>
              </w:rPr>
              <w:t>激光打刻</w:t>
            </w:r>
            <w:r>
              <w:rPr>
                <w:rFonts w:hint="eastAsia" w:ascii="宋体" w:hAnsi="宋体" w:eastAsia="宋体" w:cs="Arial"/>
                <w:sz w:val="24"/>
                <w:szCs w:val="24"/>
              </w:rPr>
              <w:t>软件</w:t>
            </w:r>
          </w:p>
        </w:tc>
        <w:tc>
          <w:tcPr>
            <w:tcW w:w="480" w:type="pct"/>
            <w:tcBorders>
              <w:top w:val="single" w:color="auto" w:sz="4" w:space="0"/>
              <w:left w:val="single" w:color="auto" w:sz="4" w:space="0"/>
              <w:bottom w:val="single" w:color="auto" w:sz="4" w:space="0"/>
              <w:right w:val="single" w:color="auto" w:sz="4" w:space="0"/>
            </w:tcBorders>
            <w:vAlign w:val="center"/>
          </w:tcPr>
          <w:p w14:paraId="4569963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套</w:t>
            </w:r>
          </w:p>
        </w:tc>
        <w:tc>
          <w:tcPr>
            <w:tcW w:w="390" w:type="pct"/>
            <w:tcBorders>
              <w:top w:val="single" w:color="auto" w:sz="4" w:space="0"/>
              <w:left w:val="single" w:color="auto" w:sz="4" w:space="0"/>
              <w:bottom w:val="single" w:color="auto" w:sz="4" w:space="0"/>
              <w:right w:val="single" w:color="auto" w:sz="4" w:space="0"/>
            </w:tcBorders>
            <w:vAlign w:val="center"/>
          </w:tcPr>
          <w:p w14:paraId="567C2AC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default" w:ascii="宋体" w:hAnsi="宋体" w:eastAsia="宋体" w:cs="Arial"/>
                <w:sz w:val="24"/>
                <w:szCs w:val="24"/>
              </w:rPr>
              <w:t>1</w:t>
            </w:r>
          </w:p>
        </w:tc>
        <w:tc>
          <w:tcPr>
            <w:tcW w:w="1617" w:type="pct"/>
            <w:tcBorders>
              <w:top w:val="single" w:color="auto" w:sz="4" w:space="0"/>
              <w:left w:val="single" w:color="auto" w:sz="4" w:space="0"/>
              <w:bottom w:val="single" w:color="auto" w:sz="4" w:space="0"/>
              <w:right w:val="single" w:color="auto" w:sz="4" w:space="0"/>
            </w:tcBorders>
            <w:vAlign w:val="center"/>
          </w:tcPr>
          <w:p w14:paraId="43B7EEA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Times New Roman"/>
                <w:sz w:val="24"/>
                <w:szCs w:val="24"/>
              </w:rPr>
            </w:pPr>
            <w:r>
              <w:rPr>
                <w:rFonts w:hint="eastAsia" w:ascii="宋体" w:hAnsi="宋体" w:eastAsia="宋体" w:cs="Arial"/>
                <w:sz w:val="24"/>
                <w:szCs w:val="24"/>
              </w:rPr>
              <w:t>需与</w:t>
            </w:r>
            <w:r>
              <w:rPr>
                <w:rFonts w:hint="default" w:ascii="宋体" w:hAnsi="宋体" w:eastAsia="宋体" w:cs="Arial"/>
                <w:sz w:val="24"/>
                <w:szCs w:val="24"/>
              </w:rPr>
              <w:t>M</w:t>
            </w:r>
            <w:r>
              <w:rPr>
                <w:rFonts w:hint="eastAsia" w:ascii="宋体" w:hAnsi="宋体" w:eastAsia="宋体" w:cs="Arial"/>
                <w:sz w:val="24"/>
                <w:szCs w:val="24"/>
                <w:lang w:val="en-US" w:eastAsia="zh-CN"/>
              </w:rPr>
              <w:t>ES</w:t>
            </w:r>
            <w:r>
              <w:rPr>
                <w:rFonts w:hint="default" w:ascii="宋体" w:hAnsi="宋体" w:eastAsia="宋体" w:cs="Arial"/>
                <w:sz w:val="24"/>
                <w:szCs w:val="24"/>
              </w:rPr>
              <w:t>系统交互</w:t>
            </w:r>
          </w:p>
        </w:tc>
        <w:tc>
          <w:tcPr>
            <w:tcW w:w="673" w:type="pct"/>
            <w:tcBorders>
              <w:top w:val="single" w:color="auto" w:sz="4" w:space="0"/>
              <w:left w:val="single" w:color="auto" w:sz="4" w:space="0"/>
              <w:bottom w:val="single" w:color="auto" w:sz="4" w:space="0"/>
              <w:right w:val="single" w:color="auto" w:sz="4" w:space="0"/>
            </w:tcBorders>
          </w:tcPr>
          <w:p w14:paraId="6BFF7D46">
            <w:pPr>
              <w:keepNext w:val="0"/>
              <w:keepLines w:val="0"/>
              <w:pageBreakBefore w:val="0"/>
              <w:kinsoku/>
              <w:overflowPunct/>
              <w:topLinePunct w:val="0"/>
              <w:bidi w:val="0"/>
              <w:adjustRightInd w:val="0"/>
              <w:snapToGrid w:val="0"/>
              <w:spacing w:afterAutospacing="0" w:line="240" w:lineRule="auto"/>
              <w:ind w:left="240" w:firstLine="240"/>
              <w:jc w:val="center"/>
              <w:rPr>
                <w:rFonts w:ascii="宋体" w:hAnsi="宋体" w:eastAsia="宋体" w:cs="Times New Roman"/>
                <w:sz w:val="24"/>
                <w:szCs w:val="24"/>
              </w:rPr>
            </w:pPr>
          </w:p>
        </w:tc>
      </w:tr>
    </w:tbl>
    <w:p w14:paraId="6D49B41C">
      <w:pPr>
        <w:keepNext w:val="0"/>
        <w:keepLines w:val="0"/>
        <w:pageBreakBefore w:val="0"/>
        <w:widowControl/>
        <w:numPr>
          <w:ilvl w:val="0"/>
          <w:numId w:val="62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设备整体尺寸要求在投标文件中提供，包括吸尘系统，并对各结构单元功能详细说明</w:t>
      </w:r>
      <w:r>
        <w:rPr>
          <w:rFonts w:hint="eastAsia" w:ascii="Times New Roman" w:hAnsi="Times New Roman" w:eastAsia="宋体" w:cs="Times New Roman"/>
          <w:sz w:val="24"/>
          <w:lang w:eastAsia="zh-CN"/>
        </w:rPr>
        <w:t>。</w:t>
      </w:r>
    </w:p>
    <w:p w14:paraId="3CEA518C">
      <w:pPr>
        <w:keepNext w:val="0"/>
        <w:keepLines w:val="0"/>
        <w:pageBreakBefore w:val="0"/>
        <w:widowControl/>
        <w:numPr>
          <w:ilvl w:val="0"/>
          <w:numId w:val="62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进纸系统可自动连续循环上料，自动送纸</w:t>
      </w:r>
      <w:r>
        <w:rPr>
          <w:rFonts w:hint="eastAsia" w:ascii="Times New Roman" w:hAnsi="Times New Roman" w:eastAsia="宋体" w:cs="Times New Roman"/>
          <w:sz w:val="24"/>
          <w:lang w:eastAsia="zh-CN"/>
        </w:rPr>
        <w:t>－</w:t>
      </w:r>
      <w:r>
        <w:rPr>
          <w:rFonts w:ascii="Times New Roman" w:hAnsi="Times New Roman" w:eastAsia="宋体" w:cs="Times New Roman"/>
          <w:sz w:val="24"/>
        </w:rPr>
        <w:t>切纸</w:t>
      </w:r>
      <w:r>
        <w:rPr>
          <w:rFonts w:hint="eastAsia" w:ascii="Times New Roman" w:hAnsi="Times New Roman" w:eastAsia="宋体" w:cs="Times New Roman"/>
          <w:sz w:val="24"/>
          <w:lang w:eastAsia="zh-CN"/>
        </w:rPr>
        <w:t>－</w:t>
      </w:r>
      <w:r>
        <w:rPr>
          <w:rFonts w:ascii="Times New Roman" w:hAnsi="Times New Roman" w:eastAsia="宋体" w:cs="Times New Roman"/>
          <w:sz w:val="24"/>
        </w:rPr>
        <w:t>退纸，具备纸张偏离、卡纸、缺纸、纸张张紧度异常等报警功能</w:t>
      </w:r>
      <w:r>
        <w:rPr>
          <w:rFonts w:hint="eastAsia" w:ascii="Times New Roman" w:hAnsi="Times New Roman" w:eastAsia="宋体" w:cs="Times New Roman"/>
          <w:sz w:val="24"/>
          <w:lang w:eastAsia="zh-CN"/>
        </w:rPr>
        <w:t>。</w:t>
      </w:r>
    </w:p>
    <w:p w14:paraId="3ABA37BD">
      <w:pPr>
        <w:keepNext w:val="0"/>
        <w:keepLines w:val="0"/>
        <w:pageBreakBefore w:val="0"/>
        <w:widowControl/>
        <w:numPr>
          <w:ilvl w:val="0"/>
          <w:numId w:val="62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标签纸处理系统应保证连续走纸195毫米无故障（195mm），且无需人员干预，走纸定位精度≤0.5mm，送纸速度≥200mm/s，切纸精度±0.5mm</w:t>
      </w:r>
      <w:r>
        <w:rPr>
          <w:rFonts w:hint="eastAsia" w:ascii="Times New Roman" w:hAnsi="Times New Roman" w:eastAsia="宋体" w:cs="Times New Roman"/>
          <w:sz w:val="24"/>
          <w:lang w:eastAsia="zh-CN"/>
        </w:rPr>
        <w:t>。</w:t>
      </w:r>
    </w:p>
    <w:p w14:paraId="533705DD">
      <w:pPr>
        <w:keepNext w:val="0"/>
        <w:keepLines w:val="0"/>
        <w:pageBreakBefore w:val="0"/>
        <w:widowControl/>
        <w:numPr>
          <w:ilvl w:val="0"/>
          <w:numId w:val="62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设备气源入口安装空气干燥过滤器一个，空气干燥过滤器采用一寸口径</w:t>
      </w:r>
    </w:p>
    <w:p w14:paraId="377B508A">
      <w:pPr>
        <w:keepNext w:val="0"/>
        <w:keepLines w:val="0"/>
        <w:pageBreakBefore w:val="0"/>
        <w:widowControl/>
        <w:numPr>
          <w:ilvl w:val="0"/>
          <w:numId w:val="62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进纸机构中辊子轴承之外部件采用铝合金材质，各部件周边采取圆角处理。轴承须留有润滑油嘴。辊子张进装置需要具有张进自锁功能。</w:t>
      </w:r>
    </w:p>
    <w:p w14:paraId="4E6D7973">
      <w:pPr>
        <w:keepNext w:val="0"/>
        <w:keepLines w:val="0"/>
        <w:pageBreakBefore w:val="0"/>
        <w:widowControl/>
        <w:numPr>
          <w:ilvl w:val="0"/>
          <w:numId w:val="62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5000次以内的打刻次数，无需人工清洁料框，且打刻镜片应至少满足1000次无需更换，设备可以正常运行</w:t>
      </w:r>
      <w:r>
        <w:rPr>
          <w:rFonts w:hint="eastAsia" w:ascii="Times New Roman" w:hAnsi="Times New Roman" w:eastAsia="宋体" w:cs="Times New Roman"/>
          <w:sz w:val="24"/>
          <w:lang w:eastAsia="zh-CN"/>
        </w:rPr>
        <w:t>。</w:t>
      </w:r>
    </w:p>
    <w:p w14:paraId="19A6E2F0">
      <w:pPr>
        <w:keepNext w:val="0"/>
        <w:keepLines w:val="0"/>
        <w:pageBreakBefore w:val="0"/>
        <w:widowControl w:val="0"/>
        <w:numPr>
          <w:ilvl w:val="0"/>
          <w:numId w:val="623"/>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电气及软件要求</w:t>
      </w:r>
    </w:p>
    <w:p w14:paraId="552484E7">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设备预留网络接口，软件采用PROFINET或TCP/IP通讯协议。激光刻膜机具备可通过扫码获取车型代码信息的功能</w:t>
      </w:r>
      <w:r>
        <w:rPr>
          <w:rFonts w:hint="eastAsia" w:ascii="Times New Roman" w:hAnsi="Times New Roman" w:eastAsia="宋体" w:cs="Times New Roman"/>
          <w:sz w:val="24"/>
          <w:lang w:eastAsia="zh-CN"/>
        </w:rPr>
        <w:t>。</w:t>
      </w:r>
    </w:p>
    <w:p w14:paraId="0BF4A744">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设备人工打刻界面和扫码/网络模式的切换应通过两个界面展示，不可混淆在一起</w:t>
      </w:r>
      <w:r>
        <w:rPr>
          <w:rFonts w:hint="eastAsia" w:ascii="Times New Roman" w:hAnsi="Times New Roman" w:eastAsia="宋体" w:cs="Times New Roman"/>
          <w:sz w:val="24"/>
          <w:lang w:eastAsia="zh-CN"/>
        </w:rPr>
        <w:t>。</w:t>
      </w:r>
    </w:p>
    <w:p w14:paraId="102DB2F2">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模板操作软件采用EZCAD编辑，激光控制软件和模板编辑软件分开编辑</w:t>
      </w:r>
      <w:r>
        <w:rPr>
          <w:rFonts w:hint="eastAsia" w:ascii="Times New Roman" w:hAnsi="Times New Roman" w:eastAsia="宋体" w:cs="Times New Roman"/>
          <w:sz w:val="24"/>
          <w:lang w:eastAsia="zh-CN"/>
        </w:rPr>
        <w:t>。</w:t>
      </w:r>
    </w:p>
    <w:p w14:paraId="37E88475">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操作用户单机模式下输入VIN和整车型号即可自动调取本地信息打刻，工艺员用户单机模式下可以修改任何一项条目进行打刻</w:t>
      </w:r>
      <w:r>
        <w:rPr>
          <w:rFonts w:hint="eastAsia" w:ascii="Times New Roman" w:hAnsi="Times New Roman" w:eastAsia="宋体" w:cs="Times New Roman"/>
          <w:sz w:val="24"/>
          <w:lang w:eastAsia="zh-CN"/>
        </w:rPr>
        <w:t>。</w:t>
      </w:r>
    </w:p>
    <w:p w14:paraId="2EBD417D">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软件支持扫码枪识别的内容</w:t>
      </w:r>
      <w:r>
        <w:rPr>
          <w:rFonts w:hint="eastAsia" w:ascii="Times New Roman" w:hAnsi="Times New Roman" w:eastAsia="宋体" w:cs="Times New Roman"/>
          <w:sz w:val="24"/>
          <w:lang w:eastAsia="zh-CN"/>
        </w:rPr>
        <w:t>。</w:t>
      </w:r>
    </w:p>
    <w:p w14:paraId="68AA9519">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软件支持重复打印提醒，支持打印计时，支持已打数据查询</w:t>
      </w:r>
      <w:r>
        <w:rPr>
          <w:rFonts w:hint="eastAsia" w:ascii="Times New Roman" w:hAnsi="Times New Roman" w:eastAsia="宋体" w:cs="Times New Roman"/>
          <w:sz w:val="24"/>
          <w:lang w:eastAsia="zh-CN"/>
        </w:rPr>
        <w:t>。</w:t>
      </w:r>
    </w:p>
    <w:p w14:paraId="42F53BA8">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软件支持本地数据、系统数据导出，导出格式为标准EXCEL格式</w:t>
      </w:r>
      <w:r>
        <w:rPr>
          <w:rFonts w:hint="eastAsia" w:ascii="Times New Roman" w:hAnsi="Times New Roman" w:eastAsia="宋体" w:cs="Times New Roman"/>
          <w:sz w:val="24"/>
          <w:lang w:eastAsia="zh-CN"/>
        </w:rPr>
        <w:t>。</w:t>
      </w:r>
    </w:p>
    <w:p w14:paraId="0415EE5C">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设备使用者、维修者、工艺参数维护者需要严格的划分权限，操作用户只能操作使用设备。维修用户可以维修、标定设备。工艺员用户可以修改、备份设备工艺参数</w:t>
      </w:r>
      <w:r>
        <w:rPr>
          <w:rFonts w:hint="eastAsia" w:ascii="Times New Roman" w:hAnsi="Times New Roman" w:eastAsia="宋体" w:cs="Times New Roman"/>
          <w:sz w:val="24"/>
          <w:lang w:eastAsia="zh-CN"/>
        </w:rPr>
        <w:t>。</w:t>
      </w:r>
    </w:p>
    <w:p w14:paraId="3D8D2EFB">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设备必须具有修改和备份记录功能。即：可以清楚的记录，修改时间，修改或备份哪些内容，此记录功能不允许任何无权限人员修改</w:t>
      </w:r>
      <w:r>
        <w:rPr>
          <w:rFonts w:hint="eastAsia" w:ascii="Times New Roman" w:hAnsi="Times New Roman" w:eastAsia="宋体" w:cs="Times New Roman"/>
          <w:sz w:val="24"/>
          <w:lang w:eastAsia="zh-CN"/>
        </w:rPr>
        <w:t>。</w:t>
      </w:r>
    </w:p>
    <w:p w14:paraId="56A1AACB">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无论使用生产软件打刻还是备份软件打刻，设备需按照时间先后的打刻顺序留存记录，且在同一个表格中</w:t>
      </w:r>
      <w:r>
        <w:rPr>
          <w:rFonts w:hint="eastAsia" w:ascii="Times New Roman" w:hAnsi="Times New Roman" w:eastAsia="宋体" w:cs="Times New Roman"/>
          <w:sz w:val="24"/>
          <w:lang w:eastAsia="zh-CN"/>
        </w:rPr>
        <w:t>。</w:t>
      </w:r>
    </w:p>
    <w:p w14:paraId="737DADD3">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软件具备快速查找和批量选取多行信息的功能</w:t>
      </w:r>
      <w:r>
        <w:rPr>
          <w:rFonts w:hint="eastAsia" w:ascii="Times New Roman" w:hAnsi="Times New Roman" w:eastAsia="宋体" w:cs="Times New Roman"/>
          <w:sz w:val="24"/>
          <w:lang w:eastAsia="zh-CN"/>
        </w:rPr>
        <w:t>。</w:t>
      </w:r>
    </w:p>
    <w:p w14:paraId="27C8A992">
      <w:pPr>
        <w:keepNext w:val="0"/>
        <w:keepLines w:val="0"/>
        <w:pageBreakBefore w:val="0"/>
        <w:widowControl/>
        <w:numPr>
          <w:ilvl w:val="0"/>
          <w:numId w:val="62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选取设备中的预设车型信息进行操作（新增、删除、修改）时，显示界面按车型谱系或车型规格号显示，每次编辑仅能选择一个车型规格号信息进行编辑</w:t>
      </w:r>
      <w:r>
        <w:rPr>
          <w:rFonts w:hint="eastAsia" w:ascii="Times New Roman" w:hAnsi="Times New Roman" w:eastAsia="宋体" w:cs="Times New Roman"/>
          <w:sz w:val="24"/>
          <w:lang w:eastAsia="zh-CN"/>
        </w:rPr>
        <w:t>。</w:t>
      </w:r>
    </w:p>
    <w:p w14:paraId="07A2960D">
      <w:pPr>
        <w:keepNext w:val="0"/>
        <w:keepLines w:val="0"/>
        <w:pageBreakBefore w:val="0"/>
        <w:widowControl w:val="0"/>
        <w:numPr>
          <w:ilvl w:val="0"/>
          <w:numId w:val="623"/>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网络要求</w:t>
      </w:r>
    </w:p>
    <w:p w14:paraId="7170CE27">
      <w:pPr>
        <w:keepNext w:val="0"/>
        <w:keepLines w:val="0"/>
        <w:pageBreakBefore w:val="0"/>
        <w:widowControl/>
        <w:numPr>
          <w:ilvl w:val="0"/>
          <w:numId w:val="6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装置系统可接收上游系统（MES/ERP）传递的打刻参数（形式包括但不限于webservice、xlm、视图），数据进行本地存储</w:t>
      </w:r>
      <w:r>
        <w:rPr>
          <w:rFonts w:hint="eastAsia" w:ascii="Times New Roman" w:hAnsi="Times New Roman" w:eastAsia="宋体" w:cs="Times New Roman"/>
          <w:sz w:val="24"/>
          <w:lang w:eastAsia="zh-CN"/>
        </w:rPr>
        <w:t>。</w:t>
      </w:r>
    </w:p>
    <w:p w14:paraId="2C097428">
      <w:pPr>
        <w:keepNext w:val="0"/>
        <w:keepLines w:val="0"/>
        <w:pageBreakBefore w:val="0"/>
        <w:widowControl/>
        <w:numPr>
          <w:ilvl w:val="0"/>
          <w:numId w:val="62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装置系统可自动或手动接收车辆VIN信息，通过VIN正确获取打刻参数，并基于铭牌或VIN零件型号正确适配模板中对应的打刻参数</w:t>
      </w:r>
      <w:r>
        <w:rPr>
          <w:rFonts w:hint="eastAsia" w:ascii="Times New Roman" w:hAnsi="Times New Roman" w:eastAsia="宋体" w:cs="Times New Roman"/>
          <w:sz w:val="24"/>
          <w:lang w:eastAsia="zh-CN"/>
        </w:rPr>
        <w:t>。</w:t>
      </w:r>
    </w:p>
    <w:p w14:paraId="654F7EF0">
      <w:pPr>
        <w:keepNext w:val="0"/>
        <w:keepLines w:val="0"/>
        <w:pageBreakBefore w:val="0"/>
        <w:widowControl/>
        <w:numPr>
          <w:ilvl w:val="0"/>
          <w:numId w:val="627"/>
        </w:numPr>
        <w:kinsoku/>
        <w:wordWrap/>
        <w:overflowPunct/>
        <w:topLinePunct w:val="0"/>
        <w:autoSpaceDE/>
        <w:autoSpaceDN/>
        <w:bidi w:val="0"/>
        <w:adjustRightInd w:val="0"/>
        <w:snapToGrid w:val="0"/>
        <w:spacing w:afterAutospacing="0" w:line="360" w:lineRule="auto"/>
        <w:ind w:left="425" w:leftChars="0" w:hanging="425" w:firstLineChars="0"/>
        <w:textAlignment w:val="auto"/>
        <w:rPr>
          <w:rFonts w:ascii="Times New Roman" w:hAnsi="Times New Roman" w:eastAsia="宋体" w:cs="Times New Roman"/>
          <w:sz w:val="24"/>
        </w:rPr>
      </w:pPr>
      <w:r>
        <w:rPr>
          <w:rFonts w:ascii="Times New Roman" w:hAnsi="Times New Roman" w:eastAsia="宋体" w:cs="Times New Roman"/>
          <w:sz w:val="24"/>
        </w:rPr>
        <w:t>装置可以对一台车辆打刻多张铭牌或VIN信息。</w:t>
      </w:r>
    </w:p>
    <w:p w14:paraId="639C6CB4">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助力机械手</w:t>
      </w:r>
    </w:p>
    <w:p w14:paraId="1CBEB0C1">
      <w:pPr>
        <w:keepNext w:val="0"/>
        <w:keepLines w:val="0"/>
        <w:pageBreakBefore w:val="0"/>
        <w:widowControl w:val="0"/>
        <w:numPr>
          <w:ilvl w:val="0"/>
          <w:numId w:val="628"/>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2"/>
        <w:gridCol w:w="2999"/>
        <w:gridCol w:w="1232"/>
        <w:gridCol w:w="4367"/>
      </w:tblGrid>
      <w:tr w14:paraId="2F86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pct"/>
            <w:vAlign w:val="center"/>
          </w:tcPr>
          <w:p w14:paraId="7E37409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序号</w:t>
            </w:r>
          </w:p>
        </w:tc>
        <w:tc>
          <w:tcPr>
            <w:tcW w:w="1553" w:type="pct"/>
            <w:vAlign w:val="center"/>
          </w:tcPr>
          <w:p w14:paraId="1B397B1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名称</w:t>
            </w:r>
          </w:p>
        </w:tc>
        <w:tc>
          <w:tcPr>
            <w:tcW w:w="638" w:type="pct"/>
            <w:vAlign w:val="center"/>
          </w:tcPr>
          <w:p w14:paraId="0E69F47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数量</w:t>
            </w:r>
          </w:p>
        </w:tc>
        <w:tc>
          <w:tcPr>
            <w:tcW w:w="2262" w:type="pct"/>
            <w:vAlign w:val="center"/>
          </w:tcPr>
          <w:p w14:paraId="36AC233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备注</w:t>
            </w:r>
          </w:p>
        </w:tc>
      </w:tr>
      <w:tr w14:paraId="2FB8A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pct"/>
            <w:vAlign w:val="center"/>
          </w:tcPr>
          <w:p w14:paraId="04FC98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1</w:t>
            </w:r>
          </w:p>
        </w:tc>
        <w:tc>
          <w:tcPr>
            <w:tcW w:w="1553" w:type="pct"/>
            <w:vAlign w:val="center"/>
          </w:tcPr>
          <w:p w14:paraId="1316B36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轮胎装配机械手</w:t>
            </w:r>
          </w:p>
        </w:tc>
        <w:tc>
          <w:tcPr>
            <w:tcW w:w="638" w:type="pct"/>
            <w:vAlign w:val="center"/>
          </w:tcPr>
          <w:p w14:paraId="358221F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2</w:t>
            </w:r>
            <w:r>
              <w:rPr>
                <w:rFonts w:hint="eastAsia" w:ascii="宋体" w:hAnsi="宋体" w:eastAsia="宋体" w:cs="Arial"/>
                <w:sz w:val="24"/>
                <w:szCs w:val="24"/>
              </w:rPr>
              <w:t>套</w:t>
            </w:r>
          </w:p>
        </w:tc>
        <w:tc>
          <w:tcPr>
            <w:tcW w:w="2262" w:type="pct"/>
            <w:vAlign w:val="center"/>
          </w:tcPr>
          <w:p w14:paraId="5EEE992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底盘线</w:t>
            </w:r>
          </w:p>
        </w:tc>
      </w:tr>
      <w:tr w14:paraId="52207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pct"/>
            <w:vAlign w:val="center"/>
          </w:tcPr>
          <w:p w14:paraId="2B84873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2</w:t>
            </w:r>
          </w:p>
        </w:tc>
        <w:tc>
          <w:tcPr>
            <w:tcW w:w="1553" w:type="pct"/>
            <w:vAlign w:val="center"/>
          </w:tcPr>
          <w:p w14:paraId="7E20B45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仪表板装配机械手</w:t>
            </w:r>
          </w:p>
        </w:tc>
        <w:tc>
          <w:tcPr>
            <w:tcW w:w="638" w:type="pct"/>
            <w:vAlign w:val="center"/>
          </w:tcPr>
          <w:p w14:paraId="6057C52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w:t>
            </w:r>
            <w:r>
              <w:rPr>
                <w:rFonts w:hint="eastAsia" w:ascii="宋体" w:hAnsi="宋体" w:eastAsia="宋体" w:cs="Arial"/>
                <w:sz w:val="24"/>
                <w:szCs w:val="24"/>
              </w:rPr>
              <w:t>套</w:t>
            </w:r>
          </w:p>
        </w:tc>
        <w:tc>
          <w:tcPr>
            <w:tcW w:w="2262" w:type="pct"/>
            <w:vAlign w:val="center"/>
          </w:tcPr>
          <w:p w14:paraId="308C180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内饰线</w:t>
            </w:r>
          </w:p>
        </w:tc>
      </w:tr>
      <w:tr w14:paraId="0B855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5" w:type="pct"/>
            <w:vAlign w:val="center"/>
          </w:tcPr>
          <w:p w14:paraId="759BE49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3</w:t>
            </w:r>
          </w:p>
        </w:tc>
        <w:tc>
          <w:tcPr>
            <w:tcW w:w="1553" w:type="pct"/>
            <w:vAlign w:val="center"/>
          </w:tcPr>
          <w:p w14:paraId="6105E60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滑移门装配机械手</w:t>
            </w:r>
          </w:p>
        </w:tc>
        <w:tc>
          <w:tcPr>
            <w:tcW w:w="638" w:type="pct"/>
            <w:vAlign w:val="center"/>
          </w:tcPr>
          <w:p w14:paraId="5FFC0F7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1套</w:t>
            </w:r>
          </w:p>
        </w:tc>
        <w:tc>
          <w:tcPr>
            <w:tcW w:w="2262" w:type="pct"/>
            <w:vAlign w:val="center"/>
          </w:tcPr>
          <w:p w14:paraId="7815F0E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内饰线</w:t>
            </w:r>
          </w:p>
        </w:tc>
      </w:tr>
    </w:tbl>
    <w:p w14:paraId="5DFDF738">
      <w:pPr>
        <w:keepNext w:val="0"/>
        <w:keepLines w:val="0"/>
        <w:pageBreakBefore w:val="0"/>
        <w:widowControl w:val="0"/>
        <w:numPr>
          <w:ilvl w:val="0"/>
          <w:numId w:val="628"/>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工艺要求</w:t>
      </w:r>
    </w:p>
    <w:p w14:paraId="4EB0A54B">
      <w:pPr>
        <w:keepNext w:val="0"/>
        <w:keepLines w:val="0"/>
        <w:pageBreakBefore w:val="0"/>
        <w:widowControl w:val="0"/>
        <w:numPr>
          <w:ilvl w:val="0"/>
          <w:numId w:val="62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工件参数</w:t>
      </w:r>
    </w:p>
    <w:p w14:paraId="23D8928C">
      <w:pPr>
        <w:keepNext w:val="0"/>
        <w:keepLines w:val="0"/>
        <w:pageBreakBefore w:val="0"/>
        <w:widowControl w:val="0"/>
        <w:numPr>
          <w:ilvl w:val="0"/>
          <w:numId w:val="6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在设计时应至少考虑工件重量30%的余量</w:t>
      </w:r>
      <w:r>
        <w:rPr>
          <w:rFonts w:hint="eastAsia" w:ascii="Times New Roman" w:hAnsi="Times New Roman" w:eastAsia="宋体" w:cs="Times New Roman"/>
          <w:sz w:val="24"/>
          <w:lang w:eastAsia="zh-CN"/>
        </w:rPr>
        <w:t>。</w:t>
      </w:r>
    </w:p>
    <w:p w14:paraId="4283127F">
      <w:pPr>
        <w:keepNext w:val="0"/>
        <w:keepLines w:val="0"/>
        <w:pageBreakBefore w:val="0"/>
        <w:widowControl w:val="0"/>
        <w:numPr>
          <w:ilvl w:val="0"/>
          <w:numId w:val="6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仪表板总成：60kg </w:t>
      </w:r>
      <w:r>
        <w:rPr>
          <w:rFonts w:hint="eastAsia" w:ascii="Times New Roman" w:hAnsi="Times New Roman" w:eastAsia="宋体" w:cs="Times New Roman"/>
          <w:sz w:val="24"/>
          <w:lang w:eastAsia="zh-CN"/>
        </w:rPr>
        <w:t>。</w:t>
      </w:r>
    </w:p>
    <w:p w14:paraId="72904253">
      <w:pPr>
        <w:keepNext w:val="0"/>
        <w:keepLines w:val="0"/>
        <w:pageBreakBefore w:val="0"/>
        <w:widowControl w:val="0"/>
        <w:numPr>
          <w:ilvl w:val="0"/>
          <w:numId w:val="6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轮胎总成：195/70R15LT/30kg</w:t>
      </w:r>
      <w:r>
        <w:rPr>
          <w:rFonts w:hint="eastAsia" w:ascii="Times New Roman" w:hAnsi="Times New Roman" w:eastAsia="宋体" w:cs="Times New Roman"/>
          <w:sz w:val="24"/>
          <w:lang w:eastAsia="zh-CN"/>
        </w:rPr>
        <w:t>。</w:t>
      </w:r>
    </w:p>
    <w:p w14:paraId="4C97CB53">
      <w:pPr>
        <w:keepNext w:val="0"/>
        <w:keepLines w:val="0"/>
        <w:pageBreakBefore w:val="0"/>
        <w:widowControl w:val="0"/>
        <w:numPr>
          <w:ilvl w:val="0"/>
          <w:numId w:val="6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滑移门：50kg</w:t>
      </w:r>
      <w:r>
        <w:rPr>
          <w:rFonts w:hint="eastAsia" w:ascii="Times New Roman" w:hAnsi="Times New Roman" w:eastAsia="宋体" w:cs="Times New Roman"/>
          <w:sz w:val="24"/>
          <w:lang w:eastAsia="zh-CN"/>
        </w:rPr>
        <w:t>。</w:t>
      </w:r>
    </w:p>
    <w:p w14:paraId="7F2B2388">
      <w:pPr>
        <w:keepNext w:val="0"/>
        <w:keepLines w:val="0"/>
        <w:pageBreakBefore w:val="0"/>
        <w:widowControl w:val="0"/>
        <w:numPr>
          <w:ilvl w:val="0"/>
          <w:numId w:val="63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车门开启角度：≥75°</w:t>
      </w:r>
      <w:r>
        <w:rPr>
          <w:rFonts w:hint="eastAsia" w:ascii="Times New Roman" w:hAnsi="Times New Roman" w:eastAsia="宋体" w:cs="Times New Roman"/>
          <w:sz w:val="24"/>
          <w:lang w:eastAsia="zh-CN"/>
        </w:rPr>
        <w:t>。</w:t>
      </w:r>
    </w:p>
    <w:p w14:paraId="1FD5253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注：以上参数仅作参考，具体以设计输入为准。</w:t>
      </w:r>
    </w:p>
    <w:p w14:paraId="73BAB0BC">
      <w:pPr>
        <w:keepNext w:val="0"/>
        <w:keepLines w:val="0"/>
        <w:pageBreakBefore w:val="0"/>
        <w:widowControl w:val="0"/>
        <w:numPr>
          <w:ilvl w:val="0"/>
          <w:numId w:val="62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工位布置：</w:t>
      </w:r>
    </w:p>
    <w:p w14:paraId="3D824308">
      <w:pPr>
        <w:keepNext w:val="0"/>
        <w:keepLines w:val="0"/>
        <w:pageBreakBefore w:val="0"/>
        <w:widowControl w:val="0"/>
        <w:numPr>
          <w:ilvl w:val="0"/>
          <w:numId w:val="6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轮胎装配机械手布置在底盘线，工位节距7200</w:t>
      </w:r>
      <w:r>
        <w:rPr>
          <w:rFonts w:hint="eastAsia" w:ascii="Times New Roman" w:hAnsi="Times New Roman" w:eastAsia="宋体" w:cs="Times New Roman"/>
          <w:sz w:val="24"/>
          <w:lang w:eastAsia="zh-CN"/>
        </w:rPr>
        <w:t>。</w:t>
      </w:r>
    </w:p>
    <w:p w14:paraId="403B19BA">
      <w:pPr>
        <w:keepNext w:val="0"/>
        <w:keepLines w:val="0"/>
        <w:pageBreakBefore w:val="0"/>
        <w:widowControl w:val="0"/>
        <w:numPr>
          <w:ilvl w:val="0"/>
          <w:numId w:val="6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仪表板装配机械手布置在内饰线，工位节距7200</w:t>
      </w:r>
      <w:r>
        <w:rPr>
          <w:rFonts w:hint="eastAsia" w:ascii="Times New Roman" w:hAnsi="Times New Roman" w:eastAsia="宋体" w:cs="Times New Roman"/>
          <w:sz w:val="24"/>
          <w:lang w:eastAsia="zh-CN"/>
        </w:rPr>
        <w:t>。</w:t>
      </w:r>
    </w:p>
    <w:p w14:paraId="6892C144">
      <w:pPr>
        <w:keepNext w:val="0"/>
        <w:keepLines w:val="0"/>
        <w:pageBreakBefore w:val="0"/>
        <w:widowControl w:val="0"/>
        <w:numPr>
          <w:ilvl w:val="0"/>
          <w:numId w:val="63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滑移门装配机械手布置在内饰线，工位节距7200</w:t>
      </w:r>
      <w:r>
        <w:rPr>
          <w:rFonts w:hint="eastAsia" w:ascii="Times New Roman" w:hAnsi="Times New Roman" w:eastAsia="宋体" w:cs="Times New Roman"/>
          <w:sz w:val="24"/>
          <w:lang w:eastAsia="zh-CN"/>
        </w:rPr>
        <w:t>。</w:t>
      </w:r>
    </w:p>
    <w:p w14:paraId="29B5AF83">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注：以上仅作参考，具体布局以设计输入为准。</w:t>
      </w:r>
    </w:p>
    <w:p w14:paraId="384FBC1D">
      <w:pPr>
        <w:keepNext w:val="0"/>
        <w:keepLines w:val="0"/>
        <w:pageBreakBefore w:val="0"/>
        <w:widowControl w:val="0"/>
        <w:numPr>
          <w:ilvl w:val="0"/>
          <w:numId w:val="62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技术参数：</w:t>
      </w:r>
    </w:p>
    <w:p w14:paraId="7E72196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机械手上下行程1000mm，工作半径2200mm</w:t>
      </w:r>
      <w:r>
        <w:rPr>
          <w:rFonts w:hint="eastAsia" w:ascii="Times New Roman" w:hAnsi="Times New Roman" w:eastAsia="宋体" w:cs="Times New Roman"/>
          <w:sz w:val="24"/>
          <w:lang w:eastAsia="zh-CN"/>
        </w:rPr>
        <w:t>。</w:t>
      </w:r>
    </w:p>
    <w:p w14:paraId="72EA914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5C7F5385">
      <w:pPr>
        <w:keepNext w:val="0"/>
        <w:keepLines w:val="0"/>
        <w:pageBreakBefore w:val="0"/>
        <w:widowControl w:val="0"/>
        <w:numPr>
          <w:ilvl w:val="0"/>
          <w:numId w:val="628"/>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设备主要构成及要求</w:t>
      </w:r>
    </w:p>
    <w:p w14:paraId="21875C6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设备主要包括本体、夹具、轨道基础、控制及气路系统</w:t>
      </w:r>
      <w:r>
        <w:rPr>
          <w:rFonts w:hint="eastAsia" w:ascii="Times New Roman" w:hAnsi="Times New Roman" w:eastAsia="宋体" w:cs="Times New Roman"/>
          <w:sz w:val="24"/>
          <w:lang w:eastAsia="zh-CN"/>
        </w:rPr>
        <w:t>。</w:t>
      </w:r>
    </w:p>
    <w:p w14:paraId="72B71E52">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整体要求</w:t>
      </w:r>
    </w:p>
    <w:p w14:paraId="26E11AE5">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系统在相应部位设有软性防护材料及防护罩，避免刮伤工件。</w:t>
      </w:r>
    </w:p>
    <w:p w14:paraId="6EB6E3CD">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夹具上根据需要有不同行程的切换选档按钮。</w:t>
      </w:r>
    </w:p>
    <w:p w14:paraId="5B2E6B8A">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机械手配有误操作保护装置，只有在工件被有效支撑后才能卸载，从而保障工件卸载时安全和操作人员的作业安全。</w:t>
      </w:r>
    </w:p>
    <w:p w14:paraId="40BE5514">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要求操作过程轻便、负荷小。</w:t>
      </w:r>
    </w:p>
    <w:p w14:paraId="2EE4411A">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作业时间满足节拍要求。</w:t>
      </w:r>
    </w:p>
    <w:p w14:paraId="7A86CD48">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仪表板总成被夹紧并水平旋转到其与车身装配位置后，再从前门（不拆车门）进到驾驶室内；装配过程中夹具需要方便旋转，以便于装配。</w:t>
      </w:r>
    </w:p>
    <w:p w14:paraId="65EDB819">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仪表机械手有自动回原位功能，机械手在按下返回按钮时才能返回原位。</w:t>
      </w:r>
    </w:p>
    <w:p w14:paraId="2970F4DF">
      <w:pPr>
        <w:keepNext w:val="0"/>
        <w:keepLines w:val="0"/>
        <w:pageBreakBefore w:val="0"/>
        <w:widowControl w:val="0"/>
        <w:numPr>
          <w:ilvl w:val="0"/>
          <w:numId w:val="63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仪表板机械手在装配末端停线后，需持续长按后退按钮3s以上，确保机械手夹具出车舱以后，机械手方能复位与大线互锁停止信号；避免在极限位，因夹具未出车舱而导致拉车的风险。</w:t>
      </w:r>
    </w:p>
    <w:p w14:paraId="147B4174">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机械手本体</w:t>
      </w:r>
    </w:p>
    <w:p w14:paraId="593769C4">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系统构成：四连杆机构、硬臂、连接关节。</w:t>
      </w:r>
    </w:p>
    <w:p w14:paraId="432648FB">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机械手能够沿竖直轴旋转300度，旋转时能够锁定在任意位置。</w:t>
      </w:r>
    </w:p>
    <w:p w14:paraId="4554A76C">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回转部位要使用质量可靠的轴承，保证回转、旋转运动灵活、可靠，各回转轴回转范围可调整。</w:t>
      </w:r>
    </w:p>
    <w:p w14:paraId="3B3CA8FE">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所有的关节都设有制动器，通过关节制动，夹具和机械手可以处于随行跟踪状态。</w:t>
      </w:r>
    </w:p>
    <w:p w14:paraId="0E612D71">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机械手本体具有上升、下降限位装置</w:t>
      </w:r>
      <w:r>
        <w:rPr>
          <w:rFonts w:hint="eastAsia" w:ascii="Times New Roman" w:hAnsi="Times New Roman" w:eastAsia="宋体" w:cs="Times New Roman"/>
          <w:sz w:val="24"/>
          <w:lang w:eastAsia="zh-CN"/>
        </w:rPr>
        <w:t>，</w:t>
      </w:r>
      <w:r>
        <w:rPr>
          <w:rFonts w:ascii="Times New Roman" w:hAnsi="Times New Roman" w:eastAsia="宋体" w:cs="Times New Roman"/>
          <w:sz w:val="24"/>
        </w:rPr>
        <w:t xml:space="preserve"> 夹具的最大垂直行程按产品设计（</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设计时应留有现场调节余量）。</w:t>
      </w:r>
    </w:p>
    <w:p w14:paraId="2D2724F1">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在载荷状态下，能够平衡地轻松地上下左右任意浮动（操作力小于2.5kg），无振荡阻滞现象；无论在空载或是载荷状态下，保证机械手在有效行程范围内任一高度位置运行时的重量平衡，由气动元件自动来完成该功能。</w:t>
      </w:r>
    </w:p>
    <w:p w14:paraId="1D257A5B">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机械手有单向阀或类似装置，当外界压缩空气突然断气时，机械手和靠背不能突然下坠，有安全自锁功能。</w:t>
      </w:r>
    </w:p>
    <w:p w14:paraId="21DAF203">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机械手考虑到现场的气压波动，为减轻对机械手的影响，应有增强设备动力性能的辅助装置，如增压器；机械手具有压缩空气的过滤装置，保证机械手气动系统正常工作，不受气压波动的影响。</w:t>
      </w:r>
    </w:p>
    <w:p w14:paraId="430AAA4D">
      <w:pPr>
        <w:keepNext w:val="0"/>
        <w:keepLines w:val="0"/>
        <w:pageBreakBefore w:val="0"/>
        <w:widowControl w:val="0"/>
        <w:numPr>
          <w:ilvl w:val="0"/>
          <w:numId w:val="63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不施加作用力时，机械手静止不动。</w:t>
      </w:r>
    </w:p>
    <w:p w14:paraId="4EF1A830">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机械手夹具</w:t>
      </w:r>
    </w:p>
    <w:p w14:paraId="7DD4E636">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系统构成：夹具、操作把手、工具盒、控制面板。</w:t>
      </w:r>
    </w:p>
    <w:p w14:paraId="0867830C">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保证机械手放置工件时与车体不干涉。</w:t>
      </w:r>
    </w:p>
    <w:p w14:paraId="29DFC750">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机械手本体工作过程中，不能与车身发生干涉，距离大于400mm。</w:t>
      </w:r>
    </w:p>
    <w:p w14:paraId="65B53D7C">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夹具要能适应所有车型的工件放置/装配需求。</w:t>
      </w:r>
    </w:p>
    <w:p w14:paraId="3B713229">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夹具上需要有不同车型的切换选档按钮，设3种车型的选档按钮位置。</w:t>
      </w:r>
    </w:p>
    <w:p w14:paraId="5A3E264B">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所有可能与车身或车门接触处都用软性材料（材料耐用性需考虑）包裹，以避免刮伤车身及车门。</w:t>
      </w:r>
    </w:p>
    <w:p w14:paraId="608E8153">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把手设计应符合人体工程学，以方便操作者控制机械手。</w:t>
      </w:r>
    </w:p>
    <w:p w14:paraId="0F2D39C5">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控制面板上的按钮按人体工程学原理有序地安装在操作把手附近，便于操作。</w:t>
      </w:r>
    </w:p>
    <w:p w14:paraId="53F8A69E">
      <w:pPr>
        <w:keepNext w:val="0"/>
        <w:keepLines w:val="0"/>
        <w:pageBreakBefore w:val="0"/>
        <w:widowControl w:val="0"/>
        <w:numPr>
          <w:ilvl w:val="0"/>
          <w:numId w:val="63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机械手的操作部分应配有料箱，盛放工装、电枪等。</w:t>
      </w:r>
    </w:p>
    <w:p w14:paraId="2D85ADEC">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行走机构</w:t>
      </w:r>
    </w:p>
    <w:p w14:paraId="039BA10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仪表及前端装配机械手采用电动随行，随行速度由人工根据输送线速度进行设置调整，通过变频器控制，轮胎机械手采用手拉行走，操作力小于3kg，人力返程。</w:t>
      </w:r>
    </w:p>
    <w:p w14:paraId="1908A344">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轨道基础</w:t>
      </w:r>
    </w:p>
    <w:p w14:paraId="69695A3D">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系统构成：C字型铝合金轨道、滑车。</w:t>
      </w:r>
    </w:p>
    <w:p w14:paraId="3B3FAF2A">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仅设置纵向轨道，通过硬臂的工作半径满足装配需求。</w:t>
      </w:r>
    </w:p>
    <w:p w14:paraId="145F032C">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在运行过程中机械手滑车滑轮的径向跳动＜1.5mm，轴向跳动＜2mm。</w:t>
      </w:r>
    </w:p>
    <w:p w14:paraId="390CA927">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机械手的移动平滑轻巧，最大起动力＜2.5Kg。</w:t>
      </w:r>
    </w:p>
    <w:p w14:paraId="7CE4AFDD">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轨道调整精度应达到水平度±0.1mm，平行度±0.1mm。</w:t>
      </w:r>
    </w:p>
    <w:p w14:paraId="77E299FE">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不施加作用力时，机械手静止不动。</w:t>
      </w:r>
    </w:p>
    <w:p w14:paraId="17D22AEA">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轨道应与钢结构连接可靠，并有钢丝绳等可靠保护装置。</w:t>
      </w:r>
    </w:p>
    <w:p w14:paraId="42E9559A">
      <w:pPr>
        <w:keepNext w:val="0"/>
        <w:keepLines w:val="0"/>
        <w:pageBreakBefore w:val="0"/>
        <w:widowControl w:val="0"/>
        <w:numPr>
          <w:ilvl w:val="0"/>
          <w:numId w:val="63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轨道两端应有机械限位以保证安全性。</w:t>
      </w:r>
    </w:p>
    <w:p w14:paraId="7B8FD86B">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电气系统要求</w:t>
      </w:r>
    </w:p>
    <w:p w14:paraId="6670A1E3">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的机械手轨道末端应设有3套行程开关：距轨道末端1米处为报警开关，机械手接触开关后应发出声音及灯光报警信号；报警开关后应设置2套电气限位行程开关，机械手接触开关后，生产线自动停止，两套开关进行双重保护。</w:t>
      </w:r>
    </w:p>
    <w:p w14:paraId="66A4F8D0">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所有导线接点必须在柜、盒内做专用接头，不得有外部明接头。</w:t>
      </w:r>
    </w:p>
    <w:p w14:paraId="622EF2CE">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电气元件应具有良好的稳定性和互换性。</w:t>
      </w:r>
    </w:p>
    <w:p w14:paraId="3F16774F">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所有控制柜内、外部安装元件应配置与图纸一致的永久性标签。</w:t>
      </w:r>
    </w:p>
    <w:p w14:paraId="1376C8E9">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设备非带电金属外壳须有明显安全接地装置，并有明显的接地标识。</w:t>
      </w:r>
    </w:p>
    <w:p w14:paraId="23B8F8C8">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管路内部穿线必须保留10%以上备用线。</w:t>
      </w:r>
    </w:p>
    <w:p w14:paraId="4CC23739">
      <w:pPr>
        <w:keepNext w:val="0"/>
        <w:keepLines w:val="0"/>
        <w:pageBreakBefore w:val="0"/>
        <w:widowControl w:val="0"/>
        <w:numPr>
          <w:ilvl w:val="0"/>
          <w:numId w:val="63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所有</w:t>
      </w:r>
      <w:r>
        <w:rPr>
          <w:rFonts w:ascii="Times New Roman" w:hAnsi="Times New Roman" w:eastAsia="宋体" w:cs="Times New Roman"/>
          <w:sz w:val="24"/>
        </w:rPr>
        <w:t>导线接点两端必须有线号标识，线号用专用打号机打印，颜色不易脱落。</w:t>
      </w:r>
    </w:p>
    <w:p w14:paraId="1F3EE8B3">
      <w:pPr>
        <w:keepNext w:val="0"/>
        <w:keepLines w:val="0"/>
        <w:pageBreakBefore w:val="0"/>
        <w:widowControl w:val="0"/>
        <w:numPr>
          <w:ilvl w:val="0"/>
          <w:numId w:val="63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气路系统要求</w:t>
      </w:r>
    </w:p>
    <w:p w14:paraId="23040F70">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机械手无论在空载还是载荷状态下，能够轻松地上下左右任意浮动，但不能出现振荡现象。</w:t>
      </w:r>
    </w:p>
    <w:p w14:paraId="25E888AC">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机械手需根据工件重量设置可切换的平衡档位。 </w:t>
      </w:r>
    </w:p>
    <w:p w14:paraId="243D0EC7">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为保证稳定的气源，使用独立压力保持装置，独立压力保持装置包含储气罐、单向阀、增压泵、油水分离器。当外部压缩空气异常波动或突然断气时，机械手和工件不能突然下坠，夹具不能松开，应有安全自锁功能，且可保证工作的1个正常循环。</w:t>
      </w:r>
    </w:p>
    <w:p w14:paraId="288C642D">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机械手有安全阀或类似装置，能够控制助力机械手的机械臂或回转臂的运动速度，以及机械手误操作时可以阻止误操作的发生，保证操作人员的安全。</w:t>
      </w:r>
    </w:p>
    <w:p w14:paraId="13D0AFB6">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气路设计要考虑避免发生压力冲击的情况。</w:t>
      </w:r>
    </w:p>
    <w:p w14:paraId="0680AF0A">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气路密封良好，连接紧密、可靠，</w:t>
      </w:r>
      <w:r>
        <w:rPr>
          <w:rFonts w:hint="eastAsia" w:ascii="Times New Roman" w:hAnsi="Times New Roman" w:eastAsia="宋体" w:cs="Times New Roman"/>
          <w:sz w:val="24"/>
          <w:lang w:eastAsia="zh-CN"/>
        </w:rPr>
        <w:t>无泄漏</w:t>
      </w:r>
      <w:r>
        <w:rPr>
          <w:rFonts w:ascii="Times New Roman" w:hAnsi="Times New Roman" w:eastAsia="宋体" w:cs="Times New Roman"/>
          <w:sz w:val="24"/>
        </w:rPr>
        <w:t>现象；回转部位气路无干涉、缠绕、刮碰现象，杜绝气管刮碰、损坏。</w:t>
      </w:r>
    </w:p>
    <w:p w14:paraId="29F8B4D2">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设备气路应配备气动</w:t>
      </w:r>
      <w:r>
        <w:rPr>
          <w:rFonts w:hint="eastAsia" w:cs="Times New Roman"/>
          <w:sz w:val="24"/>
          <w:lang w:val="en-US" w:eastAsia="zh-CN"/>
        </w:rPr>
        <w:t>二</w:t>
      </w:r>
      <w:r>
        <w:rPr>
          <w:rFonts w:ascii="Times New Roman" w:hAnsi="Times New Roman" w:eastAsia="宋体" w:cs="Times New Roman"/>
          <w:sz w:val="24"/>
        </w:rPr>
        <w:t>联件</w:t>
      </w:r>
      <w:r>
        <w:rPr>
          <w:rFonts w:hint="eastAsia" w:cs="Times New Roman"/>
          <w:sz w:val="24"/>
          <w:lang w:eastAsia="zh-CN"/>
        </w:rPr>
        <w:t>，</w:t>
      </w:r>
      <w:r>
        <w:rPr>
          <w:rFonts w:hint="eastAsia" w:cs="Times New Roman"/>
          <w:sz w:val="24"/>
          <w:lang w:val="en-US" w:eastAsia="zh-CN"/>
        </w:rPr>
        <w:t>不能有油</w:t>
      </w:r>
      <w:r>
        <w:rPr>
          <w:rFonts w:ascii="Times New Roman" w:hAnsi="Times New Roman" w:eastAsia="宋体" w:cs="Times New Roman"/>
          <w:sz w:val="24"/>
        </w:rPr>
        <w:t>。</w:t>
      </w:r>
    </w:p>
    <w:p w14:paraId="0F6238B9">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气动元件要有明确的指示标牌，并与原理图的名称代号一致，标识清晰、耐用。 </w:t>
      </w:r>
    </w:p>
    <w:p w14:paraId="2523837C">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机械手能自动识别空载状态，手动识别负载状态进行切换气路。 </w:t>
      </w:r>
    </w:p>
    <w:p w14:paraId="34E2A65F">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所有手动夹具的气动转阀，均采用手柄式；操作阀门采用无润滑设计，重要部位的按钮应采用自锁式。</w:t>
      </w:r>
    </w:p>
    <w:p w14:paraId="35A9BDDF">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所有设备均选用以MPa为单位的压力表（国际标准）。</w:t>
      </w:r>
    </w:p>
    <w:p w14:paraId="1D64BB3A">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设备的气路接头均采用快换接头的方式，便于维修。</w:t>
      </w:r>
    </w:p>
    <w:p w14:paraId="368A0CE6">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控制气路与执行气路管线颜色要有区别。</w:t>
      </w:r>
    </w:p>
    <w:p w14:paraId="56AC0FF9">
      <w:pPr>
        <w:keepNext w:val="0"/>
        <w:keepLines w:val="0"/>
        <w:pageBreakBefore w:val="0"/>
        <w:widowControl w:val="0"/>
        <w:numPr>
          <w:ilvl w:val="0"/>
          <w:numId w:val="63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气动元件采用FESTO、SMC、亚德客等同等以上品牌。</w:t>
      </w:r>
    </w:p>
    <w:p w14:paraId="4E3D5BBE">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安规检测</w:t>
      </w:r>
    </w:p>
    <w:p w14:paraId="0EC2234F">
      <w:pPr>
        <w:keepNext w:val="0"/>
        <w:keepLines w:val="0"/>
        <w:pageBreakBefore w:val="0"/>
        <w:widowControl w:val="0"/>
        <w:numPr>
          <w:ilvl w:val="0"/>
          <w:numId w:val="639"/>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53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8"/>
        <w:gridCol w:w="2039"/>
        <w:gridCol w:w="1539"/>
        <w:gridCol w:w="1325"/>
        <w:gridCol w:w="1214"/>
        <w:gridCol w:w="2663"/>
      </w:tblGrid>
      <w:tr w14:paraId="57E2E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4" w:hRule="atLeast"/>
          <w:jc w:val="center"/>
        </w:trPr>
        <w:tc>
          <w:tcPr>
            <w:tcW w:w="450" w:type="pct"/>
            <w:vAlign w:val="center"/>
          </w:tcPr>
          <w:p w14:paraId="15E5E9B3">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056" w:type="pct"/>
            <w:vAlign w:val="center"/>
          </w:tcPr>
          <w:p w14:paraId="2CBF0F96">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797" w:type="pct"/>
            <w:vAlign w:val="center"/>
          </w:tcPr>
          <w:p w14:paraId="53F61FEE">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686" w:type="pct"/>
            <w:vAlign w:val="center"/>
          </w:tcPr>
          <w:p w14:paraId="3AF505F2">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629" w:type="pct"/>
            <w:vAlign w:val="center"/>
          </w:tcPr>
          <w:p w14:paraId="6EF86990">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1379" w:type="pct"/>
            <w:vAlign w:val="center"/>
          </w:tcPr>
          <w:p w14:paraId="5272E3D8">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452F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jc w:val="center"/>
        </w:trPr>
        <w:tc>
          <w:tcPr>
            <w:tcW w:w="450" w:type="pct"/>
            <w:vAlign w:val="center"/>
          </w:tcPr>
          <w:p w14:paraId="4C5C4AD5">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056" w:type="pct"/>
            <w:vAlign w:val="center"/>
          </w:tcPr>
          <w:p w14:paraId="77B73DCA">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车辆安规检测仪</w:t>
            </w:r>
          </w:p>
        </w:tc>
        <w:tc>
          <w:tcPr>
            <w:tcW w:w="797" w:type="pct"/>
            <w:vAlign w:val="center"/>
          </w:tcPr>
          <w:p w14:paraId="40FD0ABB">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安规检测仪</w:t>
            </w:r>
          </w:p>
        </w:tc>
        <w:tc>
          <w:tcPr>
            <w:tcW w:w="686" w:type="pct"/>
            <w:vAlign w:val="center"/>
          </w:tcPr>
          <w:p w14:paraId="7277C17E">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629" w:type="pct"/>
            <w:vAlign w:val="center"/>
          </w:tcPr>
          <w:p w14:paraId="5A7C6FF2">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台</w:t>
            </w:r>
          </w:p>
        </w:tc>
        <w:tc>
          <w:tcPr>
            <w:tcW w:w="1379" w:type="pct"/>
            <w:vAlign w:val="center"/>
          </w:tcPr>
          <w:p w14:paraId="708CEE10">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7DCF82A8">
      <w:pPr>
        <w:keepNext w:val="0"/>
        <w:keepLines w:val="0"/>
        <w:pageBreakBefore w:val="0"/>
        <w:widowControl w:val="0"/>
        <w:numPr>
          <w:ilvl w:val="0"/>
          <w:numId w:val="639"/>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工艺技术要求</w:t>
      </w:r>
    </w:p>
    <w:p w14:paraId="4B09352D">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安规检测仪技术要求</w:t>
      </w:r>
    </w:p>
    <w:p w14:paraId="62DD3121">
      <w:pPr>
        <w:keepNext w:val="0"/>
        <w:keepLines w:val="0"/>
        <w:pageBreakBefore w:val="0"/>
        <w:widowControl/>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color w:val="000000"/>
          <w:sz w:val="24"/>
        </w:rPr>
        <w:t>测试系统内置电动电气安全性能综合分析仪，是集绝缘电阻、电池组绝缘、绝缘监测、 电位均衡、电气强度（交/直流耐压）等多项测试功能于一体的仪器，符合汽车相关国家标准要求：</w:t>
      </w:r>
    </w:p>
    <w:p w14:paraId="0D316FDE">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GB/18384-2020电动汽车安全要求</w:t>
      </w:r>
    </w:p>
    <w:p w14:paraId="5C5E9CA7">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GB/38032-2020电动汽车安全要求</w:t>
      </w:r>
    </w:p>
    <w:p w14:paraId="6F1BB27A">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GB/T 20234.1-2015 电动汽车传导充电用连接装置第1部分：通用要求</w:t>
      </w:r>
    </w:p>
    <w:p w14:paraId="32D53973">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GB/T20234.2-2015 电动汽车传导充电用连接装置第2部分：交流充电接口</w:t>
      </w:r>
    </w:p>
    <w:p w14:paraId="05FDBFDD">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GB/T20234.3-2015 电动汽车传导充电用连接装置第3部分：直流充电接口</w:t>
      </w:r>
    </w:p>
    <w:p w14:paraId="11946571">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 7258-2017 机动车运行安全技术条件</w:t>
      </w:r>
    </w:p>
    <w:p w14:paraId="3CDCDBA6">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GB/T 18384.1-2015 电动汽车安全要求第1部分：车载可充电储能系统</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REESS</w:t>
      </w:r>
      <w:r>
        <w:rPr>
          <w:rFonts w:hint="eastAsia" w:ascii="Times New Roman" w:hAnsi="Times New Roman" w:eastAsia="宋体" w:cs="Times New Roman"/>
          <w:color w:val="000000"/>
          <w:sz w:val="24"/>
          <w:lang w:eastAsia="zh-CN"/>
        </w:rPr>
        <w:t>）</w:t>
      </w:r>
    </w:p>
    <w:p w14:paraId="7E3A8626">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GB/T 18384.3-2015 电动汽车安全要求第3部分：人员触电防护</w:t>
      </w:r>
    </w:p>
    <w:p w14:paraId="1970502E">
      <w:pPr>
        <w:keepNext w:val="0"/>
        <w:keepLines w:val="0"/>
        <w:pageBreakBefore w:val="0"/>
        <w:widowControl w:val="0"/>
        <w:numPr>
          <w:ilvl w:val="0"/>
          <w:numId w:val="64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技术参数</w:t>
      </w:r>
    </w:p>
    <w:p w14:paraId="3047B3D2">
      <w:pPr>
        <w:keepNext w:val="0"/>
        <w:keepLines w:val="0"/>
        <w:pageBreakBefore w:val="0"/>
        <w:widowControl w:val="0"/>
        <w:numPr>
          <w:ilvl w:val="0"/>
          <w:numId w:val="641"/>
        </w:numPr>
        <w:kinsoku/>
        <w:wordWrap/>
        <w:overflowPunct/>
        <w:topLinePunct w:val="0"/>
        <w:autoSpaceDE/>
        <w:autoSpaceDN/>
        <w:bidi w:val="0"/>
        <w:adjustRightInd w:val="0"/>
        <w:snapToGrid w:val="0"/>
        <w:spacing w:afterAutospacing="0" w:line="360" w:lineRule="auto"/>
        <w:ind w:left="425" w:hanging="425"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主机电源：AC-220V@50Hz</w:t>
      </w:r>
      <w:r>
        <w:rPr>
          <w:rFonts w:hint="eastAsia" w:ascii="Times New Roman" w:hAnsi="Times New Roman" w:eastAsia="宋体" w:cs="Times New Roman"/>
          <w:sz w:val="24"/>
          <w:lang w:eastAsia="zh-CN"/>
        </w:rPr>
        <w:t>。</w:t>
      </w:r>
    </w:p>
    <w:p w14:paraId="0B075667">
      <w:pPr>
        <w:keepNext w:val="0"/>
        <w:keepLines w:val="0"/>
        <w:pageBreakBefore w:val="0"/>
        <w:widowControl w:val="0"/>
        <w:numPr>
          <w:ilvl w:val="0"/>
          <w:numId w:val="641"/>
        </w:numPr>
        <w:kinsoku/>
        <w:wordWrap/>
        <w:overflowPunct/>
        <w:topLinePunct w:val="0"/>
        <w:autoSpaceDE/>
        <w:autoSpaceDN/>
        <w:bidi w:val="0"/>
        <w:adjustRightInd w:val="0"/>
        <w:snapToGrid w:val="0"/>
        <w:spacing w:afterAutospacing="0" w:line="360" w:lineRule="auto"/>
        <w:ind w:left="425" w:hanging="425"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显示屏幕：LCD</w:t>
      </w:r>
      <w:r>
        <w:rPr>
          <w:rFonts w:hint="eastAsia" w:ascii="Times New Roman" w:hAnsi="Times New Roman" w:eastAsia="宋体" w:cs="Times New Roman"/>
          <w:sz w:val="24"/>
          <w:lang w:eastAsia="zh-CN"/>
        </w:rPr>
        <w:t>。</w:t>
      </w:r>
    </w:p>
    <w:p w14:paraId="3702659E">
      <w:pPr>
        <w:keepNext w:val="0"/>
        <w:keepLines w:val="0"/>
        <w:pageBreakBefore w:val="0"/>
        <w:widowControl w:val="0"/>
        <w:numPr>
          <w:ilvl w:val="0"/>
          <w:numId w:val="641"/>
        </w:numPr>
        <w:kinsoku/>
        <w:wordWrap/>
        <w:overflowPunct/>
        <w:topLinePunct w:val="0"/>
        <w:autoSpaceDE/>
        <w:autoSpaceDN/>
        <w:bidi w:val="0"/>
        <w:adjustRightInd w:val="0"/>
        <w:snapToGrid w:val="0"/>
        <w:spacing w:afterAutospacing="0" w:line="360" w:lineRule="auto"/>
        <w:ind w:left="425" w:hanging="425"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工作温度：-10℃～50℃</w:t>
      </w:r>
      <w:r>
        <w:rPr>
          <w:rFonts w:hint="eastAsia" w:ascii="Times New Roman" w:hAnsi="Times New Roman" w:eastAsia="宋体" w:cs="Times New Roman"/>
          <w:sz w:val="24"/>
          <w:lang w:eastAsia="zh-CN"/>
        </w:rPr>
        <w:t>。</w:t>
      </w:r>
    </w:p>
    <w:p w14:paraId="239D906D">
      <w:pPr>
        <w:keepNext w:val="0"/>
        <w:keepLines w:val="0"/>
        <w:pageBreakBefore w:val="0"/>
        <w:widowControl w:val="0"/>
        <w:numPr>
          <w:ilvl w:val="0"/>
          <w:numId w:val="641"/>
        </w:numPr>
        <w:kinsoku/>
        <w:wordWrap/>
        <w:overflowPunct/>
        <w:topLinePunct w:val="0"/>
        <w:autoSpaceDE/>
        <w:autoSpaceDN/>
        <w:bidi w:val="0"/>
        <w:adjustRightInd w:val="0"/>
        <w:snapToGrid w:val="0"/>
        <w:spacing w:afterAutospacing="0" w:line="360" w:lineRule="auto"/>
        <w:ind w:left="425" w:hanging="425"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正常工作温度：0℃～50℃（主机）</w:t>
      </w:r>
      <w:r>
        <w:rPr>
          <w:rFonts w:hint="eastAsia" w:ascii="Times New Roman" w:hAnsi="Times New Roman" w:eastAsia="宋体" w:cs="Times New Roman"/>
          <w:sz w:val="24"/>
          <w:lang w:eastAsia="zh-CN"/>
        </w:rPr>
        <w:t>。</w:t>
      </w:r>
    </w:p>
    <w:p w14:paraId="35055380">
      <w:pPr>
        <w:keepNext w:val="0"/>
        <w:keepLines w:val="0"/>
        <w:pageBreakBefore w:val="0"/>
        <w:widowControl w:val="0"/>
        <w:numPr>
          <w:ilvl w:val="0"/>
          <w:numId w:val="641"/>
        </w:numPr>
        <w:kinsoku/>
        <w:wordWrap/>
        <w:overflowPunct/>
        <w:topLinePunct w:val="0"/>
        <w:autoSpaceDE/>
        <w:autoSpaceDN/>
        <w:bidi w:val="0"/>
        <w:adjustRightInd w:val="0"/>
        <w:snapToGrid w:val="0"/>
        <w:spacing w:afterAutospacing="0" w:line="360" w:lineRule="auto"/>
        <w:ind w:left="425" w:hanging="425" w:firstLineChars="0"/>
        <w:textAlignment w:val="auto"/>
        <w:rPr>
          <w:rFonts w:hint="eastAsia" w:ascii="Times New Roman" w:hAnsi="Times New Roman" w:eastAsia="宋体" w:cs="Times New Roman"/>
          <w:color w:val="000000"/>
          <w:sz w:val="24"/>
          <w:lang w:eastAsia="zh-CN"/>
        </w:rPr>
      </w:pPr>
      <w:r>
        <w:rPr>
          <w:rFonts w:ascii="Times New Roman" w:hAnsi="Times New Roman" w:eastAsia="宋体" w:cs="Times New Roman"/>
          <w:sz w:val="24"/>
        </w:rPr>
        <w:t>正常工作湿度：≤85%</w:t>
      </w:r>
      <w:r>
        <w:rPr>
          <w:rFonts w:hint="eastAsia" w:ascii="Times New Roman" w:hAnsi="Times New Roman" w:eastAsia="宋体" w:cs="Times New Roman"/>
          <w:sz w:val="24"/>
          <w:lang w:eastAsia="zh-CN"/>
        </w:rPr>
        <w:t>。</w:t>
      </w:r>
    </w:p>
    <w:p w14:paraId="1DBC53B4">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测试内容</w:t>
      </w:r>
    </w:p>
    <w:tbl>
      <w:tblPr>
        <w:tblStyle w:val="52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33"/>
        <w:gridCol w:w="2770"/>
        <w:gridCol w:w="5843"/>
      </w:tblGrid>
      <w:tr w14:paraId="68DD1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2C6DEA6E">
            <w:pPr>
              <w:keepNext w:val="0"/>
              <w:keepLines w:val="0"/>
              <w:pageBreakBefore w:val="0"/>
              <w:kinsoku/>
              <w:overflowPunct/>
              <w:topLinePunct w:val="0"/>
              <w:bidi w:val="0"/>
              <w:adjustRightInd w:val="0"/>
              <w:snapToGrid w:val="0"/>
              <w:spacing w:after="200" w:afterAutospacing="0" w:line="240" w:lineRule="auto"/>
              <w:ind w:left="109"/>
              <w:jc w:val="center"/>
              <w:rPr>
                <w:rFonts w:ascii="宋体" w:hAnsi="宋体" w:eastAsia="宋体" w:cs="宋体"/>
                <w:sz w:val="24"/>
                <w:szCs w:val="24"/>
                <w:lang w:eastAsia="en-US"/>
              </w:rPr>
            </w:pPr>
            <w:r>
              <w:rPr>
                <w:rFonts w:hint="eastAsia" w:ascii="宋体" w:hAnsi="宋体" w:eastAsia="宋体" w:cs="宋体"/>
                <w:spacing w:val="-2"/>
                <w:sz w:val="24"/>
                <w:szCs w:val="24"/>
                <w:lang w:eastAsia="en-US"/>
              </w:rPr>
              <w:t>序号</w:t>
            </w:r>
          </w:p>
        </w:tc>
        <w:tc>
          <w:tcPr>
            <w:tcW w:w="1466" w:type="pct"/>
            <w:vAlign w:val="center"/>
          </w:tcPr>
          <w:p w14:paraId="0A4899D8">
            <w:pPr>
              <w:keepNext w:val="0"/>
              <w:keepLines w:val="0"/>
              <w:pageBreakBefore w:val="0"/>
              <w:kinsoku/>
              <w:overflowPunct/>
              <w:topLinePunct w:val="0"/>
              <w:bidi w:val="0"/>
              <w:adjustRightInd w:val="0"/>
              <w:snapToGrid w:val="0"/>
              <w:spacing w:after="200" w:afterAutospacing="0" w:line="240" w:lineRule="auto"/>
              <w:ind w:left="127"/>
              <w:jc w:val="center"/>
              <w:rPr>
                <w:rFonts w:ascii="宋体" w:hAnsi="宋体" w:eastAsia="宋体" w:cs="宋体"/>
                <w:sz w:val="24"/>
                <w:szCs w:val="24"/>
                <w:lang w:eastAsia="en-US"/>
              </w:rPr>
            </w:pPr>
            <w:r>
              <w:rPr>
                <w:rFonts w:hint="eastAsia" w:ascii="宋体" w:hAnsi="宋体" w:eastAsia="宋体" w:cs="宋体"/>
                <w:spacing w:val="-8"/>
                <w:sz w:val="24"/>
                <w:szCs w:val="24"/>
                <w:lang w:eastAsia="en-US"/>
              </w:rPr>
              <w:t>内容</w:t>
            </w:r>
          </w:p>
        </w:tc>
        <w:tc>
          <w:tcPr>
            <w:tcW w:w="3092" w:type="pct"/>
            <w:vAlign w:val="center"/>
          </w:tcPr>
          <w:p w14:paraId="6BE7C831">
            <w:pPr>
              <w:keepNext w:val="0"/>
              <w:keepLines w:val="0"/>
              <w:pageBreakBefore w:val="0"/>
              <w:kinsoku/>
              <w:overflowPunct/>
              <w:topLinePunct w:val="0"/>
              <w:bidi w:val="0"/>
              <w:adjustRightInd w:val="0"/>
              <w:snapToGrid w:val="0"/>
              <w:spacing w:after="200" w:afterAutospacing="0" w:line="240" w:lineRule="auto"/>
              <w:ind w:left="110"/>
              <w:jc w:val="center"/>
              <w:rPr>
                <w:rFonts w:ascii="宋体" w:hAnsi="宋体" w:eastAsia="宋体" w:cs="宋体"/>
                <w:sz w:val="24"/>
                <w:szCs w:val="24"/>
                <w:lang w:eastAsia="en-US"/>
              </w:rPr>
            </w:pPr>
            <w:r>
              <w:rPr>
                <w:rFonts w:hint="eastAsia" w:ascii="宋体" w:hAnsi="宋体" w:eastAsia="宋体" w:cs="宋体"/>
                <w:spacing w:val="-2"/>
                <w:sz w:val="24"/>
                <w:szCs w:val="24"/>
                <w:lang w:eastAsia="en-US"/>
              </w:rPr>
              <w:t>设计要求</w:t>
            </w:r>
          </w:p>
        </w:tc>
      </w:tr>
      <w:tr w14:paraId="00D8D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1CA4A207">
            <w:pPr>
              <w:keepNext w:val="0"/>
              <w:keepLines w:val="0"/>
              <w:pageBreakBefore w:val="0"/>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sz w:val="24"/>
                <w:szCs w:val="24"/>
              </w:rPr>
              <w:t>1</w:t>
            </w:r>
          </w:p>
        </w:tc>
        <w:tc>
          <w:tcPr>
            <w:tcW w:w="1466" w:type="pct"/>
            <w:vAlign w:val="center"/>
          </w:tcPr>
          <w:p w14:paraId="66095AE0">
            <w:pPr>
              <w:keepNext w:val="0"/>
              <w:keepLines w:val="0"/>
              <w:pageBreakBefore w:val="0"/>
              <w:widowControl/>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lang w:bidi="ar"/>
              </w:rPr>
              <w:t>电位均衡测试</w:t>
            </w:r>
          </w:p>
        </w:tc>
        <w:tc>
          <w:tcPr>
            <w:tcW w:w="3092" w:type="pct"/>
            <w:vAlign w:val="center"/>
          </w:tcPr>
          <w:p w14:paraId="3E2CAD5D">
            <w:pPr>
              <w:keepNext w:val="0"/>
              <w:keepLines w:val="0"/>
              <w:pageBreakBefore w:val="0"/>
              <w:widowControl/>
              <w:kinsoku/>
              <w:overflowPunct/>
              <w:topLinePunct w:val="0"/>
              <w:bidi w:val="0"/>
              <w:adjustRightInd w:val="0"/>
              <w:snapToGrid w:val="0"/>
              <w:spacing w:after="200" w:afterAutospacing="0" w:line="240" w:lineRule="auto"/>
              <w:jc w:val="left"/>
              <w:rPr>
                <w:rFonts w:ascii="宋体" w:hAnsi="宋体" w:eastAsia="宋体" w:cs="宋体"/>
                <w:sz w:val="24"/>
                <w:szCs w:val="24"/>
              </w:rPr>
            </w:pPr>
            <w:r>
              <w:rPr>
                <w:rFonts w:hint="eastAsia" w:ascii="宋体" w:hAnsi="宋体" w:eastAsia="宋体" w:cs="宋体"/>
                <w:color w:val="000000"/>
                <w:kern w:val="0"/>
                <w:sz w:val="24"/>
                <w:szCs w:val="24"/>
                <w:lang w:bidi="ar"/>
              </w:rPr>
              <w:t>1.所有外露零部件导电体与电平台间的连接阻抗</w:t>
            </w:r>
          </w:p>
          <w:p w14:paraId="6F2404C6">
            <w:pPr>
              <w:keepNext w:val="0"/>
              <w:keepLines w:val="0"/>
              <w:pageBreakBefore w:val="0"/>
              <w:widowControl/>
              <w:kinsoku/>
              <w:overflowPunct/>
              <w:topLinePunct w:val="0"/>
              <w:bidi w:val="0"/>
              <w:adjustRightInd w:val="0"/>
              <w:snapToGrid w:val="0"/>
              <w:spacing w:after="200" w:afterAutospacing="0" w:line="240" w:lineRule="auto"/>
              <w:jc w:val="left"/>
              <w:rPr>
                <w:rFonts w:ascii="宋体" w:hAnsi="宋体" w:eastAsia="宋体" w:cs="宋体"/>
                <w:sz w:val="24"/>
                <w:szCs w:val="24"/>
              </w:rPr>
            </w:pPr>
            <w:r>
              <w:rPr>
                <w:rFonts w:hint="eastAsia" w:ascii="宋体" w:hAnsi="宋体" w:eastAsia="宋体" w:cs="宋体"/>
                <w:color w:val="000000"/>
                <w:kern w:val="0"/>
                <w:sz w:val="24"/>
                <w:szCs w:val="24"/>
                <w:lang w:bidi="ar"/>
              </w:rPr>
              <w:t>2.任意两个可以被人同时触碰到的零部件外露可导电部分的连接阻抗小于</w:t>
            </w:r>
            <w:r>
              <w:rPr>
                <w:rFonts w:ascii="宋体" w:hAnsi="宋体" w:eastAsia="宋体" w:cs="宋体"/>
                <w:color w:val="000000"/>
                <w:kern w:val="0"/>
                <w:sz w:val="24"/>
                <w:szCs w:val="24"/>
                <w:lang w:bidi="ar"/>
              </w:rPr>
              <w:t>0.1Ω</w:t>
            </w:r>
          </w:p>
        </w:tc>
      </w:tr>
      <w:tr w14:paraId="31CA1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3DA8BBB0">
            <w:pPr>
              <w:keepNext w:val="0"/>
              <w:keepLines w:val="0"/>
              <w:pageBreakBefore w:val="0"/>
              <w:kinsoku/>
              <w:overflowPunct/>
              <w:topLinePunct w:val="0"/>
              <w:bidi w:val="0"/>
              <w:adjustRightInd w:val="0"/>
              <w:snapToGrid w:val="0"/>
              <w:spacing w:after="200" w:afterAutospacing="0" w:line="240" w:lineRule="auto"/>
              <w:jc w:val="center"/>
              <w:rPr>
                <w:rFonts w:ascii="宋体" w:hAnsi="宋体" w:eastAsia="宋体" w:cs="宋体"/>
                <w:sz w:val="24"/>
                <w:szCs w:val="24"/>
                <w:lang w:eastAsia="en-US"/>
              </w:rPr>
            </w:pPr>
            <w:r>
              <w:rPr>
                <w:rFonts w:ascii="宋体" w:hAnsi="宋体" w:eastAsia="宋体" w:cs="宋体"/>
                <w:sz w:val="24"/>
                <w:szCs w:val="24"/>
                <w:lang w:eastAsia="en-US"/>
              </w:rPr>
              <w:t>2</w:t>
            </w:r>
          </w:p>
        </w:tc>
        <w:tc>
          <w:tcPr>
            <w:tcW w:w="1466" w:type="pct"/>
            <w:vAlign w:val="center"/>
          </w:tcPr>
          <w:p w14:paraId="377749E6">
            <w:pPr>
              <w:keepNext w:val="0"/>
              <w:keepLines w:val="0"/>
              <w:pageBreakBefore w:val="0"/>
              <w:widowControl/>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lang w:bidi="ar"/>
              </w:rPr>
              <w:t>充电口绝缘电阻检测</w:t>
            </w:r>
          </w:p>
        </w:tc>
        <w:tc>
          <w:tcPr>
            <w:tcW w:w="3092" w:type="pct"/>
            <w:vAlign w:val="center"/>
          </w:tcPr>
          <w:p w14:paraId="3BB4C8C3">
            <w:pPr>
              <w:keepNext w:val="0"/>
              <w:keepLines w:val="0"/>
              <w:pageBreakBefore w:val="0"/>
              <w:widowControl/>
              <w:kinsoku/>
              <w:overflowPunct/>
              <w:topLinePunct w:val="0"/>
              <w:bidi w:val="0"/>
              <w:adjustRightInd w:val="0"/>
              <w:snapToGrid w:val="0"/>
              <w:spacing w:after="200" w:afterAutospacing="0" w:line="240" w:lineRule="auto"/>
              <w:jc w:val="left"/>
              <w:rPr>
                <w:rFonts w:ascii="宋体" w:hAnsi="宋体" w:eastAsia="宋体" w:cs="宋体"/>
                <w:sz w:val="24"/>
                <w:szCs w:val="24"/>
              </w:rPr>
            </w:pPr>
            <w:r>
              <w:rPr>
                <w:rFonts w:hint="eastAsia" w:ascii="宋体" w:hAnsi="宋体" w:eastAsia="宋体" w:cs="宋体"/>
                <w:color w:val="000000"/>
                <w:kern w:val="0"/>
                <w:sz w:val="24"/>
                <w:szCs w:val="24"/>
                <w:lang w:bidi="ar"/>
              </w:rPr>
              <w:t>车辆充电插座的绝缘电阻，充电时传导连接到电网的电路，当充电接口断开时绝缘电阻阻值</w:t>
            </w:r>
          </w:p>
        </w:tc>
      </w:tr>
      <w:tr w14:paraId="61F89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18E36E33">
            <w:pPr>
              <w:keepNext w:val="0"/>
              <w:keepLines w:val="0"/>
              <w:pageBreakBefore w:val="0"/>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1466" w:type="pct"/>
            <w:vAlign w:val="center"/>
          </w:tcPr>
          <w:p w14:paraId="7A0A1C58">
            <w:pPr>
              <w:keepNext w:val="0"/>
              <w:keepLines w:val="0"/>
              <w:pageBreakBefore w:val="0"/>
              <w:widowControl/>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lang w:bidi="ar"/>
              </w:rPr>
              <w:t>整车绝缘电阻检测</w:t>
            </w:r>
          </w:p>
        </w:tc>
        <w:tc>
          <w:tcPr>
            <w:tcW w:w="3092" w:type="pct"/>
            <w:vAlign w:val="center"/>
          </w:tcPr>
          <w:p w14:paraId="1DE2E565">
            <w:pPr>
              <w:keepNext w:val="0"/>
              <w:keepLines w:val="0"/>
              <w:pageBreakBefore w:val="0"/>
              <w:widowControl/>
              <w:kinsoku/>
              <w:overflowPunct/>
              <w:topLinePunct w:val="0"/>
              <w:bidi w:val="0"/>
              <w:adjustRightInd w:val="0"/>
              <w:snapToGrid w:val="0"/>
              <w:spacing w:after="200" w:afterAutospacing="0" w:line="240" w:lineRule="auto"/>
              <w:jc w:val="left"/>
              <w:rPr>
                <w:rFonts w:ascii="宋体" w:hAnsi="宋体" w:eastAsia="宋体" w:cs="宋体"/>
                <w:sz w:val="24"/>
                <w:szCs w:val="24"/>
              </w:rPr>
            </w:pPr>
            <w:r>
              <w:rPr>
                <w:rFonts w:hint="eastAsia" w:ascii="宋体" w:hAnsi="宋体" w:eastAsia="宋体" w:cs="宋体"/>
                <w:color w:val="000000"/>
                <w:kern w:val="0"/>
                <w:sz w:val="24"/>
                <w:szCs w:val="24"/>
                <w:lang w:bidi="ar"/>
              </w:rPr>
              <w:t>车辆不上电，用以检测整车级不含源的</w:t>
            </w:r>
            <w:r>
              <w:rPr>
                <w:rFonts w:ascii="宋体" w:hAnsi="宋体" w:eastAsia="宋体" w:cs="宋体"/>
                <w:color w:val="000000"/>
                <w:kern w:val="0"/>
                <w:sz w:val="24"/>
                <w:szCs w:val="24"/>
                <w:lang w:bidi="ar"/>
              </w:rPr>
              <w:t xml:space="preserve"> B </w:t>
            </w:r>
            <w:r>
              <w:rPr>
                <w:rFonts w:hint="eastAsia" w:ascii="宋体" w:hAnsi="宋体" w:eastAsia="宋体" w:cs="宋体"/>
                <w:color w:val="000000"/>
                <w:kern w:val="0"/>
                <w:sz w:val="24"/>
                <w:szCs w:val="24"/>
                <w:lang w:bidi="ar"/>
              </w:rPr>
              <w:t>级高压回路绝缘电阻阻值检测</w:t>
            </w:r>
          </w:p>
        </w:tc>
      </w:tr>
      <w:tr w14:paraId="1E6AB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3629CC1F">
            <w:pPr>
              <w:keepNext w:val="0"/>
              <w:keepLines w:val="0"/>
              <w:pageBreakBefore w:val="0"/>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sz w:val="24"/>
                <w:szCs w:val="24"/>
              </w:rPr>
              <w:t>4</w:t>
            </w:r>
          </w:p>
        </w:tc>
        <w:tc>
          <w:tcPr>
            <w:tcW w:w="1466" w:type="pct"/>
            <w:vAlign w:val="center"/>
          </w:tcPr>
          <w:p w14:paraId="77376C40">
            <w:pPr>
              <w:keepNext w:val="0"/>
              <w:keepLines w:val="0"/>
              <w:pageBreakBefore w:val="0"/>
              <w:widowControl/>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lang w:bidi="ar"/>
              </w:rPr>
              <w:t>动力电池绝缘电阻检测</w:t>
            </w:r>
          </w:p>
        </w:tc>
        <w:tc>
          <w:tcPr>
            <w:tcW w:w="3092" w:type="pct"/>
            <w:vAlign w:val="center"/>
          </w:tcPr>
          <w:p w14:paraId="4FF3A627">
            <w:pPr>
              <w:keepNext w:val="0"/>
              <w:keepLines w:val="0"/>
              <w:pageBreakBefore w:val="0"/>
              <w:widowControl/>
              <w:kinsoku/>
              <w:overflowPunct/>
              <w:topLinePunct w:val="0"/>
              <w:bidi w:val="0"/>
              <w:adjustRightInd w:val="0"/>
              <w:snapToGrid w:val="0"/>
              <w:spacing w:after="200" w:afterAutospacing="0" w:line="240" w:lineRule="auto"/>
              <w:jc w:val="left"/>
              <w:rPr>
                <w:rFonts w:ascii="宋体" w:hAnsi="宋体" w:eastAsia="宋体" w:cs="宋体"/>
                <w:sz w:val="24"/>
                <w:szCs w:val="24"/>
              </w:rPr>
            </w:pPr>
            <w:r>
              <w:rPr>
                <w:rFonts w:hint="eastAsia" w:ascii="宋体" w:hAnsi="宋体" w:eastAsia="宋体" w:cs="宋体"/>
                <w:color w:val="000000"/>
                <w:kern w:val="0"/>
                <w:sz w:val="24"/>
                <w:szCs w:val="24"/>
                <w:lang w:bidi="ar"/>
              </w:rPr>
              <w:t>车辆上电，用以检测整车级</w:t>
            </w:r>
            <w:r>
              <w:rPr>
                <w:rFonts w:hint="eastAsia" w:ascii="宋体" w:hAnsi="宋体" w:eastAsia="宋体" w:cs="宋体"/>
                <w:color w:val="000000"/>
                <w:kern w:val="0"/>
                <w:sz w:val="24"/>
                <w:szCs w:val="24"/>
                <w:lang w:eastAsia="zh-CN" w:bidi="ar"/>
              </w:rPr>
              <w:t>电源</w:t>
            </w:r>
            <w:r>
              <w:rPr>
                <w:rFonts w:hint="eastAsia" w:ascii="宋体" w:hAnsi="宋体" w:eastAsia="宋体" w:cs="宋体"/>
                <w:color w:val="000000"/>
                <w:kern w:val="0"/>
                <w:sz w:val="24"/>
                <w:szCs w:val="24"/>
                <w:lang w:bidi="ar"/>
              </w:rPr>
              <w:t>的绝缘电阻阻值检测</w:t>
            </w:r>
          </w:p>
        </w:tc>
      </w:tr>
      <w:tr w14:paraId="27C4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441" w:type="pct"/>
            <w:vAlign w:val="center"/>
          </w:tcPr>
          <w:p w14:paraId="3BB120D6">
            <w:pPr>
              <w:keepNext w:val="0"/>
              <w:keepLines w:val="0"/>
              <w:pageBreakBefore w:val="0"/>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1466" w:type="pct"/>
            <w:vAlign w:val="center"/>
          </w:tcPr>
          <w:p w14:paraId="0ECB9BB5">
            <w:pPr>
              <w:keepNext w:val="0"/>
              <w:keepLines w:val="0"/>
              <w:pageBreakBefore w:val="0"/>
              <w:widowControl/>
              <w:kinsoku/>
              <w:overflowPunct/>
              <w:topLinePunct w:val="0"/>
              <w:bidi w:val="0"/>
              <w:adjustRightInd w:val="0"/>
              <w:snapToGrid w:val="0"/>
              <w:spacing w:after="200"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lang w:bidi="ar"/>
              </w:rPr>
              <w:t>绝缘监测功能验证</w:t>
            </w:r>
          </w:p>
        </w:tc>
        <w:tc>
          <w:tcPr>
            <w:tcW w:w="3092" w:type="pct"/>
            <w:vAlign w:val="center"/>
          </w:tcPr>
          <w:p w14:paraId="2BB392C7">
            <w:pPr>
              <w:keepNext w:val="0"/>
              <w:keepLines w:val="0"/>
              <w:pageBreakBefore w:val="0"/>
              <w:widowControl/>
              <w:kinsoku/>
              <w:overflowPunct/>
              <w:topLinePunct w:val="0"/>
              <w:bidi w:val="0"/>
              <w:adjustRightInd w:val="0"/>
              <w:snapToGrid w:val="0"/>
              <w:spacing w:after="200" w:afterAutospacing="0" w:line="240" w:lineRule="auto"/>
              <w:jc w:val="left"/>
              <w:rPr>
                <w:rFonts w:ascii="宋体" w:hAnsi="宋体" w:eastAsia="宋体" w:cs="宋体"/>
                <w:sz w:val="24"/>
                <w:szCs w:val="24"/>
              </w:rPr>
            </w:pPr>
            <w:r>
              <w:rPr>
                <w:rFonts w:hint="eastAsia" w:ascii="宋体" w:hAnsi="宋体" w:eastAsia="宋体" w:cs="宋体"/>
                <w:color w:val="000000"/>
                <w:kern w:val="0"/>
                <w:sz w:val="24"/>
                <w:szCs w:val="24"/>
                <w:lang w:bidi="ar"/>
              </w:rPr>
              <w:t>车辆上电，检测整车绝缘</w:t>
            </w:r>
            <w:r>
              <w:rPr>
                <w:rFonts w:hint="eastAsia" w:ascii="宋体" w:hAnsi="宋体" w:eastAsia="宋体" w:cs="宋体"/>
                <w:color w:val="000000"/>
                <w:kern w:val="0"/>
                <w:sz w:val="24"/>
                <w:szCs w:val="24"/>
                <w:lang w:eastAsia="zh-CN" w:bidi="ar"/>
              </w:rPr>
              <w:t>检测</w:t>
            </w:r>
            <w:r>
              <w:rPr>
                <w:rFonts w:hint="eastAsia" w:ascii="宋体" w:hAnsi="宋体" w:eastAsia="宋体" w:cs="宋体"/>
                <w:color w:val="000000"/>
                <w:kern w:val="0"/>
                <w:sz w:val="24"/>
                <w:szCs w:val="24"/>
                <w:lang w:bidi="ar"/>
              </w:rPr>
              <w:t>功能是否正常</w:t>
            </w:r>
          </w:p>
        </w:tc>
      </w:tr>
    </w:tbl>
    <w:p w14:paraId="0A271EB2">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bookmarkStart w:id="341" w:name="_Toc67405640"/>
      <w:bookmarkStart w:id="342" w:name="_Toc124457894"/>
      <w:bookmarkStart w:id="343" w:name="_Toc58868728"/>
      <w:bookmarkStart w:id="344" w:name="_Toc148647725"/>
      <w:r>
        <w:rPr>
          <w:rFonts w:ascii="Times New Roman" w:hAnsi="Times New Roman" w:eastAsia="宋体" w:cs="Times New Roman"/>
          <w:sz w:val="24"/>
        </w:rPr>
        <w:t>整车绝缘电阻检测</w:t>
      </w:r>
      <w:bookmarkEnd w:id="341"/>
      <w:bookmarkEnd w:id="342"/>
      <w:bookmarkEnd w:id="343"/>
      <w:bookmarkEnd w:id="344"/>
    </w:p>
    <w:p w14:paraId="5A64FE2D">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整车绝缘电阻测试主要是测试仪通过整车绝缘电阻测试线，将测试夹通过连接线接到汽车电池正负极的位置，测试仪电压检测的内阻不小于10MΩ，此外，在测量时应将车辆的绝缘监测功能关闭或者将绝缘电阻监测单元从B级电压电路中断开，以免影响测量值。</w:t>
      </w:r>
    </w:p>
    <w:p w14:paraId="565D5C02">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测量方法如下：</w:t>
      </w:r>
    </w:p>
    <w:p w14:paraId="248DAA10">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r>
        <w:rPr>
          <w:rFonts w:ascii="Times New Roman" w:hAnsi="Times New Roman" w:eastAsia="宋体" w:cs="Times New Roman"/>
          <w:sz w:val="24"/>
        </w:rPr>
        <w:drawing>
          <wp:anchor distT="0" distB="0" distL="114300" distR="114300" simplePos="0" relativeHeight="251676672" behindDoc="0" locked="0" layoutInCell="1" allowOverlap="1">
            <wp:simplePos x="0" y="0"/>
            <wp:positionH relativeFrom="column">
              <wp:posOffset>707390</wp:posOffset>
            </wp:positionH>
            <wp:positionV relativeFrom="paragraph">
              <wp:posOffset>94615</wp:posOffset>
            </wp:positionV>
            <wp:extent cx="4417695" cy="1926590"/>
            <wp:effectExtent l="0" t="0" r="1905" b="6985"/>
            <wp:wrapNone/>
            <wp:docPr id="107" name="图片 1" descr="图示, 示意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 descr="图示, 示意图&#10;&#10;描述已自动生成"/>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a:xfrm>
                      <a:off x="0" y="0"/>
                      <a:ext cx="4417695" cy="1926590"/>
                    </a:xfrm>
                    <a:prstGeom prst="rect">
                      <a:avLst/>
                    </a:prstGeom>
                    <a:noFill/>
                    <a:ln w="9525">
                      <a:noFill/>
                      <a:miter lim="800000"/>
                      <a:headEnd/>
                      <a:tailEnd/>
                    </a:ln>
                  </pic:spPr>
                </pic:pic>
              </a:graphicData>
            </a:graphic>
          </wp:anchor>
        </w:drawing>
      </w:r>
    </w:p>
    <w:p w14:paraId="5DE86E14">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6ECA6762">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0F2B5267">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4A740F79">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3BE2870B">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448F48E5">
      <w:pPr>
        <w:keepNext w:val="0"/>
        <w:keepLines w:val="0"/>
        <w:pageBreakBefore w:val="0"/>
        <w:widowControl/>
        <w:kinsoku/>
        <w:overflowPunct/>
        <w:topLinePunct w:val="0"/>
        <w:bidi w:val="0"/>
        <w:adjustRightInd w:val="0"/>
        <w:snapToGrid w:val="0"/>
        <w:spacing w:afterAutospacing="0"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具体步骤如下：</w:t>
      </w:r>
    </w:p>
    <w:p w14:paraId="530CD7BC">
      <w:pPr>
        <w:keepNext w:val="0"/>
        <w:keepLines w:val="0"/>
        <w:pageBreakBefore w:val="0"/>
        <w:widowControl/>
        <w:numPr>
          <w:ilvl w:val="0"/>
          <w:numId w:val="642"/>
        </w:numPr>
        <w:kinsoku/>
        <w:overflowPunct/>
        <w:topLinePunct w:val="0"/>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rPr>
        <w:t>使车辆上电，保证车辆上所有电力、电子开关处于激活状态</w:t>
      </w:r>
      <w:r>
        <w:rPr>
          <w:rFonts w:hint="eastAsia" w:ascii="Times New Roman" w:hAnsi="Times New Roman" w:eastAsia="宋体" w:cs="Times New Roman"/>
          <w:sz w:val="24"/>
          <w:lang w:eastAsia="zh-CN"/>
        </w:rPr>
        <w:t>。</w:t>
      </w:r>
    </w:p>
    <w:p w14:paraId="2C644D80">
      <w:pPr>
        <w:keepNext w:val="0"/>
        <w:keepLines w:val="0"/>
        <w:pageBreakBefore w:val="0"/>
        <w:widowControl w:val="0"/>
        <w:numPr>
          <w:ilvl w:val="0"/>
          <w:numId w:val="642"/>
        </w:numPr>
        <w:kinsoku/>
        <w:overflowPunct/>
        <w:topLinePunct w:val="0"/>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rPr>
        <w:t>用相同的两个电压检测工具同时测量REESS的两个端子和电平台之间的电压</w:t>
      </w:r>
      <w:r>
        <w:rPr>
          <w:rFonts w:hint="eastAsia" w:ascii="Times New Roman" w:hAnsi="Times New Roman" w:eastAsia="宋体" w:cs="Times New Roman"/>
          <w:sz w:val="24"/>
          <w:lang w:eastAsia="zh-CN"/>
        </w:rPr>
        <w:t>，</w:t>
      </w:r>
      <w:r>
        <w:rPr>
          <w:rFonts w:ascii="Times New Roman" w:hAnsi="Times New Roman" w:eastAsia="宋体" w:cs="Times New Roman"/>
          <w:sz w:val="24"/>
        </w:rPr>
        <w:t>如图中所示，较高的一个为U1，较低的一个为U1</w:t>
      </w:r>
      <w:r>
        <w:rPr>
          <w:rFonts w:hint="eastAsia" w:ascii="Times New Roman" w:hAnsi="Times New Roman" w:eastAsia="宋体" w:cs="Times New Roman"/>
          <w:sz w:val="24"/>
          <w:lang w:eastAsia="zh-CN"/>
        </w:rPr>
        <w:t>。</w:t>
      </w:r>
    </w:p>
    <w:p w14:paraId="412622A7">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color w:val="000000"/>
          <w:sz w:val="24"/>
          <w:szCs w:val="24"/>
        </w:rPr>
      </w:pPr>
      <w:r>
        <w:rPr>
          <w:rFonts w:ascii="宋体" w:hAnsi="宋体" w:eastAsia="宋体" w:cs="宋体"/>
          <w:sz w:val="24"/>
          <w:szCs w:val="24"/>
        </w:rPr>
        <mc:AlternateContent>
          <mc:Choice Requires="wpc">
            <w:drawing>
              <wp:inline distT="0" distB="0" distL="114300" distR="114300">
                <wp:extent cx="3190875" cy="1983740"/>
                <wp:effectExtent l="0" t="0" r="0" b="0"/>
                <wp:docPr id="1434259044" name="画布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 name="椭圆 1137456759"/>
                        <wps:cNvSpPr/>
                        <wps:spPr>
                          <a:xfrm>
                            <a:off x="554214" y="584112"/>
                            <a:ext cx="594015" cy="594012"/>
                          </a:xfrm>
                          <a:prstGeom prst="ellipse">
                            <a:avLst/>
                          </a:prstGeom>
                          <a:solidFill>
                            <a:srgbClr val="FFFFFF"/>
                          </a:solidFill>
                          <a:ln w="9525" cap="flat" cmpd="sng">
                            <a:solidFill>
                              <a:srgbClr val="000000"/>
                            </a:solidFill>
                            <a:prstDash val="solid"/>
                            <a:headEnd type="none" w="med" len="med"/>
                            <a:tailEnd type="none" w="med" len="med"/>
                          </a:ln>
                        </wps:spPr>
                        <wps:txbx>
                          <w:txbxContent>
                            <w:p w14:paraId="335AF2A6">
                              <w:pPr>
                                <w:ind w:firstLine="300"/>
                                <w:jc w:val="center"/>
                                <w:rPr>
                                  <w:rFonts w:ascii="Times New Roman" w:hAnsi="Times New Roman" w:eastAsia="宋体" w:cs="Times New Roman"/>
                                  <w:sz w:val="15"/>
                                  <w:szCs w:val="15"/>
                                </w:rPr>
                              </w:pPr>
                              <w:r>
                                <w:rPr>
                                  <w:rFonts w:ascii="宋体" w:hAnsi="宋体" w:eastAsia="宋体" w:cs="Times New Roman"/>
                                  <w:sz w:val="15"/>
                                  <w:szCs w:val="15"/>
                                </w:rPr>
                                <w:t>REESS</w:t>
                              </w:r>
                            </w:p>
                          </w:txbxContent>
                        </wps:txbx>
                        <wps:bodyPr lIns="62871" tIns="31438" rIns="62871" bIns="31438" anchor="ctr" anchorCtr="0" upright="1"/>
                      </wps:wsp>
                      <wps:wsp>
                        <wps:cNvPr id="39" name="矩形 5"/>
                        <wps:cNvSpPr/>
                        <wps:spPr>
                          <a:xfrm>
                            <a:off x="2241155" y="693014"/>
                            <a:ext cx="749518" cy="314306"/>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4C368E">
                              <w:pPr>
                                <w:ind w:firstLine="300"/>
                                <w:jc w:val="center"/>
                                <w:rPr>
                                  <w:rFonts w:ascii="Times New Roman" w:hAnsi="Times New Roman" w:eastAsia="宋体" w:cs="Times New Roman"/>
                                  <w:sz w:val="15"/>
                                  <w:szCs w:val="15"/>
                                </w:rPr>
                              </w:pPr>
                              <w:r>
                                <w:rPr>
                                  <w:rFonts w:ascii="宋体" w:hAnsi="宋体" w:eastAsia="宋体" w:cs="Times New Roman"/>
                                  <w:sz w:val="15"/>
                                  <w:szCs w:val="15"/>
                                </w:rPr>
                                <w:t>B</w:t>
                              </w:r>
                              <w:r>
                                <w:rPr>
                                  <w:rFonts w:hint="eastAsia" w:ascii="宋体" w:hAnsi="宋体" w:eastAsia="宋体" w:cs="Times New Roman"/>
                                  <w:sz w:val="15"/>
                                  <w:szCs w:val="15"/>
                                </w:rPr>
                                <w:t>级电压负载</w:t>
                              </w:r>
                            </w:p>
                          </w:txbxContent>
                        </wps:txbx>
                        <wps:bodyPr lIns="62871" tIns="31438" rIns="62871" bIns="31438" anchor="ctr" anchorCtr="0" upright="1"/>
                      </wps:wsp>
                      <wps:wsp>
                        <wps:cNvPr id="40" name="直接箭头连接符 7"/>
                        <wps:cNvCnPr/>
                        <wps:spPr>
                          <a:xfrm flipV="1">
                            <a:off x="848021" y="347807"/>
                            <a:ext cx="400" cy="236305"/>
                          </a:xfrm>
                          <a:prstGeom prst="straightConnector1">
                            <a:avLst/>
                          </a:prstGeom>
                          <a:ln w="9525" cap="flat" cmpd="sng">
                            <a:solidFill>
                              <a:srgbClr val="000000"/>
                            </a:solidFill>
                            <a:prstDash val="solid"/>
                            <a:headEnd type="none" w="med" len="med"/>
                            <a:tailEnd type="none" w="med" len="med"/>
                          </a:ln>
                        </wps:spPr>
                        <wps:bodyPr/>
                      </wps:wsp>
                      <wps:wsp>
                        <wps:cNvPr id="42" name="直接箭头连接符 8"/>
                        <wps:cNvCnPr/>
                        <wps:spPr>
                          <a:xfrm>
                            <a:off x="847921" y="347307"/>
                            <a:ext cx="1770544" cy="500"/>
                          </a:xfrm>
                          <a:prstGeom prst="straightConnector1">
                            <a:avLst/>
                          </a:prstGeom>
                          <a:ln w="9525" cap="flat" cmpd="sng">
                            <a:solidFill>
                              <a:srgbClr val="000000"/>
                            </a:solidFill>
                            <a:prstDash val="solid"/>
                            <a:headEnd type="none" w="med" len="med"/>
                            <a:tailEnd type="none" w="med" len="med"/>
                          </a:ln>
                        </wps:spPr>
                        <wps:bodyPr/>
                      </wps:wsp>
                      <wps:wsp>
                        <wps:cNvPr id="45" name="直接箭头连接符 9"/>
                        <wps:cNvCnPr/>
                        <wps:spPr>
                          <a:xfrm flipV="1">
                            <a:off x="2616165" y="347307"/>
                            <a:ext cx="2500" cy="340607"/>
                          </a:xfrm>
                          <a:prstGeom prst="straightConnector1">
                            <a:avLst/>
                          </a:prstGeom>
                          <a:ln w="9525" cap="flat" cmpd="sng">
                            <a:solidFill>
                              <a:srgbClr val="000000"/>
                            </a:solidFill>
                            <a:prstDash val="solid"/>
                            <a:headEnd type="none" w="med" len="med"/>
                            <a:tailEnd type="none" w="med" len="med"/>
                          </a:ln>
                        </wps:spPr>
                        <wps:bodyPr/>
                      </wps:wsp>
                      <wps:wsp>
                        <wps:cNvPr id="46" name="直接箭头连接符 10"/>
                        <wps:cNvCnPr/>
                        <wps:spPr>
                          <a:xfrm flipV="1">
                            <a:off x="2624265" y="1009420"/>
                            <a:ext cx="400" cy="385608"/>
                          </a:xfrm>
                          <a:prstGeom prst="straightConnector1">
                            <a:avLst/>
                          </a:prstGeom>
                          <a:ln w="9525" cap="flat" cmpd="sng">
                            <a:solidFill>
                              <a:srgbClr val="000000"/>
                            </a:solidFill>
                            <a:prstDash val="solid"/>
                            <a:headEnd type="none" w="med" len="med"/>
                            <a:tailEnd type="none" w="med" len="med"/>
                          </a:ln>
                        </wps:spPr>
                        <wps:bodyPr/>
                      </wps:wsp>
                      <wps:wsp>
                        <wps:cNvPr id="47" name="直接箭头连接符 11"/>
                        <wps:cNvCnPr/>
                        <wps:spPr>
                          <a:xfrm>
                            <a:off x="848021" y="1394528"/>
                            <a:ext cx="1767944" cy="500"/>
                          </a:xfrm>
                          <a:prstGeom prst="straightConnector1">
                            <a:avLst/>
                          </a:prstGeom>
                          <a:ln w="9525" cap="flat" cmpd="sng">
                            <a:solidFill>
                              <a:srgbClr val="000000"/>
                            </a:solidFill>
                            <a:prstDash val="solid"/>
                            <a:headEnd type="none" w="med" len="med"/>
                            <a:tailEnd type="none" w="med" len="med"/>
                          </a:ln>
                        </wps:spPr>
                        <wps:bodyPr/>
                      </wps:wsp>
                      <wps:wsp>
                        <wps:cNvPr id="48" name="直接箭头连接符 12"/>
                        <wps:cNvCnPr/>
                        <wps:spPr>
                          <a:xfrm>
                            <a:off x="24201" y="26301"/>
                            <a:ext cx="3049475" cy="400"/>
                          </a:xfrm>
                          <a:prstGeom prst="straightConnector1">
                            <a:avLst/>
                          </a:prstGeom>
                          <a:ln w="25400" cap="flat" cmpd="sng">
                            <a:solidFill>
                              <a:srgbClr val="000000"/>
                            </a:solidFill>
                            <a:prstDash val="solid"/>
                            <a:headEnd type="none" w="med" len="med"/>
                            <a:tailEnd type="none" w="med" len="med"/>
                          </a:ln>
                        </wps:spPr>
                        <wps:bodyPr/>
                      </wps:wsp>
                      <wps:wsp>
                        <wps:cNvPr id="49" name="直接箭头连接符 13"/>
                        <wps:cNvCnPr/>
                        <wps:spPr>
                          <a:xfrm>
                            <a:off x="42101" y="1715735"/>
                            <a:ext cx="3049575" cy="400"/>
                          </a:xfrm>
                          <a:prstGeom prst="straightConnector1">
                            <a:avLst/>
                          </a:prstGeom>
                          <a:ln w="25400" cap="flat" cmpd="sng">
                            <a:solidFill>
                              <a:srgbClr val="000000"/>
                            </a:solidFill>
                            <a:prstDash val="solid"/>
                            <a:headEnd type="none" w="med" len="med"/>
                            <a:tailEnd type="none" w="med" len="med"/>
                          </a:ln>
                        </wps:spPr>
                        <wps:bodyPr/>
                      </wps:wsp>
                      <wps:wsp>
                        <wps:cNvPr id="50" name="直接箭头连接符 14"/>
                        <wps:cNvCnPr/>
                        <wps:spPr>
                          <a:xfrm>
                            <a:off x="851221" y="1178124"/>
                            <a:ext cx="1500" cy="217404"/>
                          </a:xfrm>
                          <a:prstGeom prst="straightConnector1">
                            <a:avLst/>
                          </a:prstGeom>
                          <a:ln w="9525" cap="flat" cmpd="sng">
                            <a:solidFill>
                              <a:srgbClr val="000000"/>
                            </a:solidFill>
                            <a:prstDash val="solid"/>
                            <a:headEnd type="none" w="med" len="med"/>
                            <a:tailEnd type="none" w="med" len="med"/>
                          </a:ln>
                        </wps:spPr>
                        <wps:bodyPr/>
                      </wps:wsp>
                      <wps:wsp>
                        <wps:cNvPr id="51" name="文本框 15"/>
                        <wps:cNvSpPr txBox="1"/>
                        <wps:spPr>
                          <a:xfrm>
                            <a:off x="2693066" y="26701"/>
                            <a:ext cx="528913" cy="260805"/>
                          </a:xfrm>
                          <a:prstGeom prst="rect">
                            <a:avLst/>
                          </a:prstGeom>
                          <a:noFill/>
                          <a:ln>
                            <a:noFill/>
                          </a:ln>
                        </wps:spPr>
                        <wps:txbx>
                          <w:txbxContent>
                            <w:p w14:paraId="5796A87C">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wps:txbx>
                        <wps:bodyPr lIns="62871" tIns="31438" rIns="62871" bIns="31438" upright="1"/>
                      </wps:wsp>
                      <wps:wsp>
                        <wps:cNvPr id="52" name="文本框 16"/>
                        <wps:cNvSpPr txBox="1"/>
                        <wps:spPr>
                          <a:xfrm>
                            <a:off x="2714467" y="1722635"/>
                            <a:ext cx="528913" cy="260805"/>
                          </a:xfrm>
                          <a:prstGeom prst="rect">
                            <a:avLst/>
                          </a:prstGeom>
                          <a:noFill/>
                          <a:ln>
                            <a:noFill/>
                          </a:ln>
                        </wps:spPr>
                        <wps:txbx>
                          <w:txbxContent>
                            <w:p w14:paraId="0DE7EB1C">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wps:txbx>
                        <wps:bodyPr lIns="62871" tIns="31438" rIns="62871" bIns="31438" upright="1"/>
                      </wps:wsp>
                      <wps:wsp>
                        <wps:cNvPr id="53" name="直接箭头连接符 17"/>
                        <wps:cNvCnPr/>
                        <wps:spPr>
                          <a:xfrm>
                            <a:off x="1531038" y="26701"/>
                            <a:ext cx="400" cy="320606"/>
                          </a:xfrm>
                          <a:prstGeom prst="straightConnector1">
                            <a:avLst/>
                          </a:prstGeom>
                          <a:ln w="9525" cap="flat" cmpd="sng">
                            <a:solidFill>
                              <a:srgbClr val="000000"/>
                            </a:solidFill>
                            <a:prstDash val="solid"/>
                            <a:headEnd type="triangle" w="med" len="med"/>
                            <a:tailEnd type="triangle" w="med" len="med"/>
                          </a:ln>
                        </wps:spPr>
                        <wps:bodyPr/>
                      </wps:wsp>
                      <wps:wsp>
                        <wps:cNvPr id="54" name="直接箭头连接符 18"/>
                        <wps:cNvCnPr/>
                        <wps:spPr>
                          <a:xfrm>
                            <a:off x="1530938" y="1395528"/>
                            <a:ext cx="400" cy="320606"/>
                          </a:xfrm>
                          <a:prstGeom prst="straightConnector1">
                            <a:avLst/>
                          </a:prstGeom>
                          <a:ln w="9525" cap="flat" cmpd="sng">
                            <a:solidFill>
                              <a:srgbClr val="000000"/>
                            </a:solidFill>
                            <a:prstDash val="solid"/>
                            <a:headEnd type="triangle" w="med" len="med"/>
                            <a:tailEnd type="triangle" w="med" len="med"/>
                          </a:ln>
                        </wps:spPr>
                        <wps:bodyPr/>
                      </wps:wsp>
                      <wps:wsp>
                        <wps:cNvPr id="55" name="直接箭头连接符 19"/>
                        <wps:cNvCnPr/>
                        <wps:spPr>
                          <a:xfrm flipH="1">
                            <a:off x="1366734" y="347807"/>
                            <a:ext cx="5600" cy="1046821"/>
                          </a:xfrm>
                          <a:prstGeom prst="straightConnector1">
                            <a:avLst/>
                          </a:prstGeom>
                          <a:ln w="9525" cap="flat" cmpd="sng">
                            <a:solidFill>
                              <a:srgbClr val="000000"/>
                            </a:solidFill>
                            <a:prstDash val="solid"/>
                            <a:headEnd type="triangle" w="med" len="med"/>
                            <a:tailEnd type="triangle" w="med" len="med"/>
                          </a:ln>
                        </wps:spPr>
                        <wps:bodyPr/>
                      </wps:wsp>
                      <wps:wsp>
                        <wps:cNvPr id="57" name="文本框 20"/>
                        <wps:cNvSpPr txBox="1"/>
                        <wps:spPr>
                          <a:xfrm>
                            <a:off x="1202430" y="695314"/>
                            <a:ext cx="472912" cy="346607"/>
                          </a:xfrm>
                          <a:prstGeom prst="rect">
                            <a:avLst/>
                          </a:prstGeom>
                          <a:solidFill>
                            <a:srgbClr val="FFFFFF"/>
                          </a:solidFill>
                          <a:ln>
                            <a:noFill/>
                          </a:ln>
                        </wps:spPr>
                        <wps:txbx>
                          <w:txbxContent>
                            <w:p w14:paraId="21676769">
                              <w:pPr>
                                <w:ind w:firstLine="300"/>
                                <w:rPr>
                                  <w:rFonts w:ascii="Times New Roman" w:hAnsi="Times New Roman" w:eastAsia="宋体" w:cs="Times New Roman"/>
                                  <w:sz w:val="15"/>
                                  <w:szCs w:val="15"/>
                                  <w:vertAlign w:val="subscript"/>
                                </w:rPr>
                              </w:pPr>
                              <w:r>
                                <w:rPr>
                                  <w:rFonts w:ascii="宋体" w:hAnsi="宋体" w:eastAsia="宋体" w:cs="Times New Roman"/>
                                  <w:sz w:val="15"/>
                                  <w:szCs w:val="15"/>
                                </w:rPr>
                                <w:t>U</w:t>
                              </w:r>
                              <w:r>
                                <w:rPr>
                                  <w:rFonts w:ascii="宋体" w:hAnsi="宋体" w:eastAsia="宋体" w:cs="Times New Roman"/>
                                  <w:sz w:val="15"/>
                                  <w:szCs w:val="15"/>
                                  <w:vertAlign w:val="subscript"/>
                                </w:rPr>
                                <w:t>REESS</w:t>
                              </w:r>
                            </w:p>
                          </w:txbxContent>
                        </wps:txbx>
                        <wps:bodyPr lIns="62871" tIns="31438" rIns="62871" bIns="31438" anchor="ctr" anchorCtr="0" upright="1"/>
                      </wps:wsp>
                      <wps:wsp>
                        <wps:cNvPr id="67" name="文本框 21"/>
                        <wps:cNvSpPr txBox="1"/>
                        <wps:spPr>
                          <a:xfrm>
                            <a:off x="1534038" y="45701"/>
                            <a:ext cx="516913" cy="301606"/>
                          </a:xfrm>
                          <a:prstGeom prst="rect">
                            <a:avLst/>
                          </a:prstGeom>
                          <a:noFill/>
                          <a:ln>
                            <a:noFill/>
                          </a:ln>
                        </wps:spPr>
                        <wps:txbx>
                          <w:txbxContent>
                            <w:p w14:paraId="711D0C14">
                              <w:pPr>
                                <w:ind w:firstLine="300"/>
                                <w:rPr>
                                  <w:rFonts w:ascii="Times New Roman" w:hAnsi="Times New Roman" w:eastAsia="宋体" w:cs="Times New Roman"/>
                                  <w:color w:val="000000"/>
                                  <w:sz w:val="15"/>
                                  <w:szCs w:val="15"/>
                                  <w:vertAlign w:val="superscript"/>
                                </w:rPr>
                              </w:pPr>
                              <w:r>
                                <w:rPr>
                                  <w:rFonts w:ascii="宋体" w:hAnsi="宋体" w:eastAsia="宋体" w:cs="Times New Roman"/>
                                  <w:color w:val="000000"/>
                                  <w:sz w:val="15"/>
                                  <w:szCs w:val="15"/>
                                </w:rPr>
                                <w:t>U</w:t>
                              </w:r>
                              <w:r>
                                <w:rPr>
                                  <w:rFonts w:ascii="宋体" w:hAnsi="宋体" w:eastAsia="宋体" w:cs="Times New Roman"/>
                                  <w:color w:val="000000"/>
                                  <w:sz w:val="15"/>
                                  <w:szCs w:val="15"/>
                                  <w:vertAlign w:val="subscript"/>
                                </w:rPr>
                                <w:t>1</w:t>
                              </w:r>
                              <w:r>
                                <w:rPr>
                                  <w:rFonts w:ascii="宋体" w:hAnsi="宋体" w:eastAsia="宋体" w:cs="Times New Roman"/>
                                  <w:color w:val="000000"/>
                                  <w:sz w:val="15"/>
                                  <w:szCs w:val="15"/>
                                  <w:vertAlign w:val="superscript"/>
                                </w:rPr>
                                <w:t>`</w:t>
                              </w:r>
                            </w:p>
                          </w:txbxContent>
                        </wps:txbx>
                        <wps:bodyPr lIns="62871" tIns="31438" rIns="62871" bIns="31438" anchor="ctr" anchorCtr="0" upright="1"/>
                      </wps:wsp>
                      <wps:wsp>
                        <wps:cNvPr id="74" name="文本框 22"/>
                        <wps:cNvSpPr txBox="1"/>
                        <wps:spPr>
                          <a:xfrm>
                            <a:off x="1528838" y="1409928"/>
                            <a:ext cx="516913" cy="301606"/>
                          </a:xfrm>
                          <a:prstGeom prst="rect">
                            <a:avLst/>
                          </a:prstGeom>
                          <a:noFill/>
                          <a:ln>
                            <a:noFill/>
                          </a:ln>
                        </wps:spPr>
                        <wps:txbx>
                          <w:txbxContent>
                            <w:p w14:paraId="1D1E1302">
                              <w:pPr>
                                <w:ind w:firstLine="300"/>
                                <w:rPr>
                                  <w:rFonts w:ascii="Times New Roman" w:hAnsi="Times New Roman" w:eastAsia="宋体" w:cs="Times New Roman"/>
                                  <w:sz w:val="15"/>
                                  <w:szCs w:val="15"/>
                                  <w:vertAlign w:val="superscript"/>
                                </w:rPr>
                              </w:pPr>
                              <w:r>
                                <w:rPr>
                                  <w:rFonts w:ascii="宋体" w:hAnsi="宋体" w:eastAsia="宋体" w:cs="Times New Roman"/>
                                  <w:sz w:val="15"/>
                                  <w:szCs w:val="15"/>
                                </w:rPr>
                                <w:t>U</w:t>
                              </w:r>
                              <w:r>
                                <w:rPr>
                                  <w:rFonts w:ascii="宋体" w:hAnsi="宋体" w:eastAsia="宋体" w:cs="Times New Roman"/>
                                  <w:sz w:val="15"/>
                                  <w:szCs w:val="15"/>
                                  <w:vertAlign w:val="subscript"/>
                                </w:rPr>
                                <w:t>1</w:t>
                              </w:r>
                            </w:p>
                          </w:txbxContent>
                        </wps:txbx>
                        <wps:bodyPr lIns="62871" tIns="31438" rIns="62871" bIns="31438" anchor="ctr" anchorCtr="0" upright="1"/>
                      </wps:wsp>
                    </wpc:wpc>
                  </a:graphicData>
                </a:graphic>
              </wp:inline>
            </w:drawing>
          </mc:Choice>
          <mc:Fallback>
            <w:pict>
              <v:group id="画布 23" o:spid="_x0000_s1026" o:spt="203" style="height:156.2pt;width:251.25pt;" coordsize="3190875,1983740" editas="canvas" o:gfxdata="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">
                <o:lock v:ext="edit" aspectratio="f"/>
                <v:shape id="画布 23" o:spid="_x0000_s1026" style="position:absolute;left:0;top:0;height:1983740;width:3190875;" filled="f" stroked="f" coordsize="21600,21600" o:gfxdata="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">
                  <v:fill on="f" focussize="0,0"/>
                  <v:stroke on="f"/>
                  <v:imagedata o:title=""/>
                  <o:lock v:ext="edit" aspectratio="t"/>
                </v:shape>
                <v:shape id="椭圆 1137456759" o:spid="_x0000_s1026" o:spt="3" type="#_x0000_t3" style="position:absolute;left:554214;top:584112;height:594012;width:594015;v-text-anchor:middle;" fillcolor="#FFFFFF" filled="t" stroked="t" coordsize="21600,21600" o:gfxdata="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bclLzUAAAABQEAAA8AAAAAAAAAAQAgAAAAIgAAAGRycy9kb3ducmV2Lnht&#10;bFBLAQIUABQAAAAIAIdO4kB//0icNgIAAIQEAAAOAAAAAAAAAAEAIAAAACMBAABkcnMvZTJvRG9j&#10;LnhtbFBLBQYAAAAABgAGAFkBAADLBQAAAAA=&#10;">
                  <v:fill on="t" focussize="0,0"/>
                  <v:stroke color="#000000" joinstyle="round"/>
                  <v:imagedata o:title=""/>
                  <o:lock v:ext="edit" aspectratio="f"/>
                  <v:textbox inset="4.95047244094488pt,2.47543307086614pt,4.95047244094488pt,2.47543307086614pt">
                    <w:txbxContent>
                      <w:p w14:paraId="335AF2A6">
                        <w:pPr>
                          <w:ind w:firstLine="300"/>
                          <w:jc w:val="center"/>
                          <w:rPr>
                            <w:rFonts w:ascii="Times New Roman" w:hAnsi="Times New Roman" w:eastAsia="宋体" w:cs="Times New Roman"/>
                            <w:sz w:val="15"/>
                            <w:szCs w:val="15"/>
                          </w:rPr>
                        </w:pPr>
                        <w:r>
                          <w:rPr>
                            <w:rFonts w:ascii="宋体" w:hAnsi="宋体" w:eastAsia="宋体" w:cs="Times New Roman"/>
                            <w:sz w:val="15"/>
                            <w:szCs w:val="15"/>
                          </w:rPr>
                          <w:t>REESS</w:t>
                        </w:r>
                      </w:p>
                    </w:txbxContent>
                  </v:textbox>
                </v:shape>
                <v:rect id="矩形 5" o:spid="_x0000_s1026" o:spt="1" style="position:absolute;left:2241155;top:693014;height:314306;width:749518;v-text-anchor:middle;" fillcolor="#FFFFFF" filled="t" stroked="t" coordsize="21600,21600" o:gfxdata="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Ixb0htQAAAAFAQAADwAAAAAAAAABACAAAAAiAAAAZHJzL2Rvd25yZXYueG1s&#10;UEsBAhQAFAAAAAgAh07iQEFVO7U1AgAAgwQAAA4AAAAAAAAAAQAgAAAAIwEAAGRycy9lMm9Eb2Mu&#10;eG1sUEsFBgAAAAAGAAYAWQEAAMoFAAAAAA==&#10;">
                  <v:fill on="t" focussize="0,0"/>
                  <v:stroke color="#000000" joinstyle="miter"/>
                  <v:imagedata o:title=""/>
                  <o:lock v:ext="edit" aspectratio="f"/>
                  <v:textbox inset="4.95047244094488pt,2.47543307086614pt,4.95047244094488pt,2.47543307086614pt">
                    <w:txbxContent>
                      <w:p w14:paraId="0A4C368E">
                        <w:pPr>
                          <w:ind w:firstLine="300"/>
                          <w:jc w:val="center"/>
                          <w:rPr>
                            <w:rFonts w:ascii="Times New Roman" w:hAnsi="Times New Roman" w:eastAsia="宋体" w:cs="Times New Roman"/>
                            <w:sz w:val="15"/>
                            <w:szCs w:val="15"/>
                          </w:rPr>
                        </w:pPr>
                        <w:r>
                          <w:rPr>
                            <w:rFonts w:ascii="宋体" w:hAnsi="宋体" w:eastAsia="宋体" w:cs="Times New Roman"/>
                            <w:sz w:val="15"/>
                            <w:szCs w:val="15"/>
                          </w:rPr>
                          <w:t>B</w:t>
                        </w:r>
                        <w:r>
                          <w:rPr>
                            <w:rFonts w:hint="eastAsia" w:ascii="宋体" w:hAnsi="宋体" w:eastAsia="宋体" w:cs="Times New Roman"/>
                            <w:sz w:val="15"/>
                            <w:szCs w:val="15"/>
                          </w:rPr>
                          <w:t>级电压负载</w:t>
                        </w:r>
                      </w:p>
                    </w:txbxContent>
                  </v:textbox>
                </v:rect>
                <v:shape id="直接箭头连接符 7" o:spid="_x0000_s1026" o:spt="32" type="#_x0000_t32" style="position:absolute;left:848021;top:347807;flip:y;height:236305;width:400;" filled="f" stroked="t" coordsize="21600,21600" o:gfxdata="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Hd9v21QAAAAUBAAAPAAAAAAAAAAEA&#10;IAAAACIAAABkcnMvZG93bnJldi54bWxQSwECFAAUAAAACACHTuJAIjM5uxICAAACBAAADgAAAAAA&#10;AAABACAAAAAkAQAAZHJzL2Uyb0RvYy54bWxQSwUGAAAAAAYABgBZAQAAqAUAAAAA&#10;">
                  <v:fill on="f" focussize="0,0"/>
                  <v:stroke color="#000000" joinstyle="round"/>
                  <v:imagedata o:title=""/>
                  <o:lock v:ext="edit" aspectratio="f"/>
                </v:shape>
                <v:shape id="直接箭头连接符 8" o:spid="_x0000_s1026" o:spt="32" type="#_x0000_t32" style="position:absolute;left:847921;top:347307;height:500;width:1770544;" filled="f" stroked="t" coordsize="21600,21600" o:gfxdata="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6p0/B1QAAAAUBAAAPAAAAAAAAAAEAIAAA&#10;ACIAAABkcnMvZG93bnJldi54bWxQSwECFAAUAAAACACHTuJA3hVSzg8CAAD5AwAADgAAAAAAAAAB&#10;ACAAAAAkAQAAZHJzL2Uyb0RvYy54bWxQSwUGAAAAAAYABgBZAQAApQUAAAAA&#10;">
                  <v:fill on="f" focussize="0,0"/>
                  <v:stroke color="#000000" joinstyle="round"/>
                  <v:imagedata o:title=""/>
                  <o:lock v:ext="edit" aspectratio="f"/>
                </v:shape>
                <v:shape id="直接箭头连接符 9" o:spid="_x0000_s1026" o:spt="32" type="#_x0000_t32" style="position:absolute;left:2616165;top:347307;flip:y;height:340607;width:2500;" filled="f" stroked="t" coordsize="21600,21600" o:gfxdata="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Hd9v21QAAAAUBAAAPAAAAAAAAAAEA&#10;IAAAACIAAABkcnMvZG93bnJldi54bWxQSwECFAAUAAAACACHTuJAxD4WvRICAAAEBAAADgAAAAAA&#10;AAABACAAAAAkAQAAZHJzL2Uyb0RvYy54bWxQSwUGAAAAAAYABgBZAQAAqAUAAAAA&#10;">
                  <v:fill on="f" focussize="0,0"/>
                  <v:stroke color="#000000" joinstyle="round"/>
                  <v:imagedata o:title=""/>
                  <o:lock v:ext="edit" aspectratio="f"/>
                </v:shape>
                <v:shape id="直接箭头连接符 10" o:spid="_x0000_s1026" o:spt="32" type="#_x0000_t32" style="position:absolute;left:2624265;top:1009420;flip:y;height:385608;width:400;" filled="f" stroked="t" coordsize="21600,21600" o:gfxdata="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Hd9v21QAAAAUBAAAPAAAAAAAAAAEA&#10;IAAAACIAAABkcnMvZG93bnJldi54bWxQSwECFAAUAAAACACHTuJAq25J1xICAAAFBAAADgAAAAAA&#10;AAABACAAAAAkAQAAZHJzL2Uyb0RvYy54bWxQSwUGAAAAAAYABgBZAQAAqAUAAAAA&#10;">
                  <v:fill on="f" focussize="0,0"/>
                  <v:stroke color="#000000" joinstyle="round"/>
                  <v:imagedata o:title=""/>
                  <o:lock v:ext="edit" aspectratio="f"/>
                </v:shape>
                <v:shape id="直接箭头连接符 11" o:spid="_x0000_s1026" o:spt="32" type="#_x0000_t32" style="position:absolute;left:848021;top:1394528;height:500;width:1767944;" filled="f" stroked="t" coordsize="21600,21600" o:gfxdata="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qnT8HVAAAABQEAAA8AAAAAAAAAAQAg&#10;AAAAIgAAAGRycy9kb3ducmV2LnhtbFBLAQIUABQAAAAIAIdO4kDSp7q6EQIAAPsDAAAOAAAAAAAA&#10;AAEAIAAAACQBAABkcnMvZTJvRG9jLnhtbFBLBQYAAAAABgAGAFkBAACnBQAAAAA=&#10;">
                  <v:fill on="f" focussize="0,0"/>
                  <v:stroke color="#000000" joinstyle="round"/>
                  <v:imagedata o:title=""/>
                  <o:lock v:ext="edit" aspectratio="f"/>
                </v:shape>
                <v:shape id="直接箭头连接符 12" o:spid="_x0000_s1026" o:spt="32" type="#_x0000_t32" style="position:absolute;left:24201;top:26301;height:400;width:3049475;" filled="f" stroked="t" coordsize="21600,21600" o:gfxdata="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jrs6w1QAAAAUBAAAPAAAAAAAAAAEAIAAAACIAAABk&#10;cnMvZG93bnJldi54bWxQSwECFAAUAAAACACHTuJAjXxA9gkCAAD5AwAADgAAAAAAAAABACAAAAAk&#10;AQAAZHJzL2Uyb0RvYy54bWxQSwUGAAAAAAYABgBZAQAAnwUAAAAA&#10;">
                  <v:fill on="f" focussize="0,0"/>
                  <v:stroke weight="2pt" color="#000000" joinstyle="round"/>
                  <v:imagedata o:title=""/>
                  <o:lock v:ext="edit" aspectratio="f"/>
                </v:shape>
                <v:shape id="直接箭头连接符 13" o:spid="_x0000_s1026" o:spt="32" type="#_x0000_t32" style="position:absolute;left:42101;top:1715735;height:400;width:3049575;" filled="f" stroked="t" coordsize="21600,21600" o:gfxdata="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OuzrDVAAAABQEAAA8AAAAAAAAAAQAgAAAA&#10;IgAAAGRycy9kb3ducmV2LnhtbFBLAQIUABQAAAAIAIdO4kDJQjZiDgIAAPsDAAAOAAAAAAAAAAEA&#10;IAAAACQBAABkcnMvZTJvRG9jLnhtbFBLBQYAAAAABgAGAFkBAACkBQAAAAA=&#10;">
                  <v:fill on="f" focussize="0,0"/>
                  <v:stroke weight="2pt" color="#000000" joinstyle="round"/>
                  <v:imagedata o:title=""/>
                  <o:lock v:ext="edit" aspectratio="f"/>
                </v:shape>
                <v:shape id="直接箭头连接符 14" o:spid="_x0000_s1026" o:spt="32" type="#_x0000_t32" style="position:absolute;left:851221;top:1178124;height:217404;width:1500;" filled="f" stroked="t" coordsize="21600,21600" o:gfxdata="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qnT8HVAAAABQEAAA8AAAAAAAAAAQAgAAAA&#10;IgAAAGRycy9kb3ducmV2LnhtbFBLAQIUABQAAAAIAIdO4kDsiJuqDgIAAPsDAAAOAAAAAAAAAAEA&#10;IAAAACQBAABkcnMvZTJvRG9jLnhtbFBLBQYAAAAABgAGAFkBAACkBQAAAAA=&#10;">
                  <v:fill on="f" focussize="0,0"/>
                  <v:stroke color="#000000" joinstyle="round"/>
                  <v:imagedata o:title=""/>
                  <o:lock v:ext="edit" aspectratio="f"/>
                </v:shape>
                <v:shape id="文本框 15" o:spid="_x0000_s1026" o:spt="202" type="#_x0000_t202" style="position:absolute;left:2693066;top:26701;height:260805;width:528913;" filled="f" stroked="f" coordsize="21600,21600" o:gfxdata="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KgGb81gAAAAUBAAAPAAAAAAAAAAEAIAAAACIAAABk&#10;cnMvZG93bnJldi54bWxQSwECFAAUAAAACACHTuJAP6bYQ88BAACNAwAADgAAAAAAAAABACAAAAAl&#10;AQAAZHJzL2Uyb0RvYy54bWxQSwUGAAAAAAYABgBZAQAAZgUAAAAA&#10;">
                  <v:fill on="f" focussize="0,0"/>
                  <v:stroke on="f"/>
                  <v:imagedata o:title=""/>
                  <o:lock v:ext="edit" aspectratio="f"/>
                  <v:textbox inset="4.95047244094488pt,2.47543307086614pt,4.95047244094488pt,2.47543307086614pt">
                    <w:txbxContent>
                      <w:p w14:paraId="5796A87C">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v:textbox>
                </v:shape>
                <v:shape id="文本框 16" o:spid="_x0000_s1026" o:spt="202" type="#_x0000_t202" style="position:absolute;left:2714467;top:1722635;height:260805;width:528913;" filled="f" stroked="f" coordsize="21600,21600" o:gfxdata="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SoBm/NYAAAAFAQAADwAAAAAAAAABACAAAAAi&#10;AAAAZHJzL2Rvd25yZXYueG1sUEsBAhQAFAAAAAgAh07iQF9vNxbTAQAAjwMAAA4AAAAAAAAAAQAg&#10;AAAAJQEAAGRycy9lMm9Eb2MueG1sUEsFBgAAAAAGAAYAWQEAAGoFAAAAAA==&#10;">
                  <v:fill on="f" focussize="0,0"/>
                  <v:stroke on="f"/>
                  <v:imagedata o:title=""/>
                  <o:lock v:ext="edit" aspectratio="f"/>
                  <v:textbox inset="4.95047244094488pt,2.47543307086614pt,4.95047244094488pt,2.47543307086614pt">
                    <w:txbxContent>
                      <w:p w14:paraId="0DE7EB1C">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v:textbox>
                </v:shape>
                <v:shape id="直接箭头连接符 17" o:spid="_x0000_s1026" o:spt="32" type="#_x0000_t32" style="position:absolute;left:1531038;top:26701;height:320606;width:400;" filled="f" stroked="t" coordsize="21600,21600" o:gfxdata="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DciKG1gAAAAUBAAAPAAAAAAAAAAEAIAAA&#10;ACIAAABkcnMvZG93bnJldi54bWxQSwECFAAUAAAACACHTuJAydlNuw4CAAABBAAADgAAAAAAAAAB&#10;ACAAAAAlAQAAZHJzL2Uyb0RvYy54bWxQSwUGAAAAAAYABgBZAQAApQUAAAAA&#10;">
                  <v:fill on="f" focussize="0,0"/>
                  <v:stroke color="#000000" joinstyle="round" startarrow="block" endarrow="block"/>
                  <v:imagedata o:title=""/>
                  <o:lock v:ext="edit" aspectratio="f"/>
                </v:shape>
                <v:shape id="直接箭头连接符 18" o:spid="_x0000_s1026" o:spt="32" type="#_x0000_t32" style="position:absolute;left:1530938;top:1395528;height:320606;width:400;" filled="f" stroked="t" coordsize="21600,21600" o:gfxdata="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NyIobWAAAABQEAAA8AAAAAAAAAAQAg&#10;AAAAIgAAAGRycy9kb3ducmV2LnhtbFBLAQIUABQAAAAIAIdO4kCaMNZ3EAIAAAMEAAAOAAAAAAAA&#10;AAEAIAAAACUBAABkcnMvZTJvRG9jLnhtbFBLBQYAAAAABgAGAFkBAACnBQAAAAA=&#10;">
                  <v:fill on="f" focussize="0,0"/>
                  <v:stroke color="#000000" joinstyle="round" startarrow="block" endarrow="block"/>
                  <v:imagedata o:title=""/>
                  <o:lock v:ext="edit" aspectratio="f"/>
                </v:shape>
                <v:shape id="直接箭头连接符 19" o:spid="_x0000_s1026" o:spt="32" type="#_x0000_t32" style="position:absolute;left:1366734;top:347807;flip:x;height:1046821;width:5600;" filled="f" stroked="t" coordsize="21600,21600" o:gfxdata="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dlNj7VAAAABQEAAA8AAAAA&#10;AAAAAQAgAAAAIgAAAGRycy9kb3ducmV2LnhtbFBLAQIUABQAAAAIAIdO4kBJzxbiFwIAAA4EAAAO&#10;AAAAAAAAAAEAIAAAACQBAABkcnMvZTJvRG9jLnhtbFBLBQYAAAAABgAGAFkBAACtBQAAAAA=&#10;">
                  <v:fill on="f" focussize="0,0"/>
                  <v:stroke color="#000000" joinstyle="round" startarrow="block" endarrow="block"/>
                  <v:imagedata o:title=""/>
                  <o:lock v:ext="edit" aspectratio="f"/>
                </v:shape>
                <v:shape id="文本框 20" o:spid="_x0000_s1026" o:spt="202" type="#_x0000_t202" style="position:absolute;left:1202430;top:695314;height:346607;width:472912;v-text-anchor:middle;" fillcolor="#FFFFFF" filled="t" stroked="f" coordsize="21600,21600" o:gfxdata="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E4ewH3UAAAABQEAAA8AAAAAAAAAAQAgAAAAIgAAAGRycy9kb3ducmV2LnhtbFBLAQIUABQAAAAI&#10;AIdO4kCHap6T8QEAANIDAAAOAAAAAAAAAAEAIAAAACMBAABkcnMvZTJvRG9jLnhtbFBLBQYAAAAA&#10;BgAGAFkBAACGBQAAAAA=&#10;">
                  <v:fill on="t" focussize="0,0"/>
                  <v:stroke on="f"/>
                  <v:imagedata o:title=""/>
                  <o:lock v:ext="edit" aspectratio="f"/>
                  <v:textbox inset="4.95047244094488pt,2.47543307086614pt,4.95047244094488pt,2.47543307086614pt">
                    <w:txbxContent>
                      <w:p w14:paraId="21676769">
                        <w:pPr>
                          <w:ind w:firstLine="300"/>
                          <w:rPr>
                            <w:rFonts w:ascii="Times New Roman" w:hAnsi="Times New Roman" w:eastAsia="宋体" w:cs="Times New Roman"/>
                            <w:sz w:val="15"/>
                            <w:szCs w:val="15"/>
                            <w:vertAlign w:val="subscript"/>
                          </w:rPr>
                        </w:pPr>
                        <w:r>
                          <w:rPr>
                            <w:rFonts w:ascii="宋体" w:hAnsi="宋体" w:eastAsia="宋体" w:cs="Times New Roman"/>
                            <w:sz w:val="15"/>
                            <w:szCs w:val="15"/>
                          </w:rPr>
                          <w:t>U</w:t>
                        </w:r>
                        <w:r>
                          <w:rPr>
                            <w:rFonts w:ascii="宋体" w:hAnsi="宋体" w:eastAsia="宋体" w:cs="Times New Roman"/>
                            <w:sz w:val="15"/>
                            <w:szCs w:val="15"/>
                            <w:vertAlign w:val="subscript"/>
                          </w:rPr>
                          <w:t>REESS</w:t>
                        </w:r>
                      </w:p>
                    </w:txbxContent>
                  </v:textbox>
                </v:shape>
                <v:shape id="文本框 21" o:spid="_x0000_s1026" o:spt="202" type="#_x0000_t202" style="position:absolute;left:1534038;top:45701;height:301606;width:516913;v-text-anchor:middle;" filled="f" stroked="f" coordsize="21600,21600" o:gfxdata="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vmf50NUAAAAFAQAADwAAAAAA&#10;AAABACAAAAAiAAAAZHJzL2Rvd25yZXYueG1sUEsBAhQAFAAAAAgAh07iQP/cUk7dAQAAqAMAAA4A&#10;AAAAAAAAAQAgAAAAJAEAAGRycy9lMm9Eb2MueG1sUEsFBgAAAAAGAAYAWQEAAHMFAAAAAA==&#10;">
                  <v:fill on="f" focussize="0,0"/>
                  <v:stroke on="f"/>
                  <v:imagedata o:title=""/>
                  <o:lock v:ext="edit" aspectratio="f"/>
                  <v:textbox inset="4.95047244094488pt,2.47543307086614pt,4.95047244094488pt,2.47543307086614pt">
                    <w:txbxContent>
                      <w:p w14:paraId="711D0C14">
                        <w:pPr>
                          <w:ind w:firstLine="300"/>
                          <w:rPr>
                            <w:rFonts w:ascii="Times New Roman" w:hAnsi="Times New Roman" w:eastAsia="宋体" w:cs="Times New Roman"/>
                            <w:color w:val="000000"/>
                            <w:sz w:val="15"/>
                            <w:szCs w:val="15"/>
                            <w:vertAlign w:val="superscript"/>
                          </w:rPr>
                        </w:pPr>
                        <w:r>
                          <w:rPr>
                            <w:rFonts w:ascii="宋体" w:hAnsi="宋体" w:eastAsia="宋体" w:cs="Times New Roman"/>
                            <w:color w:val="000000"/>
                            <w:sz w:val="15"/>
                            <w:szCs w:val="15"/>
                          </w:rPr>
                          <w:t>U</w:t>
                        </w:r>
                        <w:r>
                          <w:rPr>
                            <w:rFonts w:ascii="宋体" w:hAnsi="宋体" w:eastAsia="宋体" w:cs="Times New Roman"/>
                            <w:color w:val="000000"/>
                            <w:sz w:val="15"/>
                            <w:szCs w:val="15"/>
                            <w:vertAlign w:val="subscript"/>
                          </w:rPr>
                          <w:t>1</w:t>
                        </w:r>
                        <w:r>
                          <w:rPr>
                            <w:rFonts w:ascii="宋体" w:hAnsi="宋体" w:eastAsia="宋体" w:cs="Times New Roman"/>
                            <w:color w:val="000000"/>
                            <w:sz w:val="15"/>
                            <w:szCs w:val="15"/>
                            <w:vertAlign w:val="superscript"/>
                          </w:rPr>
                          <w:t>`</w:t>
                        </w:r>
                      </w:p>
                    </w:txbxContent>
                  </v:textbox>
                </v:shape>
                <v:shape id="文本框 22" o:spid="_x0000_s1026" o:spt="202" type="#_x0000_t202" style="position:absolute;left:1528838;top:1409928;height:301606;width:516913;v-text-anchor:middle;" filled="f" stroked="f" coordsize="21600,21600" o:gfxdata="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vmf50NUAAAAFAQAADwAAAAAA&#10;AAABACAAAAAiAAAAZHJzL2Rvd25yZXYueG1sUEsBAhQAFAAAAAgAh07iQOwnLK/dAQAAqgMAAA4A&#10;AAAAAAAAAQAgAAAAJAEAAGRycy9lMm9Eb2MueG1sUEsFBgAAAAAGAAYAWQEAAHMFAAAAAA==&#10;">
                  <v:fill on="f" focussize="0,0"/>
                  <v:stroke on="f"/>
                  <v:imagedata o:title=""/>
                  <o:lock v:ext="edit" aspectratio="f"/>
                  <v:textbox inset="4.95047244094488pt,2.47543307086614pt,4.95047244094488pt,2.47543307086614pt">
                    <w:txbxContent>
                      <w:p w14:paraId="1D1E1302">
                        <w:pPr>
                          <w:ind w:firstLine="300"/>
                          <w:rPr>
                            <w:rFonts w:ascii="Times New Roman" w:hAnsi="Times New Roman" w:eastAsia="宋体" w:cs="Times New Roman"/>
                            <w:sz w:val="15"/>
                            <w:szCs w:val="15"/>
                            <w:vertAlign w:val="superscript"/>
                          </w:rPr>
                        </w:pPr>
                        <w:r>
                          <w:rPr>
                            <w:rFonts w:ascii="宋体" w:hAnsi="宋体" w:eastAsia="宋体" w:cs="Times New Roman"/>
                            <w:sz w:val="15"/>
                            <w:szCs w:val="15"/>
                          </w:rPr>
                          <w:t>U</w:t>
                        </w:r>
                        <w:r>
                          <w:rPr>
                            <w:rFonts w:ascii="宋体" w:hAnsi="宋体" w:eastAsia="宋体" w:cs="Times New Roman"/>
                            <w:sz w:val="15"/>
                            <w:szCs w:val="15"/>
                            <w:vertAlign w:val="subscript"/>
                          </w:rPr>
                          <w:t>1</w:t>
                        </w:r>
                      </w:p>
                    </w:txbxContent>
                  </v:textbox>
                </v:shape>
                <w10:wrap type="none"/>
                <w10:anchorlock/>
              </v:group>
            </w:pict>
          </mc:Fallback>
        </mc:AlternateContent>
      </w:r>
    </w:p>
    <w:p w14:paraId="73CDCFD0">
      <w:pPr>
        <w:keepNext w:val="0"/>
        <w:keepLines w:val="0"/>
        <w:pageBreakBefore w:val="0"/>
        <w:widowControl w:val="0"/>
        <w:numPr>
          <w:ilvl w:val="0"/>
          <w:numId w:val="642"/>
        </w:numPr>
        <w:kinsoku/>
        <w:overflowPunct/>
        <w:topLinePunct w:val="0"/>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hint="eastAsia" w:ascii="宋体" w:hAnsi="宋体" w:eastAsia="宋体" w:cs="宋体"/>
          <w:sz w:val="24"/>
        </w:rPr>
        <mc:AlternateContent>
          <mc:Choice Requires="wpc">
            <w:drawing>
              <wp:anchor distT="0" distB="0" distL="114300" distR="114300" simplePos="0" relativeHeight="251675648" behindDoc="0" locked="0" layoutInCell="1" allowOverlap="1">
                <wp:simplePos x="0" y="0"/>
                <wp:positionH relativeFrom="column">
                  <wp:posOffset>1270000</wp:posOffset>
                </wp:positionH>
                <wp:positionV relativeFrom="paragraph">
                  <wp:posOffset>694055</wp:posOffset>
                </wp:positionV>
                <wp:extent cx="3314700" cy="1941195"/>
                <wp:effectExtent l="0" t="0" r="0" b="0"/>
                <wp:wrapNone/>
                <wp:docPr id="108" name="画布 4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5" name="椭圆 24"/>
                        <wps:cNvSpPr/>
                        <wps:spPr>
                          <a:xfrm>
                            <a:off x="600214" y="666922"/>
                            <a:ext cx="594014" cy="593819"/>
                          </a:xfrm>
                          <a:prstGeom prst="ellipse">
                            <a:avLst/>
                          </a:prstGeom>
                          <a:solidFill>
                            <a:srgbClr val="FFFFFF"/>
                          </a:solidFill>
                          <a:ln w="9525" cap="flat" cmpd="sng">
                            <a:solidFill>
                              <a:srgbClr val="000000"/>
                            </a:solidFill>
                            <a:prstDash val="solid"/>
                            <a:headEnd type="none" w="med" len="med"/>
                            <a:tailEnd type="none" w="med" len="med"/>
                          </a:ln>
                        </wps:spPr>
                        <wps:txbx>
                          <w:txbxContent>
                            <w:p w14:paraId="7178BD35">
                              <w:pPr>
                                <w:ind w:firstLine="300"/>
                                <w:jc w:val="center"/>
                                <w:rPr>
                                  <w:rFonts w:ascii="Times New Roman" w:hAnsi="Times New Roman" w:eastAsia="宋体" w:cs="Times New Roman"/>
                                  <w:sz w:val="15"/>
                                  <w:szCs w:val="15"/>
                                </w:rPr>
                              </w:pPr>
                              <w:r>
                                <w:rPr>
                                  <w:rFonts w:ascii="宋体" w:hAnsi="宋体" w:eastAsia="宋体" w:cs="Times New Roman"/>
                                  <w:sz w:val="15"/>
                                  <w:szCs w:val="15"/>
                                </w:rPr>
                                <w:t>REESS</w:t>
                              </w:r>
                            </w:p>
                          </w:txbxContent>
                        </wps:txbx>
                        <wps:bodyPr lIns="63305" tIns="31651" rIns="63305" bIns="31651" anchor="ctr" anchorCtr="0" upright="1"/>
                      </wps:wsp>
                      <wps:wsp>
                        <wps:cNvPr id="80" name="矩形 25"/>
                        <wps:cNvSpPr/>
                        <wps:spPr>
                          <a:xfrm>
                            <a:off x="2256652" y="807226"/>
                            <a:ext cx="736117" cy="2912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FF3335">
                              <w:pPr>
                                <w:ind w:firstLine="300"/>
                                <w:jc w:val="center"/>
                                <w:rPr>
                                  <w:rFonts w:ascii="Times New Roman" w:hAnsi="Times New Roman" w:eastAsia="宋体" w:cs="Times New Roman"/>
                                  <w:sz w:val="15"/>
                                  <w:szCs w:val="15"/>
                                </w:rPr>
                              </w:pPr>
                              <w:r>
                                <w:rPr>
                                  <w:rFonts w:ascii="宋体" w:hAnsi="宋体" w:eastAsia="宋体" w:cs="Times New Roman"/>
                                  <w:sz w:val="15"/>
                                  <w:szCs w:val="15"/>
                                </w:rPr>
                                <w:t>B</w:t>
                              </w:r>
                              <w:r>
                                <w:rPr>
                                  <w:rFonts w:hint="eastAsia" w:ascii="宋体" w:hAnsi="宋体" w:eastAsia="宋体" w:cs="Times New Roman"/>
                                  <w:sz w:val="15"/>
                                  <w:szCs w:val="15"/>
                                </w:rPr>
                                <w:t>级电压负载</w:t>
                              </w:r>
                            </w:p>
                          </w:txbxContent>
                        </wps:txbx>
                        <wps:bodyPr lIns="63305" tIns="31651" rIns="63305" bIns="31651" anchor="ctr" anchorCtr="0" upright="1"/>
                      </wps:wsp>
                      <wps:wsp>
                        <wps:cNvPr id="81" name="直接箭头连接符 26"/>
                        <wps:cNvCnPr/>
                        <wps:spPr>
                          <a:xfrm flipV="1">
                            <a:off x="888520" y="499216"/>
                            <a:ext cx="400" cy="167706"/>
                          </a:xfrm>
                          <a:prstGeom prst="straightConnector1">
                            <a:avLst/>
                          </a:prstGeom>
                          <a:ln w="9525" cap="flat" cmpd="sng">
                            <a:solidFill>
                              <a:srgbClr val="000000"/>
                            </a:solidFill>
                            <a:prstDash val="solid"/>
                            <a:headEnd type="none" w="med" len="med"/>
                            <a:tailEnd type="none" w="med" len="med"/>
                          </a:ln>
                        </wps:spPr>
                        <wps:bodyPr/>
                      </wps:wsp>
                      <wps:wsp>
                        <wps:cNvPr id="82" name="直接箭头连接符 27"/>
                        <wps:cNvCnPr/>
                        <wps:spPr>
                          <a:xfrm>
                            <a:off x="893121" y="498816"/>
                            <a:ext cx="1734340" cy="400"/>
                          </a:xfrm>
                          <a:prstGeom prst="straightConnector1">
                            <a:avLst/>
                          </a:prstGeom>
                          <a:ln w="9525" cap="flat" cmpd="sng">
                            <a:solidFill>
                              <a:srgbClr val="000000"/>
                            </a:solidFill>
                            <a:prstDash val="solid"/>
                            <a:headEnd type="none" w="med" len="med"/>
                            <a:tailEnd type="none" w="med" len="med"/>
                          </a:ln>
                        </wps:spPr>
                        <wps:bodyPr/>
                      </wps:wsp>
                      <wps:wsp>
                        <wps:cNvPr id="83" name="直接箭头连接符 28"/>
                        <wps:cNvCnPr/>
                        <wps:spPr>
                          <a:xfrm flipV="1">
                            <a:off x="2624860" y="498816"/>
                            <a:ext cx="2600" cy="308410"/>
                          </a:xfrm>
                          <a:prstGeom prst="straightConnector1">
                            <a:avLst/>
                          </a:prstGeom>
                          <a:ln w="9525" cap="flat" cmpd="sng">
                            <a:solidFill>
                              <a:srgbClr val="000000"/>
                            </a:solidFill>
                            <a:prstDash val="solid"/>
                            <a:headEnd type="none" w="med" len="med"/>
                            <a:tailEnd type="none" w="med" len="med"/>
                          </a:ln>
                        </wps:spPr>
                        <wps:bodyPr/>
                      </wps:wsp>
                      <wps:wsp>
                        <wps:cNvPr id="84" name="直接箭头连接符 29"/>
                        <wps:cNvCnPr/>
                        <wps:spPr>
                          <a:xfrm flipV="1">
                            <a:off x="2632860" y="1098436"/>
                            <a:ext cx="400" cy="349311"/>
                          </a:xfrm>
                          <a:prstGeom prst="straightConnector1">
                            <a:avLst/>
                          </a:prstGeom>
                          <a:ln w="9525" cap="flat" cmpd="sng">
                            <a:solidFill>
                              <a:srgbClr val="000000"/>
                            </a:solidFill>
                            <a:prstDash val="solid"/>
                            <a:headEnd type="none" w="med" len="med"/>
                            <a:tailEnd type="none" w="med" len="med"/>
                          </a:ln>
                        </wps:spPr>
                        <wps:bodyPr/>
                      </wps:wsp>
                      <wps:wsp>
                        <wps:cNvPr id="85" name="直接箭头连接符 30"/>
                        <wps:cNvCnPr/>
                        <wps:spPr>
                          <a:xfrm>
                            <a:off x="890620" y="1447348"/>
                            <a:ext cx="1734240" cy="400"/>
                          </a:xfrm>
                          <a:prstGeom prst="straightConnector1">
                            <a:avLst/>
                          </a:prstGeom>
                          <a:ln w="9525" cap="flat" cmpd="sng">
                            <a:solidFill>
                              <a:srgbClr val="000000"/>
                            </a:solidFill>
                            <a:prstDash val="solid"/>
                            <a:headEnd type="none" w="med" len="med"/>
                            <a:tailEnd type="none" w="med" len="med"/>
                          </a:ln>
                        </wps:spPr>
                        <wps:bodyPr/>
                      </wps:wsp>
                      <wps:wsp>
                        <wps:cNvPr id="86" name="直接箭头连接符 31"/>
                        <wps:cNvCnPr/>
                        <wps:spPr>
                          <a:xfrm>
                            <a:off x="79302" y="208007"/>
                            <a:ext cx="2994969" cy="400"/>
                          </a:xfrm>
                          <a:prstGeom prst="straightConnector1">
                            <a:avLst/>
                          </a:prstGeom>
                          <a:ln w="25400" cap="flat" cmpd="sng">
                            <a:solidFill>
                              <a:srgbClr val="000000"/>
                            </a:solidFill>
                            <a:prstDash val="solid"/>
                            <a:headEnd type="none" w="med" len="med"/>
                            <a:tailEnd type="none" w="med" len="med"/>
                          </a:ln>
                        </wps:spPr>
                        <wps:bodyPr/>
                      </wps:wsp>
                      <wps:wsp>
                        <wps:cNvPr id="87" name="直接箭头连接符 32"/>
                        <wps:cNvCnPr/>
                        <wps:spPr>
                          <a:xfrm>
                            <a:off x="96902" y="1738157"/>
                            <a:ext cx="2994969" cy="400"/>
                          </a:xfrm>
                          <a:prstGeom prst="straightConnector1">
                            <a:avLst/>
                          </a:prstGeom>
                          <a:ln w="25400" cap="flat" cmpd="sng">
                            <a:solidFill>
                              <a:srgbClr val="000000"/>
                            </a:solidFill>
                            <a:prstDash val="solid"/>
                            <a:headEnd type="none" w="med" len="med"/>
                            <a:tailEnd type="none" w="med" len="med"/>
                          </a:ln>
                        </wps:spPr>
                        <wps:bodyPr/>
                      </wps:wsp>
                      <wps:wsp>
                        <wps:cNvPr id="88" name="直接箭头连接符 33"/>
                        <wps:cNvCnPr/>
                        <wps:spPr>
                          <a:xfrm>
                            <a:off x="888520" y="1260741"/>
                            <a:ext cx="2100" cy="187006"/>
                          </a:xfrm>
                          <a:prstGeom prst="straightConnector1">
                            <a:avLst/>
                          </a:prstGeom>
                          <a:ln w="9525" cap="flat" cmpd="sng">
                            <a:solidFill>
                              <a:srgbClr val="000000"/>
                            </a:solidFill>
                            <a:prstDash val="solid"/>
                            <a:headEnd type="none" w="med" len="med"/>
                            <a:tailEnd type="none" w="med" len="med"/>
                          </a:ln>
                        </wps:spPr>
                        <wps:bodyPr/>
                      </wps:wsp>
                      <wps:wsp>
                        <wps:cNvPr id="89" name="文本框 34"/>
                        <wps:cNvSpPr txBox="1"/>
                        <wps:spPr>
                          <a:xfrm>
                            <a:off x="2700462" y="208407"/>
                            <a:ext cx="519512" cy="236208"/>
                          </a:xfrm>
                          <a:prstGeom prst="rect">
                            <a:avLst/>
                          </a:prstGeom>
                          <a:noFill/>
                          <a:ln>
                            <a:noFill/>
                          </a:ln>
                        </wps:spPr>
                        <wps:txbx>
                          <w:txbxContent>
                            <w:p w14:paraId="18462B3F">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wps:txbx>
                        <wps:bodyPr lIns="63305" tIns="31651" rIns="63305" bIns="31651" upright="1"/>
                      </wps:wsp>
                      <wps:wsp>
                        <wps:cNvPr id="90" name="文本框 35"/>
                        <wps:cNvSpPr txBox="1"/>
                        <wps:spPr>
                          <a:xfrm>
                            <a:off x="2721562" y="1744357"/>
                            <a:ext cx="519412" cy="236208"/>
                          </a:xfrm>
                          <a:prstGeom prst="rect">
                            <a:avLst/>
                          </a:prstGeom>
                          <a:noFill/>
                          <a:ln>
                            <a:noFill/>
                          </a:ln>
                        </wps:spPr>
                        <wps:txbx>
                          <w:txbxContent>
                            <w:p w14:paraId="3CB59A81">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wps:txbx>
                        <wps:bodyPr lIns="63305" tIns="31651" rIns="63305" bIns="31651" upright="1"/>
                      </wps:wsp>
                      <wps:wsp>
                        <wps:cNvPr id="91" name="直接箭头连接符 36"/>
                        <wps:cNvCnPr/>
                        <wps:spPr>
                          <a:xfrm>
                            <a:off x="1559536" y="208407"/>
                            <a:ext cx="400" cy="290410"/>
                          </a:xfrm>
                          <a:prstGeom prst="straightConnector1">
                            <a:avLst/>
                          </a:prstGeom>
                          <a:ln w="9525" cap="flat" cmpd="sng">
                            <a:solidFill>
                              <a:srgbClr val="000000"/>
                            </a:solidFill>
                            <a:prstDash val="solid"/>
                            <a:headEnd type="triangle" w="med" len="med"/>
                            <a:tailEnd type="triangle" w="med" len="med"/>
                          </a:ln>
                        </wps:spPr>
                        <wps:bodyPr/>
                      </wps:wsp>
                      <wps:wsp>
                        <wps:cNvPr id="92" name="直接箭头连接符 37"/>
                        <wps:cNvCnPr/>
                        <wps:spPr>
                          <a:xfrm>
                            <a:off x="1558836" y="1448148"/>
                            <a:ext cx="400" cy="290410"/>
                          </a:xfrm>
                          <a:prstGeom prst="straightConnector1">
                            <a:avLst/>
                          </a:prstGeom>
                          <a:ln w="9525" cap="flat" cmpd="sng">
                            <a:solidFill>
                              <a:srgbClr val="000000"/>
                            </a:solidFill>
                            <a:prstDash val="solid"/>
                            <a:headEnd type="triangle" w="med" len="med"/>
                            <a:tailEnd type="triangle" w="med" len="med"/>
                          </a:ln>
                        </wps:spPr>
                        <wps:bodyPr/>
                      </wps:wsp>
                      <wps:wsp>
                        <wps:cNvPr id="93" name="直接箭头连接符 38"/>
                        <wps:cNvCnPr/>
                        <wps:spPr>
                          <a:xfrm flipH="1">
                            <a:off x="1372632" y="499216"/>
                            <a:ext cx="5500" cy="948131"/>
                          </a:xfrm>
                          <a:prstGeom prst="straightConnector1">
                            <a:avLst/>
                          </a:prstGeom>
                          <a:ln w="9525" cap="flat" cmpd="sng">
                            <a:solidFill>
                              <a:srgbClr val="000000"/>
                            </a:solidFill>
                            <a:prstDash val="solid"/>
                            <a:headEnd type="triangle" w="med" len="med"/>
                            <a:tailEnd type="triangle" w="med" len="med"/>
                          </a:ln>
                        </wps:spPr>
                        <wps:bodyPr/>
                      </wps:wsp>
                      <wps:wsp>
                        <wps:cNvPr id="94" name="文本框 39"/>
                        <wps:cNvSpPr txBox="1"/>
                        <wps:spPr>
                          <a:xfrm>
                            <a:off x="1220928" y="813927"/>
                            <a:ext cx="464511" cy="314010"/>
                          </a:xfrm>
                          <a:prstGeom prst="rect">
                            <a:avLst/>
                          </a:prstGeom>
                          <a:solidFill>
                            <a:srgbClr val="FFFFFF"/>
                          </a:solidFill>
                          <a:ln>
                            <a:noFill/>
                          </a:ln>
                        </wps:spPr>
                        <wps:txbx>
                          <w:txbxContent>
                            <w:p w14:paraId="32F59403">
                              <w:pPr>
                                <w:ind w:firstLine="300"/>
                                <w:rPr>
                                  <w:rFonts w:ascii="Times New Roman" w:hAnsi="Times New Roman" w:eastAsia="宋体" w:cs="Times New Roman"/>
                                  <w:sz w:val="15"/>
                                  <w:szCs w:val="15"/>
                                  <w:vertAlign w:val="subscript"/>
                                </w:rPr>
                              </w:pPr>
                              <w:r>
                                <w:rPr>
                                  <w:rFonts w:ascii="宋体" w:hAnsi="宋体" w:eastAsia="宋体" w:cs="Times New Roman"/>
                                  <w:sz w:val="15"/>
                                  <w:szCs w:val="15"/>
                                </w:rPr>
                                <w:t>U</w:t>
                              </w:r>
                              <w:r>
                                <w:rPr>
                                  <w:rFonts w:ascii="宋体" w:hAnsi="宋体" w:eastAsia="宋体" w:cs="Times New Roman"/>
                                  <w:sz w:val="15"/>
                                  <w:szCs w:val="15"/>
                                  <w:vertAlign w:val="subscript"/>
                                </w:rPr>
                                <w:t>REESS</w:t>
                              </w:r>
                            </w:p>
                          </w:txbxContent>
                        </wps:txbx>
                        <wps:bodyPr lIns="63305" tIns="31651" rIns="63305" bIns="31651" anchor="ctr" anchorCtr="0" upright="1"/>
                      </wps:wsp>
                      <wps:wsp>
                        <wps:cNvPr id="95" name="文本框 40"/>
                        <wps:cNvSpPr txBox="1"/>
                        <wps:spPr>
                          <a:xfrm>
                            <a:off x="1558136" y="225607"/>
                            <a:ext cx="507712" cy="273209"/>
                          </a:xfrm>
                          <a:prstGeom prst="rect">
                            <a:avLst/>
                          </a:prstGeom>
                          <a:noFill/>
                          <a:ln>
                            <a:noFill/>
                          </a:ln>
                        </wps:spPr>
                        <wps:txbx>
                          <w:txbxContent>
                            <w:p w14:paraId="3756CDBD">
                              <w:pPr>
                                <w:ind w:firstLine="300"/>
                                <w:rPr>
                                  <w:rFonts w:ascii="Times New Roman" w:hAnsi="Times New Roman" w:eastAsia="宋体" w:cs="Times New Roman"/>
                                  <w:color w:val="000000"/>
                                  <w:sz w:val="15"/>
                                  <w:szCs w:val="15"/>
                                  <w:vertAlign w:val="superscript"/>
                                </w:rPr>
                              </w:pPr>
                              <w:r>
                                <w:rPr>
                                  <w:rFonts w:ascii="宋体" w:hAnsi="宋体" w:eastAsia="宋体" w:cs="Times New Roman"/>
                                  <w:color w:val="000000"/>
                                  <w:sz w:val="15"/>
                                  <w:szCs w:val="15"/>
                                </w:rPr>
                                <w:t>U</w:t>
                              </w:r>
                              <w:r>
                                <w:rPr>
                                  <w:rFonts w:ascii="宋体" w:hAnsi="宋体" w:eastAsia="宋体" w:cs="Times New Roman"/>
                                  <w:color w:val="000000"/>
                                  <w:sz w:val="15"/>
                                  <w:szCs w:val="15"/>
                                  <w:vertAlign w:val="subscript"/>
                                </w:rPr>
                                <w:t>2</w:t>
                              </w:r>
                              <w:r>
                                <w:rPr>
                                  <w:rFonts w:ascii="宋体" w:hAnsi="宋体" w:eastAsia="宋体" w:cs="Times New Roman"/>
                                  <w:color w:val="000000"/>
                                  <w:sz w:val="15"/>
                                  <w:szCs w:val="15"/>
                                  <w:vertAlign w:val="superscript"/>
                                </w:rPr>
                                <w:t>`</w:t>
                              </w:r>
                            </w:p>
                          </w:txbxContent>
                        </wps:txbx>
                        <wps:bodyPr lIns="63305" tIns="31651" rIns="63305" bIns="31651" anchor="ctr" anchorCtr="0" upright="1"/>
                      </wps:wsp>
                      <wps:wsp>
                        <wps:cNvPr id="96" name="文本框 41"/>
                        <wps:cNvSpPr txBox="1"/>
                        <wps:spPr>
                          <a:xfrm>
                            <a:off x="1562536" y="1461148"/>
                            <a:ext cx="507712" cy="273209"/>
                          </a:xfrm>
                          <a:prstGeom prst="rect">
                            <a:avLst/>
                          </a:prstGeom>
                          <a:noFill/>
                          <a:ln>
                            <a:noFill/>
                          </a:ln>
                        </wps:spPr>
                        <wps:txbx>
                          <w:txbxContent>
                            <w:p w14:paraId="3C33FA84">
                              <w:pPr>
                                <w:ind w:firstLine="300"/>
                                <w:rPr>
                                  <w:rFonts w:ascii="Times New Roman" w:hAnsi="Times New Roman" w:eastAsia="宋体" w:cs="Times New Roman"/>
                                  <w:sz w:val="15"/>
                                  <w:szCs w:val="15"/>
                                  <w:vertAlign w:val="superscript"/>
                                </w:rPr>
                              </w:pPr>
                              <w:r>
                                <w:rPr>
                                  <w:rFonts w:ascii="宋体" w:hAnsi="宋体" w:eastAsia="宋体" w:cs="Times New Roman"/>
                                  <w:sz w:val="15"/>
                                  <w:szCs w:val="15"/>
                                </w:rPr>
                                <w:t>U</w:t>
                              </w:r>
                              <w:r>
                                <w:rPr>
                                  <w:rFonts w:ascii="宋体" w:hAnsi="宋体" w:eastAsia="宋体" w:cs="Times New Roman"/>
                                  <w:sz w:val="15"/>
                                  <w:szCs w:val="15"/>
                                  <w:vertAlign w:val="subscript"/>
                                </w:rPr>
                                <w:t>2</w:t>
                              </w:r>
                            </w:p>
                          </w:txbxContent>
                        </wps:txbx>
                        <wps:bodyPr lIns="63305" tIns="31651" rIns="63305" bIns="31651" anchor="ctr" anchorCtr="0" upright="1"/>
                      </wps:wsp>
                      <wps:wsp>
                        <wps:cNvPr id="97" name="矩形 42"/>
                        <wps:cNvSpPr/>
                        <wps:spPr>
                          <a:xfrm>
                            <a:off x="854020" y="1510750"/>
                            <a:ext cx="74302" cy="154205"/>
                          </a:xfrm>
                          <a:prstGeom prst="rect">
                            <a:avLst/>
                          </a:prstGeom>
                          <a:solidFill>
                            <a:srgbClr val="FFFFFF"/>
                          </a:solidFill>
                          <a:ln w="9525" cap="flat" cmpd="sng">
                            <a:solidFill>
                              <a:srgbClr val="000000"/>
                            </a:solidFill>
                            <a:prstDash val="solid"/>
                            <a:miter/>
                            <a:headEnd type="none" w="med" len="med"/>
                            <a:tailEnd type="none" w="med" len="med"/>
                          </a:ln>
                        </wps:spPr>
                        <wps:bodyPr lIns="63305" tIns="31651" rIns="63305" bIns="31651" upright="1"/>
                      </wps:wsp>
                      <wps:wsp>
                        <wps:cNvPr id="98" name="直接箭头连接符 43"/>
                        <wps:cNvCnPr/>
                        <wps:spPr>
                          <a:xfrm>
                            <a:off x="888520" y="1447348"/>
                            <a:ext cx="3000" cy="63402"/>
                          </a:xfrm>
                          <a:prstGeom prst="straightConnector1">
                            <a:avLst/>
                          </a:prstGeom>
                          <a:ln w="9525" cap="flat" cmpd="sng">
                            <a:solidFill>
                              <a:srgbClr val="000000"/>
                            </a:solidFill>
                            <a:prstDash val="solid"/>
                            <a:headEnd type="none" w="med" len="med"/>
                            <a:tailEnd type="none" w="med" len="med"/>
                          </a:ln>
                        </wps:spPr>
                        <wps:bodyPr/>
                      </wps:wsp>
                      <wps:wsp>
                        <wps:cNvPr id="99" name="直接箭头连接符 44"/>
                        <wps:cNvCnPr/>
                        <wps:spPr>
                          <a:xfrm>
                            <a:off x="891420" y="1664955"/>
                            <a:ext cx="1700" cy="69402"/>
                          </a:xfrm>
                          <a:prstGeom prst="straightConnector1">
                            <a:avLst/>
                          </a:prstGeom>
                          <a:ln w="9525" cap="flat" cmpd="sng">
                            <a:solidFill>
                              <a:srgbClr val="000000"/>
                            </a:solidFill>
                            <a:prstDash val="solid"/>
                            <a:headEnd type="none" w="med" len="med"/>
                            <a:tailEnd type="none" w="med" len="med"/>
                          </a:ln>
                        </wps:spPr>
                        <wps:bodyPr/>
                      </wps:wsp>
                      <wps:wsp>
                        <wps:cNvPr id="100" name="文本框 45"/>
                        <wps:cNvSpPr txBox="1"/>
                        <wps:spPr>
                          <a:xfrm>
                            <a:off x="672915" y="1462548"/>
                            <a:ext cx="507712" cy="273209"/>
                          </a:xfrm>
                          <a:prstGeom prst="rect">
                            <a:avLst/>
                          </a:prstGeom>
                          <a:noFill/>
                          <a:ln>
                            <a:noFill/>
                          </a:ln>
                        </wps:spPr>
                        <wps:txbx>
                          <w:txbxContent>
                            <w:p w14:paraId="07B10FC7">
                              <w:pPr>
                                <w:ind w:firstLine="300"/>
                                <w:rPr>
                                  <w:rFonts w:ascii="Times New Roman" w:hAnsi="Times New Roman" w:eastAsia="宋体" w:cs="Times New Roman"/>
                                  <w:sz w:val="15"/>
                                  <w:szCs w:val="15"/>
                                  <w:vertAlign w:val="subscript"/>
                                </w:rPr>
                              </w:pPr>
                              <w:r>
                                <w:rPr>
                                  <w:rFonts w:ascii="宋体" w:hAnsi="宋体" w:eastAsia="宋体" w:cs="Times New Roman"/>
                                  <w:sz w:val="15"/>
                                  <w:szCs w:val="15"/>
                                </w:rPr>
                                <w:t>R</w:t>
                              </w:r>
                              <w:r>
                                <w:rPr>
                                  <w:rFonts w:ascii="宋体" w:hAnsi="宋体" w:eastAsia="宋体" w:cs="Times New Roman"/>
                                  <w:sz w:val="15"/>
                                  <w:szCs w:val="15"/>
                                  <w:vertAlign w:val="subscript"/>
                                </w:rPr>
                                <w:t>0</w:t>
                              </w:r>
                            </w:p>
                          </w:txbxContent>
                        </wps:txbx>
                        <wps:bodyPr lIns="63305" tIns="31651" rIns="63305" bIns="31651" upright="1"/>
                      </wps:wsp>
                    </wpc:wpc>
                  </a:graphicData>
                </a:graphic>
              </wp:anchor>
            </w:drawing>
          </mc:Choice>
          <mc:Fallback>
            <w:pict>
              <v:group id="画布 46" o:spid="_x0000_s1026" o:spt="203" style="position:absolute;left:0pt;margin-left:100pt;margin-top:54.65pt;height:152.85pt;width:261pt;z-index:251675648;mso-width-relative:page;mso-height-relative:page;" coordsize="3314700,1941195" editas="canvas" o:gfxdata="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">
                <o:lock v:ext="edit" aspectratio="f"/>
                <v:shape id="画布 46" o:spid="_x0000_s1026" style="position:absolute;left:0;top:0;height:1941195;width:3314700;" filled="f" stroked="f" coordsize="21600,21600" o:gfxdata="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">
                  <v:fill on="f" focussize="0,0"/>
                  <v:stroke on="f"/>
                  <v:imagedata o:title=""/>
                  <o:lock v:ext="edit" aspectratio="t"/>
                </v:shape>
                <v:shape id="椭圆 24" o:spid="_x0000_s1026" o:spt="3" type="#_x0000_t3" style="position:absolute;left:600214;top:666922;height:593819;width:594014;v-text-anchor:middle;" fillcolor="#FFFFFF" filled="t" stroked="t" coordsize="21600,21600" o:gfxdata="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z1NHaAAAACwEAAA8AAAAAAAAAAQAgAAAAIgAAAGRycy9kb3ducmV2Lnht&#10;bFBLAQIUABQAAAAIAIdO4kD7FjdtMAIAAHwEAAAOAAAAAAAAAAEAIAAAACkBAABkcnMvZTJvRG9j&#10;LnhtbFBLBQYAAAAABgAGAFkBAADLBQAAAAA=&#10;">
                  <v:fill on="t" focussize="0,0"/>
                  <v:stroke color="#000000" joinstyle="round"/>
                  <v:imagedata o:title=""/>
                  <o:lock v:ext="edit" aspectratio="f"/>
                  <v:textbox inset="4.98464566929134pt,2.49220472440945pt,4.98464566929134pt,2.49220472440945pt">
                    <w:txbxContent>
                      <w:p w14:paraId="7178BD35">
                        <w:pPr>
                          <w:ind w:firstLine="300"/>
                          <w:jc w:val="center"/>
                          <w:rPr>
                            <w:rFonts w:ascii="Times New Roman" w:hAnsi="Times New Roman" w:eastAsia="宋体" w:cs="Times New Roman"/>
                            <w:sz w:val="15"/>
                            <w:szCs w:val="15"/>
                          </w:rPr>
                        </w:pPr>
                        <w:r>
                          <w:rPr>
                            <w:rFonts w:ascii="宋体" w:hAnsi="宋体" w:eastAsia="宋体" w:cs="Times New Roman"/>
                            <w:sz w:val="15"/>
                            <w:szCs w:val="15"/>
                          </w:rPr>
                          <w:t>REESS</w:t>
                        </w:r>
                      </w:p>
                    </w:txbxContent>
                  </v:textbox>
                </v:shape>
                <v:rect id="矩形 25" o:spid="_x0000_s1026" o:spt="1" style="position:absolute;left:2256652;top:807226;height:291210;width:736117;v-text-anchor:middle;" fillcolor="#FFFFFF" filled="t" stroked="t" coordsize="21600,21600" o:gfxdata="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NhKiP/aAAAACwEAAA8AAAAAAAAAAQAgAAAAIgAAAGRycy9kb3du&#10;cmV2LnhtbFBLAQIUABQAAAAIAIdO4kCCWksZNgIAAIQEAAAOAAAAAAAAAAEAIAAAACkBAABkcnMv&#10;ZTJvRG9jLnhtbFBLBQYAAAAABgAGAFkBAADRBQAAAAA=&#10;">
                  <v:fill on="t" focussize="0,0"/>
                  <v:stroke color="#000000" joinstyle="miter"/>
                  <v:imagedata o:title=""/>
                  <o:lock v:ext="edit" aspectratio="f"/>
                  <v:textbox inset="4.98464566929134pt,2.49220472440945pt,4.98464566929134pt,2.49220472440945pt">
                    <w:txbxContent>
                      <w:p w14:paraId="3DFF3335">
                        <w:pPr>
                          <w:ind w:firstLine="300"/>
                          <w:jc w:val="center"/>
                          <w:rPr>
                            <w:rFonts w:ascii="Times New Roman" w:hAnsi="Times New Roman" w:eastAsia="宋体" w:cs="Times New Roman"/>
                            <w:sz w:val="15"/>
                            <w:szCs w:val="15"/>
                          </w:rPr>
                        </w:pPr>
                        <w:r>
                          <w:rPr>
                            <w:rFonts w:ascii="宋体" w:hAnsi="宋体" w:eastAsia="宋体" w:cs="Times New Roman"/>
                            <w:sz w:val="15"/>
                            <w:szCs w:val="15"/>
                          </w:rPr>
                          <w:t>B</w:t>
                        </w:r>
                        <w:r>
                          <w:rPr>
                            <w:rFonts w:hint="eastAsia" w:ascii="宋体" w:hAnsi="宋体" w:eastAsia="宋体" w:cs="Times New Roman"/>
                            <w:sz w:val="15"/>
                            <w:szCs w:val="15"/>
                          </w:rPr>
                          <w:t>级电压负载</w:t>
                        </w:r>
                      </w:p>
                    </w:txbxContent>
                  </v:textbox>
                </v:rect>
                <v:shape id="直接箭头连接符 26" o:spid="_x0000_s1026" o:spt="32" type="#_x0000_t32" style="position:absolute;left:888520;top:499216;flip:y;height:167706;width:400;" filled="f" stroked="t" coordsize="21600,21600" o:gfxdata="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gvnWDYAAAACwEAAA8AAAAA&#10;AAAAAQAgAAAAIgAAAGRycy9kb3ducmV2LnhtbFBLAQIUABQAAAAIAIdO4kAZwO4dFAIAAAMEAAAO&#10;AAAAAAAAAAEAIAAAACcBAABkcnMvZTJvRG9jLnhtbFBLBQYAAAAABgAGAFkBAACtBQAAAAA=&#10;">
                  <v:fill on="f" focussize="0,0"/>
                  <v:stroke color="#000000" joinstyle="round"/>
                  <v:imagedata o:title=""/>
                  <o:lock v:ext="edit" aspectratio="f"/>
                </v:shape>
                <v:shape id="直接箭头连接符 27" o:spid="_x0000_s1026" o:spt="32" type="#_x0000_t32" style="position:absolute;left:893121;top:498816;height:400;width:1734340;" filled="f" stroked="t" coordsize="21600,21600" o:gfxdata="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s1Tpc2AAAAAsBAAAPAAAAAAAAAAEA&#10;IAAAACIAAABkcnMvZG93bnJldi54bWxQSwECFAAUAAAACACHTuJASmAxWA8CAAD6AwAADgAAAAAA&#10;AAABACAAAAAnAQAAZHJzL2Uyb0RvYy54bWxQSwUGAAAAAAYABgBZAQAAqAUAAAAA&#10;">
                  <v:fill on="f" focussize="0,0"/>
                  <v:stroke color="#000000" joinstyle="round"/>
                  <v:imagedata o:title=""/>
                  <o:lock v:ext="edit" aspectratio="f"/>
                </v:shape>
                <v:shape id="直接箭头连接符 28" o:spid="_x0000_s1026" o:spt="32" type="#_x0000_t32" style="position:absolute;left:2624860;top:498816;flip:y;height:308410;width:2600;" filled="f" stroked="t" coordsize="21600,21600" o:gfxdata="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4L51g2AAAAAsBAAAPAAAA&#10;AAAAAAEAIAAAACIAAABkcnMvZG93bnJldi54bWxQSwECFAAUAAAACACHTuJAxnkZBRUCAAAFBAAA&#10;DgAAAAAAAAABACAAAAAnAQAAZHJzL2Uyb0RvYy54bWxQSwUGAAAAAAYABgBZAQAArgUAAAAA&#10;">
                  <v:fill on="f" focussize="0,0"/>
                  <v:stroke color="#000000" joinstyle="round"/>
                  <v:imagedata o:title=""/>
                  <o:lock v:ext="edit" aspectratio="f"/>
                </v:shape>
                <v:shape id="直接箭头连接符 29" o:spid="_x0000_s1026" o:spt="32" type="#_x0000_t32" style="position:absolute;left:2632860;top:1098436;flip:y;height:349311;width:400;" filled="f" stroked="t" coordsize="21600,21600" o:gfxdata="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gvnWDYAAAACwEAAA8AAAAA&#10;AAAAAQAgAAAAIgAAAGRycy9kb3ducmV2LnhtbFBLAQIUABQAAAAIAIdO4kDC1i3AFAIAAAUEAAAO&#10;AAAAAAAAAAEAIAAAACcBAABkcnMvZTJvRG9jLnhtbFBLBQYAAAAABgAGAFkBAACtBQAAAAA=&#10;">
                  <v:fill on="f" focussize="0,0"/>
                  <v:stroke color="#000000" joinstyle="round"/>
                  <v:imagedata o:title=""/>
                  <o:lock v:ext="edit" aspectratio="f"/>
                </v:shape>
                <v:shape id="直接箭头连接符 30" o:spid="_x0000_s1026" o:spt="32" type="#_x0000_t32" style="position:absolute;left:890620;top:1447348;height:400;width:1734240;" filled="f" stroked="t" coordsize="21600,21600" o:gfxdata="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s1Tpc2AAAAAsBAAAPAAAAAAAAAAEAIAAA&#10;ACIAAABkcnMvZG93bnJldi54bWxQSwECFAAUAAAACACHTuJA6YpsagwCAAD7AwAADgAAAAAAAAAB&#10;ACAAAAAnAQAAZHJzL2Uyb0RvYy54bWxQSwUGAAAAAAYABgBZAQAApQUAAAAA&#10;">
                  <v:fill on="f" focussize="0,0"/>
                  <v:stroke color="#000000" joinstyle="round"/>
                  <v:imagedata o:title=""/>
                  <o:lock v:ext="edit" aspectratio="f"/>
                </v:shape>
                <v:shape id="直接箭头连接符 31" o:spid="_x0000_s1026" o:spt="32" type="#_x0000_t32" style="position:absolute;left:79302;top:208007;height:400;width:2994969;" filled="f" stroked="t" coordsize="21600,21600" o:gfxdata="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z19etcAAAALAQAADwAAAAAAAAABACAA&#10;AAAiAAAAZHJzL2Rvd25yZXYueG1sUEsBAhQAFAAAAAgAh07iQFOpjwIOAgAA+gMAAA4AAAAAAAAA&#10;AQAgAAAAJgEAAGRycy9lMm9Eb2MueG1sUEsFBgAAAAAGAAYAWQEAAKYFAAAAAA==&#10;">
                  <v:fill on="f" focussize="0,0"/>
                  <v:stroke weight="2pt" color="#000000" joinstyle="round"/>
                  <v:imagedata o:title=""/>
                  <o:lock v:ext="edit" aspectratio="f"/>
                </v:shape>
                <v:shape id="直接箭头连接符 32" o:spid="_x0000_s1026" o:spt="32" type="#_x0000_t32" style="position:absolute;left:96902;top:1738157;height:400;width:2994969;" filled="f" stroked="t" coordsize="21600,21600" o:gfxdata="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z19etcAAAALAQAADwAAAAAAAAABACAA&#10;AAAiAAAAZHJzL2Rvd25yZXYueG1sUEsBAhQAFAAAAAgAh07iQPKnfTAOAgAA+wMAAA4AAAAAAAAA&#10;AQAgAAAAJgEAAGRycy9lMm9Eb2MueG1sUEsFBgAAAAAGAAYAWQEAAKYFAAAAAA==&#10;">
                  <v:fill on="f" focussize="0,0"/>
                  <v:stroke weight="2pt" color="#000000" joinstyle="round"/>
                  <v:imagedata o:title=""/>
                  <o:lock v:ext="edit" aspectratio="f"/>
                </v:shape>
                <v:shape id="直接箭头连接符 33" o:spid="_x0000_s1026" o:spt="32" type="#_x0000_t32" style="position:absolute;left:888520;top:1260741;height:187006;width:2100;" filled="f" stroked="t" coordsize="21600,21600" o:gfxdata="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7NU6XNgAAAALAQAADwAAAAAAAAABACAAAAAi&#10;AAAAZHJzL2Rvd25yZXYueG1sUEsBAhQAFAAAAAgAh07iQIuvtKIKAgAA+wMAAA4AAAAAAAAAAQAg&#10;AAAAJwEAAGRycy9lMm9Eb2MueG1sUEsFBgAAAAAGAAYAWQEAAKMFAAAAAA==&#10;">
                  <v:fill on="f" focussize="0,0"/>
                  <v:stroke color="#000000" joinstyle="round"/>
                  <v:imagedata o:title=""/>
                  <o:lock v:ext="edit" aspectratio="f"/>
                </v:shape>
                <v:shape id="文本框 34" o:spid="_x0000_s1026" o:spt="202" type="#_x0000_t202" style="position:absolute;left:2700462;top:208407;height:236208;width:519512;" filled="f" stroked="f" coordsize="21600,21600" o:gfxdata="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FODLv2QAAAAsBAAAPAAAAAAAAAAEAIAAAACIA&#10;AABkcnMvZG93bnJldi54bWxQSwECFAAUAAAACACHTuJAwBEBIs8BAACOAwAADgAAAAAAAAABACAA&#10;AAAoAQAAZHJzL2Uyb0RvYy54bWxQSwUGAAAAAAYABgBZAQAAaQUAAAAA&#10;">
                  <v:fill on="f" focussize="0,0"/>
                  <v:stroke on="f"/>
                  <v:imagedata o:title=""/>
                  <o:lock v:ext="edit" aspectratio="f"/>
                  <v:textbox inset="4.98464566929134pt,2.49220472440945pt,4.98464566929134pt,2.49220472440945pt">
                    <w:txbxContent>
                      <w:p w14:paraId="18462B3F">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v:textbox>
                </v:shape>
                <v:shape id="文本框 35" o:spid="_x0000_s1026" o:spt="202" type="#_x0000_t202" style="position:absolute;left:2721562;top:1744357;height:236208;width:519412;" filled="f" stroked="f" coordsize="21600,21600" o:gfxdata="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U4Mu/ZAAAACwEAAA8AAAAAAAAAAQAgAAAA&#10;IgAAAGRycy9kb3ducmV2LnhtbFBLAQIUABQAAAAIAIdO4kBq3VeK0QEAAI8DAAAOAAAAAAAAAAEA&#10;IAAAACgBAABkcnMvZTJvRG9jLnhtbFBLBQYAAAAABgAGAFkBAABrBQAAAAA=&#10;">
                  <v:fill on="f" focussize="0,0"/>
                  <v:stroke on="f"/>
                  <v:imagedata o:title=""/>
                  <o:lock v:ext="edit" aspectratio="f"/>
                  <v:textbox inset="4.98464566929134pt,2.49220472440945pt,4.98464566929134pt,2.49220472440945pt">
                    <w:txbxContent>
                      <w:p w14:paraId="3CB59A81">
                        <w:pPr>
                          <w:ind w:firstLine="300"/>
                          <w:rPr>
                            <w:rFonts w:ascii="Times New Roman" w:hAnsi="Times New Roman" w:eastAsia="宋体" w:cs="Times New Roman"/>
                            <w:sz w:val="15"/>
                            <w:szCs w:val="15"/>
                          </w:rPr>
                        </w:pPr>
                        <w:r>
                          <w:rPr>
                            <w:rFonts w:hint="eastAsia" w:ascii="宋体" w:hAnsi="宋体" w:eastAsia="宋体" w:cs="Times New Roman"/>
                            <w:sz w:val="15"/>
                            <w:szCs w:val="15"/>
                          </w:rPr>
                          <w:t>电平台</w:t>
                        </w:r>
                      </w:p>
                    </w:txbxContent>
                  </v:textbox>
                </v:shape>
                <v:shape id="直接箭头连接符 36" o:spid="_x0000_s1026" o:spt="32" type="#_x0000_t32" style="position:absolute;left:1559536;top:208407;height:290410;width:400;" filled="f" stroked="t" coordsize="21600,21600" o:gfxdata="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49NznNkAAAALAQAADwAAAAAAAAAB&#10;ACAAAAAiAAAAZHJzL2Rvd25yZXYueG1sUEsBAhQAFAAAAAgAh07iQPqCResPAgAAAgQAAA4AAAAA&#10;AAAAAQAgAAAAKAEAAGRycy9lMm9Eb2MueG1sUEsFBgAAAAAGAAYAWQEAAKkFAAAAAA==&#10;">
                  <v:fill on="f" focussize="0,0"/>
                  <v:stroke color="#000000" joinstyle="round" startarrow="block" endarrow="block"/>
                  <v:imagedata o:title=""/>
                  <o:lock v:ext="edit" aspectratio="f"/>
                </v:shape>
                <v:shape id="直接箭头连接符 37" o:spid="_x0000_s1026" o:spt="32" type="#_x0000_t32" style="position:absolute;left:1558836;top:1448148;height:290410;width:400;" filled="f" stroked="t" coordsize="21600,21600" o:gfxdata="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49NznNkAAAALAQAADwAAAAAA&#10;AAABACAAAAAiAAAAZHJzL2Rvd25yZXYueG1sUEsBAhQAFAAAAAgAh07iQLEvZRQSAgAAAwQAAA4A&#10;AAAAAAAAAQAgAAAAKAEAAGRycy9lMm9Eb2MueG1sUEsFBgAAAAAGAAYAWQEAAKwFAAAAAA==&#10;">
                  <v:fill on="f" focussize="0,0"/>
                  <v:stroke color="#000000" joinstyle="round" startarrow="block" endarrow="block"/>
                  <v:imagedata o:title=""/>
                  <o:lock v:ext="edit" aspectratio="f"/>
                </v:shape>
                <v:shape id="直接箭头连接符 38" o:spid="_x0000_s1026" o:spt="32" type="#_x0000_t32" style="position:absolute;left:1372632;top:499216;flip:x;height:948131;width:5500;" filled="f" stroked="t" coordsize="21600,21600" o:gfxdata="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7UUwdkAAAALAQAA&#10;DwAAAAAAAAABACAAAAAiAAAAZHJzL2Rvd25yZXYueG1sUEsBAhQAFAAAAAgAh07iQAYfuhMYAgAA&#10;DQQAAA4AAAAAAAAAAQAgAAAAKAEAAGRycy9lMm9Eb2MueG1sUEsFBgAAAAAGAAYAWQEAALIFAAAA&#10;AA==&#10;">
                  <v:fill on="f" focussize="0,0"/>
                  <v:stroke color="#000000" joinstyle="round" startarrow="block" endarrow="block"/>
                  <v:imagedata o:title=""/>
                  <o:lock v:ext="edit" aspectratio="f"/>
                </v:shape>
                <v:shape id="文本框 39" o:spid="_x0000_s1026" o:spt="202" type="#_x0000_t202" style="position:absolute;left:1220928;top:813927;height:314010;width:464511;v-text-anchor:middle;" fillcolor="#FFFFFF" filled="t" stroked="f" coordsize="21600,21600" o:gfxdata="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OgGfK2AAAAAsBAAAPAAAAAAAAAAEAIAAAACIAAABkcnMvZG93bnJldi54bWxQSwECFAAU&#10;AAAACACHTuJArNLi4vEBAADSAwAADgAAAAAAAAABACAAAAAnAQAAZHJzL2Uyb0RvYy54bWxQSwUG&#10;AAAAAAYABgBZAQAAigUAAAAA&#10;">
                  <v:fill on="t" focussize="0,0"/>
                  <v:stroke on="f"/>
                  <v:imagedata o:title=""/>
                  <o:lock v:ext="edit" aspectratio="f"/>
                  <v:textbox inset="4.98464566929134pt,2.49220472440945pt,4.98464566929134pt,2.49220472440945pt">
                    <w:txbxContent>
                      <w:p w14:paraId="32F59403">
                        <w:pPr>
                          <w:ind w:firstLine="300"/>
                          <w:rPr>
                            <w:rFonts w:ascii="Times New Roman" w:hAnsi="Times New Roman" w:eastAsia="宋体" w:cs="Times New Roman"/>
                            <w:sz w:val="15"/>
                            <w:szCs w:val="15"/>
                            <w:vertAlign w:val="subscript"/>
                          </w:rPr>
                        </w:pPr>
                        <w:r>
                          <w:rPr>
                            <w:rFonts w:ascii="宋体" w:hAnsi="宋体" w:eastAsia="宋体" w:cs="Times New Roman"/>
                            <w:sz w:val="15"/>
                            <w:szCs w:val="15"/>
                          </w:rPr>
                          <w:t>U</w:t>
                        </w:r>
                        <w:r>
                          <w:rPr>
                            <w:rFonts w:ascii="宋体" w:hAnsi="宋体" w:eastAsia="宋体" w:cs="Times New Roman"/>
                            <w:sz w:val="15"/>
                            <w:szCs w:val="15"/>
                            <w:vertAlign w:val="subscript"/>
                          </w:rPr>
                          <w:t>REESS</w:t>
                        </w:r>
                      </w:p>
                    </w:txbxContent>
                  </v:textbox>
                </v:shape>
                <v:shape id="文本框 40" o:spid="_x0000_s1026" o:spt="202" type="#_x0000_t202" style="position:absolute;left:1558136;top:225607;height:273209;width:507712;v-text-anchor:middle;" filled="f" stroked="f" coordsize="21600,21600" o:gfxdata="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Qq9GXWAAAACwEAAA8AAAAA&#10;AAAAAQAgAAAAIgAAAGRycy9kb3ducmV2LnhtbFBLAQIUABQAAAAIAIdO4kCrHYJ43QEAAKkDAAAO&#10;AAAAAAAAAAEAIAAAACUBAABkcnMvZTJvRG9jLnhtbFBLBQYAAAAABgAGAFkBAAB0BQAAAAA=&#10;">
                  <v:fill on="f" focussize="0,0"/>
                  <v:stroke on="f"/>
                  <v:imagedata o:title=""/>
                  <o:lock v:ext="edit" aspectratio="f"/>
                  <v:textbox inset="4.98464566929134pt,2.49220472440945pt,4.98464566929134pt,2.49220472440945pt">
                    <w:txbxContent>
                      <w:p w14:paraId="3756CDBD">
                        <w:pPr>
                          <w:ind w:firstLine="300"/>
                          <w:rPr>
                            <w:rFonts w:ascii="Times New Roman" w:hAnsi="Times New Roman" w:eastAsia="宋体" w:cs="Times New Roman"/>
                            <w:color w:val="000000"/>
                            <w:sz w:val="15"/>
                            <w:szCs w:val="15"/>
                            <w:vertAlign w:val="superscript"/>
                          </w:rPr>
                        </w:pPr>
                        <w:r>
                          <w:rPr>
                            <w:rFonts w:ascii="宋体" w:hAnsi="宋体" w:eastAsia="宋体" w:cs="Times New Roman"/>
                            <w:color w:val="000000"/>
                            <w:sz w:val="15"/>
                            <w:szCs w:val="15"/>
                          </w:rPr>
                          <w:t>U</w:t>
                        </w:r>
                        <w:r>
                          <w:rPr>
                            <w:rFonts w:ascii="宋体" w:hAnsi="宋体" w:eastAsia="宋体" w:cs="Times New Roman"/>
                            <w:color w:val="000000"/>
                            <w:sz w:val="15"/>
                            <w:szCs w:val="15"/>
                            <w:vertAlign w:val="subscript"/>
                          </w:rPr>
                          <w:t>2</w:t>
                        </w:r>
                        <w:r>
                          <w:rPr>
                            <w:rFonts w:ascii="宋体" w:hAnsi="宋体" w:eastAsia="宋体" w:cs="Times New Roman"/>
                            <w:color w:val="000000"/>
                            <w:sz w:val="15"/>
                            <w:szCs w:val="15"/>
                            <w:vertAlign w:val="superscript"/>
                          </w:rPr>
                          <w:t>`</w:t>
                        </w:r>
                      </w:p>
                    </w:txbxContent>
                  </v:textbox>
                </v:shape>
                <v:shape id="文本框 41" o:spid="_x0000_s1026" o:spt="202" type="#_x0000_t202" style="position:absolute;left:1562536;top:1461148;height:273209;width:507712;v-text-anchor:middle;" filled="f" stroked="f" coordsize="21600,21600" o:gfxdata="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kKvRl1gAAAAsBAAAPAAAA&#10;AAAAAAEAIAAAACIAAABkcnMvZG93bnJldi54bWxQSwECFAAUAAAACACHTuJAc2uiLN4BAACqAwAA&#10;DgAAAAAAAAABACAAAAAlAQAAZHJzL2Uyb0RvYy54bWxQSwUGAAAAAAYABgBZAQAAdQUAAAAA&#10;">
                  <v:fill on="f" focussize="0,0"/>
                  <v:stroke on="f"/>
                  <v:imagedata o:title=""/>
                  <o:lock v:ext="edit" aspectratio="f"/>
                  <v:textbox inset="4.98464566929134pt,2.49220472440945pt,4.98464566929134pt,2.49220472440945pt">
                    <w:txbxContent>
                      <w:p w14:paraId="3C33FA84">
                        <w:pPr>
                          <w:ind w:firstLine="300"/>
                          <w:rPr>
                            <w:rFonts w:ascii="Times New Roman" w:hAnsi="Times New Roman" w:eastAsia="宋体" w:cs="Times New Roman"/>
                            <w:sz w:val="15"/>
                            <w:szCs w:val="15"/>
                            <w:vertAlign w:val="superscript"/>
                          </w:rPr>
                        </w:pPr>
                        <w:r>
                          <w:rPr>
                            <w:rFonts w:ascii="宋体" w:hAnsi="宋体" w:eastAsia="宋体" w:cs="Times New Roman"/>
                            <w:sz w:val="15"/>
                            <w:szCs w:val="15"/>
                          </w:rPr>
                          <w:t>U</w:t>
                        </w:r>
                        <w:r>
                          <w:rPr>
                            <w:rFonts w:ascii="宋体" w:hAnsi="宋体" w:eastAsia="宋体" w:cs="Times New Roman"/>
                            <w:sz w:val="15"/>
                            <w:szCs w:val="15"/>
                            <w:vertAlign w:val="subscript"/>
                          </w:rPr>
                          <w:t>2</w:t>
                        </w:r>
                      </w:p>
                    </w:txbxContent>
                  </v:textbox>
                </v:shape>
                <v:rect id="矩形 42" o:spid="_x0000_s1026" o:spt="1" style="position:absolute;left:854020;top:1510750;height:154205;width:74302;" fillcolor="#FFFFFF" filled="t" stroked="t" coordsize="21600,21600" o:gfxdata="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43vKTdsA&#10;AAALAQAADwAAAAAAAAABACAAAAAiAAAAZHJzL2Rvd25yZXYueG1sUEsBAhQAFAAAAAgAh07iQIbs&#10;hU4cAgAAXQQAAA4AAAAAAAAAAQAgAAAAKgEAAGRycy9lMm9Eb2MueG1sUEsFBgAAAAAGAAYAWQEA&#10;ALgFAAAAAA==&#10;">
                  <v:fill on="t" focussize="0,0"/>
                  <v:stroke color="#000000" joinstyle="miter"/>
                  <v:imagedata o:title=""/>
                  <o:lock v:ext="edit" aspectratio="f"/>
                  <v:textbox inset="4.98464566929134pt,2.49220472440945pt,4.98464566929134pt,2.49220472440945pt"/>
                </v:rect>
                <v:shape id="直接箭头连接符 43" o:spid="_x0000_s1026" o:spt="32" type="#_x0000_t32" style="position:absolute;left:888520;top:1447348;height:63402;width:3000;" filled="f" stroked="t" coordsize="21600,21600" o:gfxdata="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zVOlzYAAAACwEAAA8AAAAAAAAAAQAgAAAA&#10;IgAAAGRycy9kb3ducmV2LnhtbFBLAQIUABQAAAAIAIdO4kDKhFSuCwIAAPoDAAAOAAAAAAAAAAEA&#10;IAAAACcBAABkcnMvZTJvRG9jLnhtbFBLBQYAAAAABgAGAFkBAACkBQAAAAA=&#10;">
                  <v:fill on="f" focussize="0,0"/>
                  <v:stroke color="#000000" joinstyle="round"/>
                  <v:imagedata o:title=""/>
                  <o:lock v:ext="edit" aspectratio="f"/>
                </v:shape>
                <v:shape id="直接箭头连接符 44" o:spid="_x0000_s1026" o:spt="32" type="#_x0000_t32" style="position:absolute;left:891420;top:1664955;height:69402;width:1700;" filled="f" stroked="t" coordsize="21600,21600" o:gfxdata="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s1Tpc2AAAAAsBAAAPAAAAAAAAAAEAIAAA&#10;ACIAAABkcnMvZG93bnJldi54bWxQSwECFAAUAAAACACHTuJA5Nou2gwCAAD6AwAADgAAAAAAAAAB&#10;ACAAAAAnAQAAZHJzL2Uyb0RvYy54bWxQSwUGAAAAAAYABgBZAQAApQUAAAAA&#10;">
                  <v:fill on="f" focussize="0,0"/>
                  <v:stroke color="#000000" joinstyle="round"/>
                  <v:imagedata o:title=""/>
                  <o:lock v:ext="edit" aspectratio="f"/>
                </v:shape>
                <v:shape id="文本框 45" o:spid="_x0000_s1026" o:spt="202" type="#_x0000_t202" style="position:absolute;left:672915;top:1462548;height:273209;width:507712;" filled="f" stroked="f" coordsize="21600,21600" o:gfxdata="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U4Mu/ZAAAACwEAAA8AAAAAAAAAAQAgAAAA&#10;IgAAAGRycy9kb3ducmV2LnhtbFBLAQIUABQAAAAIAIdO4kCtMMyT0QEAAI8DAAAOAAAAAAAAAAEA&#10;IAAAACgBAABkcnMvZTJvRG9jLnhtbFBLBQYAAAAABgAGAFkBAABrBQAAAAA=&#10;">
                  <v:fill on="f" focussize="0,0"/>
                  <v:stroke on="f"/>
                  <v:imagedata o:title=""/>
                  <o:lock v:ext="edit" aspectratio="f"/>
                  <v:textbox inset="4.98464566929134pt,2.49220472440945pt,4.98464566929134pt,2.49220472440945pt">
                    <w:txbxContent>
                      <w:p w14:paraId="07B10FC7">
                        <w:pPr>
                          <w:ind w:firstLine="300"/>
                          <w:rPr>
                            <w:rFonts w:ascii="Times New Roman" w:hAnsi="Times New Roman" w:eastAsia="宋体" w:cs="Times New Roman"/>
                            <w:sz w:val="15"/>
                            <w:szCs w:val="15"/>
                            <w:vertAlign w:val="subscript"/>
                          </w:rPr>
                        </w:pPr>
                        <w:r>
                          <w:rPr>
                            <w:rFonts w:ascii="宋体" w:hAnsi="宋体" w:eastAsia="宋体" w:cs="Times New Roman"/>
                            <w:sz w:val="15"/>
                            <w:szCs w:val="15"/>
                          </w:rPr>
                          <w:t>R</w:t>
                        </w:r>
                        <w:r>
                          <w:rPr>
                            <w:rFonts w:ascii="宋体" w:hAnsi="宋体" w:eastAsia="宋体" w:cs="Times New Roman"/>
                            <w:sz w:val="15"/>
                            <w:szCs w:val="15"/>
                            <w:vertAlign w:val="subscript"/>
                          </w:rPr>
                          <w:t>0</w:t>
                        </w:r>
                      </w:p>
                    </w:txbxContent>
                  </v:textbox>
                </v:shape>
              </v:group>
            </w:pict>
          </mc:Fallback>
        </mc:AlternateContent>
      </w:r>
      <w:r>
        <w:rPr>
          <w:rFonts w:ascii="Times New Roman" w:hAnsi="Times New Roman" w:eastAsia="宋体" w:cs="Times New Roman"/>
          <w:sz w:val="24"/>
        </w:rPr>
        <w:t>添加一个已知电阻R0，阻值推荐1MΩ，如图中所示并联在REESS的U1侧端子与电平台之间，再用b中的两个电压检测工具同时测量REESS的两个端子和电平台之间的电压，测量值为U2和U2’</w:t>
      </w:r>
      <w:r>
        <w:rPr>
          <w:rFonts w:hint="eastAsia" w:ascii="Times New Roman" w:hAnsi="Times New Roman" w:eastAsia="宋体" w:cs="Times New Roman"/>
          <w:sz w:val="24"/>
          <w:lang w:eastAsia="zh-CN"/>
        </w:rPr>
        <w:t>。</w:t>
      </w:r>
    </w:p>
    <w:p w14:paraId="6D46FB79">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076B3B9E">
      <w:pPr>
        <w:keepNext w:val="0"/>
        <w:keepLines w:val="0"/>
        <w:pageBreakBefore w:val="0"/>
        <w:numPr>
          <w:ilvl w:val="0"/>
          <w:numId w:val="0"/>
        </w:numPr>
        <w:kinsoku/>
        <w:overflowPunct/>
        <w:topLinePunct w:val="0"/>
        <w:bidi w:val="0"/>
        <w:adjustRightInd w:val="0"/>
        <w:snapToGrid w:val="0"/>
        <w:spacing w:afterAutospacing="0" w:line="360" w:lineRule="auto"/>
        <w:jc w:val="both"/>
        <w:rPr>
          <w:rFonts w:hint="eastAsia" w:ascii="宋体" w:hAnsi="宋体" w:eastAsia="宋体" w:cs="宋体"/>
          <w:sz w:val="24"/>
          <w:szCs w:val="24"/>
        </w:rPr>
      </w:pPr>
    </w:p>
    <w:p w14:paraId="2091FDC8">
      <w:pPr>
        <w:keepNext w:val="0"/>
        <w:keepLines w:val="0"/>
        <w:pageBreakBefore w:val="0"/>
        <w:numPr>
          <w:ilvl w:val="0"/>
          <w:numId w:val="0"/>
        </w:numPr>
        <w:kinsoku/>
        <w:overflowPunct/>
        <w:topLinePunct w:val="0"/>
        <w:bidi w:val="0"/>
        <w:adjustRightInd w:val="0"/>
        <w:snapToGrid w:val="0"/>
        <w:spacing w:afterAutospacing="0" w:line="360" w:lineRule="auto"/>
        <w:jc w:val="both"/>
        <w:rPr>
          <w:rFonts w:hint="eastAsia" w:ascii="宋体" w:hAnsi="宋体" w:eastAsia="宋体" w:cs="宋体"/>
          <w:sz w:val="24"/>
          <w:szCs w:val="24"/>
        </w:rPr>
      </w:pPr>
    </w:p>
    <w:p w14:paraId="76EB51B3">
      <w:pPr>
        <w:keepNext w:val="0"/>
        <w:keepLines w:val="0"/>
        <w:pageBreakBefore w:val="0"/>
        <w:numPr>
          <w:ilvl w:val="0"/>
          <w:numId w:val="0"/>
        </w:numPr>
        <w:kinsoku/>
        <w:overflowPunct/>
        <w:topLinePunct w:val="0"/>
        <w:bidi w:val="0"/>
        <w:adjustRightInd w:val="0"/>
        <w:snapToGrid w:val="0"/>
        <w:spacing w:afterAutospacing="0" w:line="360" w:lineRule="auto"/>
        <w:jc w:val="both"/>
        <w:rPr>
          <w:rFonts w:hint="eastAsia" w:ascii="宋体" w:hAnsi="宋体" w:eastAsia="宋体" w:cs="宋体"/>
          <w:sz w:val="24"/>
          <w:szCs w:val="24"/>
        </w:rPr>
      </w:pPr>
    </w:p>
    <w:p w14:paraId="1CB5B064">
      <w:pPr>
        <w:keepNext w:val="0"/>
        <w:keepLines w:val="0"/>
        <w:pageBreakBefore w:val="0"/>
        <w:numPr>
          <w:ilvl w:val="0"/>
          <w:numId w:val="0"/>
        </w:numPr>
        <w:kinsoku/>
        <w:overflowPunct/>
        <w:topLinePunct w:val="0"/>
        <w:bidi w:val="0"/>
        <w:adjustRightInd w:val="0"/>
        <w:snapToGrid w:val="0"/>
        <w:spacing w:afterAutospacing="0" w:line="360" w:lineRule="auto"/>
        <w:jc w:val="both"/>
        <w:rPr>
          <w:rFonts w:hint="eastAsia" w:ascii="宋体" w:hAnsi="宋体" w:eastAsia="宋体" w:cs="宋体"/>
          <w:sz w:val="24"/>
          <w:szCs w:val="24"/>
        </w:rPr>
      </w:pPr>
    </w:p>
    <w:p w14:paraId="03EBA6D6">
      <w:pPr>
        <w:keepNext w:val="0"/>
        <w:keepLines w:val="0"/>
        <w:pageBreakBefore w:val="0"/>
        <w:numPr>
          <w:ilvl w:val="0"/>
          <w:numId w:val="0"/>
        </w:numPr>
        <w:kinsoku/>
        <w:overflowPunct/>
        <w:topLinePunct w:val="0"/>
        <w:bidi w:val="0"/>
        <w:adjustRightInd w:val="0"/>
        <w:snapToGrid w:val="0"/>
        <w:spacing w:afterAutospacing="0" w:line="360" w:lineRule="auto"/>
        <w:jc w:val="both"/>
        <w:rPr>
          <w:rFonts w:hint="eastAsia" w:ascii="宋体" w:hAnsi="宋体" w:eastAsia="宋体" w:cs="宋体"/>
          <w:sz w:val="24"/>
          <w:szCs w:val="24"/>
        </w:rPr>
      </w:pPr>
    </w:p>
    <w:p w14:paraId="0DB0DD00">
      <w:pPr>
        <w:keepNext w:val="0"/>
        <w:keepLines w:val="0"/>
        <w:pageBreakBefore w:val="0"/>
        <w:numPr>
          <w:ilvl w:val="0"/>
          <w:numId w:val="0"/>
        </w:numPr>
        <w:kinsoku/>
        <w:overflowPunct/>
        <w:topLinePunct w:val="0"/>
        <w:bidi w:val="0"/>
        <w:adjustRightInd w:val="0"/>
        <w:snapToGrid w:val="0"/>
        <w:spacing w:afterAutospacing="0" w:line="360" w:lineRule="auto"/>
        <w:jc w:val="both"/>
        <w:rPr>
          <w:rFonts w:ascii="宋体" w:hAnsi="宋体" w:eastAsia="宋体" w:cs="宋体"/>
          <w:sz w:val="24"/>
          <w:szCs w:val="24"/>
        </w:rPr>
      </w:pPr>
      <w:r>
        <w:rPr>
          <w:rFonts w:hint="eastAsia" w:ascii="宋体" w:hAnsi="宋体" w:eastAsia="宋体" w:cs="宋体"/>
          <w:sz w:val="24"/>
          <w:szCs w:val="24"/>
        </w:rPr>
        <w:t>计算绝缘电阻</w:t>
      </w:r>
      <w:r>
        <w:rPr>
          <w:rFonts w:ascii="宋体" w:hAnsi="宋体" w:eastAsia="宋体" w:cs="宋体"/>
          <w:sz w:val="24"/>
          <w:szCs w:val="24"/>
        </w:rPr>
        <w:t>Ri，方法如下：</w:t>
      </w:r>
    </w:p>
    <w:p w14:paraId="241FCC0A">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hint="eastAsia" w:ascii="宋体" w:hAnsi="宋体" w:eastAsia="宋体" w:cs="宋体"/>
          <w:sz w:val="24"/>
        </w:rPr>
        <w:drawing>
          <wp:anchor distT="0" distB="0" distL="114300" distR="114300" simplePos="0" relativeHeight="251674624" behindDoc="0" locked="0" layoutInCell="1" allowOverlap="1">
            <wp:simplePos x="0" y="0"/>
            <wp:positionH relativeFrom="column">
              <wp:posOffset>1282700</wp:posOffset>
            </wp:positionH>
            <wp:positionV relativeFrom="paragraph">
              <wp:posOffset>440690</wp:posOffset>
            </wp:positionV>
            <wp:extent cx="3629660" cy="1043305"/>
            <wp:effectExtent l="0" t="0" r="12700" b="8255"/>
            <wp:wrapNone/>
            <wp:docPr id="124" name="图片 19" descr="图示, 文本, 白板&#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9" descr="图示, 文本, 白板&#10;&#10;描述已自动生成"/>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a:xfrm>
                      <a:off x="0" y="0"/>
                      <a:ext cx="3629660" cy="1043305"/>
                    </a:xfrm>
                    <a:prstGeom prst="rect">
                      <a:avLst/>
                    </a:prstGeom>
                    <a:noFill/>
                    <a:ln w="9525">
                      <a:noFill/>
                      <a:miter lim="800000"/>
                      <a:headEnd/>
                      <a:tailEnd/>
                    </a:ln>
                  </pic:spPr>
                </pic:pic>
              </a:graphicData>
            </a:graphic>
          </wp:anchor>
        </w:drawing>
      </w:r>
      <w:r>
        <w:rPr>
          <w:rFonts w:ascii="Times New Roman" w:hAnsi="Times New Roman" w:eastAsia="宋体" w:cs="Times New Roman"/>
          <w:sz w:val="24"/>
        </w:rPr>
        <w:t>Ri可以使用R0和四个电压值U1、U1`、U2和U2`以及电压检测设备内阻r，代入式（1）或（2）来计算：</w:t>
      </w:r>
    </w:p>
    <w:p w14:paraId="43002192">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42635DDB">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72F107EC">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5BB98143">
      <w:pPr>
        <w:keepNext w:val="0"/>
        <w:keepLines w:val="0"/>
        <w:pageBreakBefore w:val="0"/>
        <w:widowControl w:val="0"/>
        <w:numPr>
          <w:ilvl w:val="0"/>
          <w:numId w:val="0"/>
        </w:numPr>
        <w:kinsoku/>
        <w:overflowPunct/>
        <w:topLinePunct w:val="0"/>
        <w:bidi w:val="0"/>
        <w:adjustRightInd w:val="0"/>
        <w:snapToGrid w:val="0"/>
        <w:spacing w:beforeAutospacing="0" w:afterAutospacing="0" w:line="360" w:lineRule="auto"/>
        <w:ind w:leftChars="0"/>
        <w:jc w:val="left"/>
        <w:outlineLvl w:val="4"/>
        <w:rPr>
          <w:rFonts w:ascii="Times New Roman" w:hAnsi="Times New Roman" w:eastAsia="宋体" w:cs="Times New Roman"/>
          <w:b w:val="0"/>
          <w:sz w:val="24"/>
        </w:rPr>
      </w:pPr>
      <w:bookmarkStart w:id="345" w:name="_Toc124457895"/>
      <w:bookmarkStart w:id="346" w:name="_Toc67405643"/>
      <w:bookmarkStart w:id="347" w:name="_Toc148647726"/>
      <w:bookmarkStart w:id="348" w:name="_Toc58868724"/>
      <w:bookmarkStart w:id="349" w:name="_Toc67405644"/>
    </w:p>
    <w:p w14:paraId="772E285A">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整车绝缘</w:t>
      </w:r>
      <w:r>
        <w:rPr>
          <w:rFonts w:hint="eastAsia" w:ascii="Times New Roman" w:hAnsi="Times New Roman" w:eastAsia="宋体" w:cs="Times New Roman"/>
          <w:sz w:val="24"/>
          <w:lang w:eastAsia="zh-CN"/>
        </w:rPr>
        <w:t>检测</w:t>
      </w:r>
      <w:r>
        <w:rPr>
          <w:rFonts w:ascii="Times New Roman" w:hAnsi="Times New Roman" w:eastAsia="宋体" w:cs="Times New Roman"/>
          <w:sz w:val="24"/>
        </w:rPr>
        <w:t>功能验证</w:t>
      </w:r>
      <w:bookmarkEnd w:id="345"/>
      <w:bookmarkEnd w:id="346"/>
      <w:bookmarkEnd w:id="347"/>
    </w:p>
    <w:p w14:paraId="4328F4BC">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设备通过给车辆外接电阻箱，模拟车辆应处于绝缘报警的临界状态，检测车辆绝缘报警装置的有效性。</w:t>
      </w:r>
    </w:p>
    <w:p w14:paraId="5CEB4E02">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ascii="宋体" w:hAnsi="宋体" w:eastAsia="宋体" w:cs="宋体"/>
          <w:sz w:val="24"/>
          <w:szCs w:val="24"/>
        </w:rPr>
        <w:drawing>
          <wp:inline distT="0" distB="0" distL="0" distR="0">
            <wp:extent cx="5274310" cy="1902460"/>
            <wp:effectExtent l="0" t="0" r="13970" b="2540"/>
            <wp:docPr id="125" name="图片 6"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6" descr="图示&#10;&#10;描述已自动生成"/>
                    <pic:cNvPicPr>
                      <a:picLocks noChangeAspect="1" noChangeArrowheads="1"/>
                    </pic:cNvPicPr>
                  </pic:nvPicPr>
                  <pic:blipFill>
                    <a:blip r:embed="rId64"/>
                    <a:srcRect/>
                    <a:stretch>
                      <a:fillRect/>
                    </a:stretch>
                  </pic:blipFill>
                  <pic:spPr>
                    <a:xfrm>
                      <a:off x="0" y="0"/>
                      <a:ext cx="5274310" cy="1902460"/>
                    </a:xfrm>
                    <a:prstGeom prst="rect">
                      <a:avLst/>
                    </a:prstGeom>
                    <a:noFill/>
                    <a:ln w="9525">
                      <a:noFill/>
                      <a:miter lim="800000"/>
                      <a:headEnd/>
                      <a:tailEnd/>
                    </a:ln>
                  </pic:spPr>
                </pic:pic>
              </a:graphicData>
            </a:graphic>
          </wp:inline>
        </w:drawing>
      </w:r>
    </w:p>
    <w:p w14:paraId="39EEEE31">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具体测试流程如下：</w:t>
      </w:r>
    </w:p>
    <w:p w14:paraId="294B0510">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在1.3的基础上，将可调节电阻器并联在REESS 的U1’所在端与车辆电平台之间；</w:t>
      </w:r>
    </w:p>
    <w:p w14:paraId="16635192">
      <w:pPr>
        <w:keepNext w:val="0"/>
        <w:keepLines w:val="0"/>
        <w:pageBreakBefore w:val="0"/>
        <w:widowControl w:val="0"/>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sz w:val="24"/>
        </w:rPr>
      </w:pPr>
      <w:r>
        <w:rPr>
          <w:rFonts w:ascii="Times New Roman" w:hAnsi="Times New Roman" w:eastAsia="宋体" w:cs="Times New Roman"/>
          <w:sz w:val="24"/>
        </w:rPr>
        <w:t>将可调节电阻器的阻值减小到目标值Rx：</w:t>
      </w:r>
    </w:p>
    <w:p w14:paraId="01E4EB1E">
      <w:pPr>
        <w:keepNext w:val="0"/>
        <w:keepLines w:val="0"/>
        <w:pageBreakBefore w:val="0"/>
        <w:widowControl w:val="0"/>
        <w:numPr>
          <w:ilvl w:val="0"/>
          <w:numId w:val="643"/>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若最小绝缘电阻要求为100Ω/V，按如下公式计算</w:t>
      </w:r>
    </w:p>
    <w:p w14:paraId="2A7B55FF">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rPr>
      </w:pPr>
      <w:r>
        <w:rPr>
          <w:rFonts w:hint="eastAsia" w:ascii="宋体" w:hAnsi="宋体" w:eastAsia="宋体" w:cs="宋体"/>
          <w:sz w:val="24"/>
          <w:szCs w:val="24"/>
        </w:rPr>
        <w:drawing>
          <wp:inline distT="0" distB="0" distL="0" distR="0">
            <wp:extent cx="3716020" cy="216535"/>
            <wp:effectExtent l="0" t="0" r="2540" b="12065"/>
            <wp:docPr id="1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
                    <pic:cNvPicPr>
                      <a:picLocks noChangeAspect="1" noChangeArrowheads="1"/>
                    </pic:cNvPicPr>
                  </pic:nvPicPr>
                  <pic:blipFill>
                    <a:blip r:embed="rId65"/>
                    <a:srcRect/>
                    <a:stretch>
                      <a:fillRect/>
                    </a:stretch>
                  </pic:blipFill>
                  <pic:spPr>
                    <a:xfrm>
                      <a:off x="0" y="0"/>
                      <a:ext cx="3719068" cy="217107"/>
                    </a:xfrm>
                    <a:prstGeom prst="rect">
                      <a:avLst/>
                    </a:prstGeom>
                    <a:noFill/>
                    <a:ln w="9525">
                      <a:noFill/>
                      <a:miter lim="800000"/>
                      <a:headEnd/>
                      <a:tailEnd/>
                    </a:ln>
                  </pic:spPr>
                </pic:pic>
              </a:graphicData>
            </a:graphic>
          </wp:inline>
        </w:drawing>
      </w:r>
    </w:p>
    <w:p w14:paraId="46857EE3">
      <w:pPr>
        <w:keepNext w:val="0"/>
        <w:keepLines w:val="0"/>
        <w:pageBreakBefore w:val="0"/>
        <w:widowControl w:val="0"/>
        <w:numPr>
          <w:ilvl w:val="0"/>
          <w:numId w:val="643"/>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若最小绝缘电阻要求为100Ω/V，按如下公式计算</w:t>
      </w:r>
    </w:p>
    <w:p w14:paraId="7592D08F">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rPr>
      </w:pPr>
      <w:r>
        <w:rPr>
          <w:rFonts w:ascii="宋体" w:hAnsi="宋体" w:eastAsia="宋体" w:cs="宋体"/>
          <w:sz w:val="24"/>
          <w:szCs w:val="24"/>
        </w:rPr>
        <w:drawing>
          <wp:inline distT="0" distB="0" distL="0" distR="0">
            <wp:extent cx="3989070" cy="243840"/>
            <wp:effectExtent l="0" t="0" r="3810" b="0"/>
            <wp:docPr id="12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6"/>
                    <pic:cNvPicPr>
                      <a:picLocks noChangeAspect="1" noChangeArrowheads="1"/>
                    </pic:cNvPicPr>
                  </pic:nvPicPr>
                  <pic:blipFill>
                    <a:blip r:embed="rId66"/>
                    <a:srcRect/>
                    <a:stretch>
                      <a:fillRect/>
                    </a:stretch>
                  </pic:blipFill>
                  <pic:spPr>
                    <a:xfrm>
                      <a:off x="0" y="0"/>
                      <a:ext cx="3989712" cy="244306"/>
                    </a:xfrm>
                    <a:prstGeom prst="rect">
                      <a:avLst/>
                    </a:prstGeom>
                    <a:noFill/>
                    <a:ln w="9525">
                      <a:noFill/>
                      <a:miter lim="800000"/>
                      <a:headEnd/>
                      <a:tailEnd/>
                    </a:ln>
                  </pic:spPr>
                </pic:pic>
              </a:graphicData>
            </a:graphic>
          </wp:inline>
        </w:drawing>
      </w:r>
    </w:p>
    <w:p w14:paraId="2C48AF89">
      <w:pPr>
        <w:keepNext w:val="0"/>
        <w:keepLines w:val="0"/>
        <w:pageBreakBefore w:val="0"/>
        <w:widowControl w:val="0"/>
        <w:numPr>
          <w:ilvl w:val="0"/>
          <w:numId w:val="643"/>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确认车辆是否声光报警（也可通过监测绝缘故障报文判断）</w:t>
      </w:r>
    </w:p>
    <w:p w14:paraId="61FE67E0">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bookmarkStart w:id="350" w:name="_Toc148647727"/>
      <w:bookmarkStart w:id="351" w:name="_Toc124457896"/>
      <w:r>
        <w:rPr>
          <w:rFonts w:ascii="Times New Roman" w:hAnsi="Times New Roman" w:eastAsia="宋体" w:cs="Times New Roman"/>
          <w:sz w:val="24"/>
        </w:rPr>
        <w:t>整车电位均衡检测</w:t>
      </w:r>
      <w:bookmarkEnd w:id="348"/>
      <w:bookmarkEnd w:id="349"/>
      <w:bookmarkEnd w:id="350"/>
      <w:bookmarkEnd w:id="351"/>
    </w:p>
    <w:p w14:paraId="3B4E6AE0">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hint="eastAsia" w:ascii="宋体" w:hAnsi="宋体" w:eastAsia="宋体" w:cs="宋体"/>
          <w:sz w:val="24"/>
          <w:szCs w:val="24"/>
        </w:rPr>
        <w:drawing>
          <wp:inline distT="0" distB="0" distL="0" distR="0">
            <wp:extent cx="5908040" cy="1640205"/>
            <wp:effectExtent l="0" t="0" r="5080" b="5715"/>
            <wp:docPr id="128" name="图片 7"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7" descr="图示&#10;&#10;描述已自动生成"/>
                    <pic:cNvPicPr>
                      <a:picLocks noChangeAspect="1" noChangeArrowheads="1"/>
                    </pic:cNvPicPr>
                  </pic:nvPicPr>
                  <pic:blipFill>
                    <a:blip r:embed="rId67"/>
                    <a:srcRect/>
                    <a:stretch>
                      <a:fillRect/>
                    </a:stretch>
                  </pic:blipFill>
                  <pic:spPr>
                    <a:xfrm>
                      <a:off x="0" y="0"/>
                      <a:ext cx="5908040" cy="1640205"/>
                    </a:xfrm>
                    <a:prstGeom prst="rect">
                      <a:avLst/>
                    </a:prstGeom>
                    <a:noFill/>
                    <a:ln w="9525">
                      <a:noFill/>
                      <a:miter lim="800000"/>
                      <a:headEnd/>
                      <a:tailEnd/>
                    </a:ln>
                  </pic:spPr>
                </pic:pic>
              </a:graphicData>
            </a:graphic>
          </wp:inline>
        </w:drawing>
      </w:r>
    </w:p>
    <w:p w14:paraId="63DB8E6F">
      <w:pPr>
        <w:keepNext w:val="0"/>
        <w:keepLines w:val="0"/>
        <w:pageBreakBefore w:val="0"/>
        <w:widowControl w:val="0"/>
        <w:numPr>
          <w:ilvl w:val="0"/>
          <w:numId w:val="644"/>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应测试高压零部件与车身，以及高压零部件之间的电位均衡。</w:t>
      </w:r>
    </w:p>
    <w:p w14:paraId="2953BFB7">
      <w:pPr>
        <w:keepNext w:val="0"/>
        <w:keepLines w:val="0"/>
        <w:pageBreakBefore w:val="0"/>
        <w:widowControl w:val="0"/>
        <w:numPr>
          <w:ilvl w:val="0"/>
          <w:numId w:val="644"/>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直流恒流源测试，测试电流不小于0.2A。</w:t>
      </w:r>
    </w:p>
    <w:p w14:paraId="4D4C4AA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textAlignment w:val="auto"/>
        <w:rPr>
          <w:rFonts w:ascii="Times New Roman" w:hAnsi="Times New Roman" w:eastAsia="宋体" w:cs="Times New Roman"/>
          <w:sz w:val="24"/>
        </w:rPr>
      </w:pPr>
      <w:r>
        <w:rPr>
          <w:rFonts w:ascii="Times New Roman" w:hAnsi="Times New Roman" w:eastAsia="宋体" w:cs="Times New Roman"/>
          <w:sz w:val="24"/>
        </w:rPr>
        <w:t>测试结果：</w:t>
      </w:r>
    </w:p>
    <w:p w14:paraId="481FE6A0">
      <w:pPr>
        <w:keepNext w:val="0"/>
        <w:keepLines w:val="0"/>
        <w:pageBreakBefore w:val="0"/>
        <w:widowControl w:val="0"/>
        <w:numPr>
          <w:ilvl w:val="0"/>
          <w:numId w:val="6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外露可导电部分与电平台间的连接阻抗应不大于0.1Ω。</w:t>
      </w:r>
    </w:p>
    <w:p w14:paraId="258994B8">
      <w:pPr>
        <w:keepNext w:val="0"/>
        <w:keepLines w:val="0"/>
        <w:pageBreakBefore w:val="0"/>
        <w:widowControl w:val="0"/>
        <w:numPr>
          <w:ilvl w:val="0"/>
          <w:numId w:val="64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电位均衡通路中，任意两个可以被人同时触碰到的外露可导电部分，即距离不大于2.5m的两个可导电部分间电阻应不大于0.2Ω。</w:t>
      </w:r>
    </w:p>
    <w:p w14:paraId="567A649D">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设备配置</w:t>
      </w:r>
      <w:bookmarkStart w:id="352" w:name="bookmark9"/>
      <w:bookmarkEnd w:id="352"/>
    </w:p>
    <w:p w14:paraId="04CD9518">
      <w:pPr>
        <w:keepNext w:val="0"/>
        <w:keepLines w:val="0"/>
        <w:pageBreakBefore w:val="0"/>
        <w:widowControl/>
        <w:kinsoku/>
        <w:overflowPunct/>
        <w:topLinePunct w:val="0"/>
        <w:bidi w:val="0"/>
        <w:adjustRightInd w:val="0"/>
        <w:snapToGrid w:val="0"/>
        <w:spacing w:afterAutospacing="0"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配置清单</w:t>
      </w:r>
      <w:r>
        <w:rPr>
          <w:rFonts w:hint="eastAsia" w:cs="Times New Roman"/>
          <w:sz w:val="24"/>
          <w:lang w:eastAsia="zh-CN"/>
        </w:rPr>
        <w:t>：</w:t>
      </w:r>
    </w:p>
    <w:p w14:paraId="1916CA01">
      <w:pPr>
        <w:keepNext w:val="0"/>
        <w:keepLines w:val="0"/>
        <w:pageBreakBefore w:val="0"/>
        <w:widowControl/>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color w:val="000000"/>
          <w:sz w:val="24"/>
        </w:rPr>
        <w:t>系统内置工业控制计算机，系统检测软件，实现对检测设备的控制、数据采集与分析、报表导出等功能，满足数据监控、信息化管理的需求。配备打印机，根据定制格式打印检测结果。设备主要配置如下表：</w:t>
      </w:r>
    </w:p>
    <w:tbl>
      <w:tblPr>
        <w:tblStyle w:val="53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279"/>
        <w:gridCol w:w="2032"/>
        <w:gridCol w:w="782"/>
        <w:gridCol w:w="3750"/>
      </w:tblGrid>
      <w:tr w14:paraId="7C42B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055450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序号</w:t>
            </w:r>
          </w:p>
        </w:tc>
        <w:tc>
          <w:tcPr>
            <w:tcW w:w="1180" w:type="pct"/>
            <w:vAlign w:val="center"/>
          </w:tcPr>
          <w:p w14:paraId="20962E3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名称</w:t>
            </w:r>
          </w:p>
        </w:tc>
        <w:tc>
          <w:tcPr>
            <w:tcW w:w="1052" w:type="pct"/>
            <w:vAlign w:val="center"/>
          </w:tcPr>
          <w:p w14:paraId="1E8D878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lang w:val="en-US" w:eastAsia="zh-CN"/>
              </w:rPr>
              <w:t>相当于或优于以下</w:t>
            </w:r>
            <w:r>
              <w:rPr>
                <w:rFonts w:hint="eastAsia" w:ascii="宋体" w:hAnsi="宋体" w:eastAsia="宋体" w:cs="宋体"/>
                <w:kern w:val="0"/>
                <w:sz w:val="24"/>
                <w:szCs w:val="24"/>
              </w:rPr>
              <w:t>品牌</w:t>
            </w:r>
          </w:p>
        </w:tc>
        <w:tc>
          <w:tcPr>
            <w:tcW w:w="405" w:type="pct"/>
            <w:vAlign w:val="center"/>
          </w:tcPr>
          <w:p w14:paraId="259BED6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数量</w:t>
            </w:r>
          </w:p>
        </w:tc>
        <w:tc>
          <w:tcPr>
            <w:tcW w:w="1942" w:type="pct"/>
            <w:vAlign w:val="center"/>
          </w:tcPr>
          <w:p w14:paraId="5A4A781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备注</w:t>
            </w:r>
          </w:p>
        </w:tc>
      </w:tr>
      <w:tr w14:paraId="36E74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3643612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180" w:type="pct"/>
            <w:vAlign w:val="center"/>
          </w:tcPr>
          <w:p w14:paraId="5B93629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机柜</w:t>
            </w:r>
          </w:p>
        </w:tc>
        <w:tc>
          <w:tcPr>
            <w:tcW w:w="1052" w:type="pct"/>
            <w:vAlign w:val="center"/>
          </w:tcPr>
          <w:p w14:paraId="467764F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定制</w:t>
            </w:r>
          </w:p>
        </w:tc>
        <w:tc>
          <w:tcPr>
            <w:tcW w:w="405" w:type="pct"/>
            <w:vAlign w:val="center"/>
          </w:tcPr>
          <w:p w14:paraId="62D89A1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1CF4FE5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样式如下图</w:t>
            </w:r>
          </w:p>
        </w:tc>
      </w:tr>
      <w:tr w14:paraId="3755D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5A7899C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2</w:t>
            </w:r>
          </w:p>
        </w:tc>
        <w:tc>
          <w:tcPr>
            <w:tcW w:w="1180" w:type="pct"/>
            <w:vAlign w:val="center"/>
          </w:tcPr>
          <w:p w14:paraId="7F4C88E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工控机</w:t>
            </w:r>
          </w:p>
        </w:tc>
        <w:tc>
          <w:tcPr>
            <w:tcW w:w="1052" w:type="pct"/>
            <w:vAlign w:val="center"/>
          </w:tcPr>
          <w:p w14:paraId="30B5FC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研华</w:t>
            </w:r>
            <w:r>
              <w:rPr>
                <w:rFonts w:hint="eastAsia" w:ascii="宋体" w:hAnsi="宋体" w:eastAsia="宋体" w:cs="宋体"/>
                <w:kern w:val="0"/>
                <w:sz w:val="24"/>
                <w:szCs w:val="24"/>
                <w:lang w:eastAsia="zh-CN"/>
              </w:rPr>
              <w:t>，</w:t>
            </w:r>
            <w:r>
              <w:rPr>
                <w:rFonts w:ascii="宋体" w:hAnsi="宋体" w:eastAsia="宋体" w:cs="宋体"/>
                <w:kern w:val="0"/>
                <w:sz w:val="24"/>
                <w:szCs w:val="24"/>
              </w:rPr>
              <w:t>研祥，西门子</w:t>
            </w:r>
            <w:r>
              <w:rPr>
                <w:rFonts w:hint="eastAsia" w:ascii="宋体" w:hAnsi="宋体" w:eastAsia="宋体" w:cs="宋体"/>
                <w:spacing w:val="10"/>
                <w:sz w:val="24"/>
                <w:szCs w:val="24"/>
              </w:rPr>
              <w:t>同等档次品牌</w:t>
            </w:r>
          </w:p>
        </w:tc>
        <w:tc>
          <w:tcPr>
            <w:tcW w:w="405" w:type="pct"/>
            <w:vAlign w:val="center"/>
          </w:tcPr>
          <w:p w14:paraId="0A05630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55D5ABF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CPU：i5，内存：8G，硬盘：1TB</w:t>
            </w:r>
          </w:p>
        </w:tc>
      </w:tr>
      <w:tr w14:paraId="51A6F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3A27164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3</w:t>
            </w:r>
          </w:p>
        </w:tc>
        <w:tc>
          <w:tcPr>
            <w:tcW w:w="1180" w:type="pct"/>
            <w:vAlign w:val="center"/>
          </w:tcPr>
          <w:p w14:paraId="00FB07A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显示器</w:t>
            </w:r>
          </w:p>
        </w:tc>
        <w:tc>
          <w:tcPr>
            <w:tcW w:w="1052" w:type="pct"/>
            <w:vAlign w:val="center"/>
          </w:tcPr>
          <w:p w14:paraId="2A9790F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DELL,AOC,ASUS</w:t>
            </w:r>
            <w:r>
              <w:rPr>
                <w:rFonts w:hint="eastAsia" w:ascii="宋体" w:hAnsi="宋体" w:eastAsia="宋体" w:cs="宋体"/>
                <w:spacing w:val="10"/>
                <w:sz w:val="24"/>
                <w:szCs w:val="24"/>
              </w:rPr>
              <w:t>同等档次品牌</w:t>
            </w:r>
          </w:p>
        </w:tc>
        <w:tc>
          <w:tcPr>
            <w:tcW w:w="405" w:type="pct"/>
            <w:vAlign w:val="center"/>
          </w:tcPr>
          <w:p w14:paraId="707B96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40A3230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19寸</w:t>
            </w:r>
          </w:p>
        </w:tc>
      </w:tr>
      <w:tr w14:paraId="53F4A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07383C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4</w:t>
            </w:r>
          </w:p>
        </w:tc>
        <w:tc>
          <w:tcPr>
            <w:tcW w:w="1180" w:type="pct"/>
            <w:vAlign w:val="center"/>
          </w:tcPr>
          <w:p w14:paraId="43178A7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扫描枪</w:t>
            </w:r>
          </w:p>
        </w:tc>
        <w:tc>
          <w:tcPr>
            <w:tcW w:w="1052" w:type="pct"/>
            <w:vAlign w:val="center"/>
          </w:tcPr>
          <w:p w14:paraId="3B32CAF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Symbol</w:t>
            </w:r>
            <w:r>
              <w:rPr>
                <w:rFonts w:hint="eastAsia" w:ascii="宋体" w:hAnsi="宋体" w:eastAsia="宋体" w:cs="宋体"/>
                <w:sz w:val="24"/>
                <w:szCs w:val="24"/>
                <w:lang w:eastAsia="zh-CN"/>
              </w:rPr>
              <w:t>，</w:t>
            </w:r>
            <w:r>
              <w:rPr>
                <w:rFonts w:ascii="宋体" w:hAnsi="宋体" w:eastAsia="宋体" w:cs="宋体"/>
                <w:kern w:val="0"/>
                <w:sz w:val="24"/>
                <w:szCs w:val="24"/>
              </w:rPr>
              <w:t>科密，民德</w:t>
            </w:r>
            <w:r>
              <w:rPr>
                <w:rFonts w:hint="eastAsia" w:ascii="宋体" w:hAnsi="宋体" w:eastAsia="宋体" w:cs="宋体"/>
                <w:spacing w:val="10"/>
                <w:sz w:val="24"/>
                <w:szCs w:val="24"/>
              </w:rPr>
              <w:t>同等档次品牌</w:t>
            </w:r>
          </w:p>
        </w:tc>
        <w:tc>
          <w:tcPr>
            <w:tcW w:w="405" w:type="pct"/>
            <w:vAlign w:val="center"/>
          </w:tcPr>
          <w:p w14:paraId="380BD94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70CC7B2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52970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7B78D0B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5</w:t>
            </w:r>
          </w:p>
        </w:tc>
        <w:tc>
          <w:tcPr>
            <w:tcW w:w="1180" w:type="pct"/>
            <w:vAlign w:val="center"/>
          </w:tcPr>
          <w:p w14:paraId="2C6E40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sz w:val="24"/>
                <w:szCs w:val="24"/>
              </w:rPr>
              <w:t>打印机</w:t>
            </w:r>
          </w:p>
        </w:tc>
        <w:tc>
          <w:tcPr>
            <w:tcW w:w="1052" w:type="pct"/>
            <w:vAlign w:val="center"/>
          </w:tcPr>
          <w:p w14:paraId="151FAAD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惠普</w:t>
            </w:r>
            <w:r>
              <w:rPr>
                <w:rFonts w:hint="eastAsia" w:ascii="宋体" w:hAnsi="宋体" w:eastAsia="宋体" w:cs="宋体"/>
                <w:sz w:val="24"/>
                <w:szCs w:val="24"/>
                <w:lang w:eastAsia="zh-CN"/>
              </w:rPr>
              <w:t>，</w:t>
            </w:r>
            <w:r>
              <w:rPr>
                <w:rFonts w:ascii="宋体" w:hAnsi="宋体" w:eastAsia="宋体" w:cs="宋体"/>
                <w:sz w:val="24"/>
                <w:szCs w:val="24"/>
              </w:rPr>
              <w:t xml:space="preserve"> </w:t>
            </w:r>
            <w:r>
              <w:rPr>
                <w:rFonts w:hint="eastAsia" w:ascii="宋体" w:hAnsi="宋体" w:eastAsia="宋体" w:cs="宋体"/>
                <w:sz w:val="24"/>
                <w:szCs w:val="24"/>
              </w:rPr>
              <w:t>佳能，爱普生</w:t>
            </w:r>
            <w:r>
              <w:rPr>
                <w:rFonts w:hint="eastAsia" w:ascii="宋体" w:hAnsi="宋体" w:eastAsia="宋体" w:cs="宋体"/>
                <w:spacing w:val="10"/>
                <w:sz w:val="24"/>
                <w:szCs w:val="24"/>
              </w:rPr>
              <w:t>同等档次品牌</w:t>
            </w:r>
          </w:p>
        </w:tc>
        <w:tc>
          <w:tcPr>
            <w:tcW w:w="405" w:type="pct"/>
            <w:vAlign w:val="center"/>
          </w:tcPr>
          <w:p w14:paraId="65A7237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1942" w:type="pct"/>
            <w:vAlign w:val="center"/>
          </w:tcPr>
          <w:p w14:paraId="4DDB06F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1DCDEE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1806CA7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6</w:t>
            </w:r>
          </w:p>
        </w:tc>
        <w:tc>
          <w:tcPr>
            <w:tcW w:w="1180" w:type="pct"/>
            <w:vAlign w:val="center"/>
          </w:tcPr>
          <w:p w14:paraId="762E6B0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电源管理模块</w:t>
            </w:r>
          </w:p>
        </w:tc>
        <w:tc>
          <w:tcPr>
            <w:tcW w:w="1052" w:type="pct"/>
            <w:vAlign w:val="center"/>
          </w:tcPr>
          <w:p w14:paraId="6F7A52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定制</w:t>
            </w:r>
          </w:p>
        </w:tc>
        <w:tc>
          <w:tcPr>
            <w:tcW w:w="405" w:type="pct"/>
            <w:vAlign w:val="center"/>
          </w:tcPr>
          <w:p w14:paraId="640647E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7B91CC4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039FF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0F6C58F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7</w:t>
            </w:r>
          </w:p>
        </w:tc>
        <w:tc>
          <w:tcPr>
            <w:tcW w:w="1180" w:type="pct"/>
            <w:vAlign w:val="center"/>
          </w:tcPr>
          <w:p w14:paraId="778DB89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UPS电源</w:t>
            </w:r>
          </w:p>
        </w:tc>
        <w:tc>
          <w:tcPr>
            <w:tcW w:w="1052" w:type="pct"/>
            <w:vAlign w:val="center"/>
          </w:tcPr>
          <w:p w14:paraId="4C1D87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施耐德，科华，山特</w:t>
            </w:r>
            <w:r>
              <w:rPr>
                <w:rFonts w:hint="eastAsia" w:ascii="宋体" w:hAnsi="宋体" w:eastAsia="宋体" w:cs="宋体"/>
                <w:spacing w:val="10"/>
                <w:sz w:val="24"/>
                <w:szCs w:val="24"/>
              </w:rPr>
              <w:t>同等档次品牌</w:t>
            </w:r>
          </w:p>
        </w:tc>
        <w:tc>
          <w:tcPr>
            <w:tcW w:w="405" w:type="pct"/>
            <w:vAlign w:val="center"/>
          </w:tcPr>
          <w:p w14:paraId="21C006E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2AF79A3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AD11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31BFB85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8</w:t>
            </w:r>
          </w:p>
        </w:tc>
        <w:tc>
          <w:tcPr>
            <w:tcW w:w="1180" w:type="pct"/>
            <w:vAlign w:val="center"/>
          </w:tcPr>
          <w:p w14:paraId="15DF39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sz w:val="24"/>
                <w:szCs w:val="24"/>
              </w:rPr>
              <w:t>CAN卡</w:t>
            </w:r>
          </w:p>
        </w:tc>
        <w:tc>
          <w:tcPr>
            <w:tcW w:w="1052" w:type="pct"/>
            <w:vAlign w:val="center"/>
          </w:tcPr>
          <w:p w14:paraId="3E42B82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sz w:val="24"/>
                <w:szCs w:val="24"/>
              </w:rPr>
              <w:t>ZLG</w:t>
            </w:r>
            <w:r>
              <w:rPr>
                <w:rFonts w:hint="eastAsia" w:ascii="宋体" w:hAnsi="宋体" w:eastAsia="宋体" w:cs="宋体"/>
                <w:sz w:val="24"/>
                <w:szCs w:val="24"/>
                <w:lang w:eastAsia="zh-CN"/>
              </w:rPr>
              <w:t>,</w:t>
            </w:r>
            <w:r>
              <w:rPr>
                <w:rFonts w:ascii="宋体" w:hAnsi="宋体" w:eastAsia="宋体" w:cs="宋体"/>
                <w:sz w:val="24"/>
                <w:szCs w:val="24"/>
              </w:rPr>
              <w:t>PCI-9820I</w:t>
            </w:r>
          </w:p>
        </w:tc>
        <w:tc>
          <w:tcPr>
            <w:tcW w:w="405" w:type="pct"/>
            <w:vAlign w:val="center"/>
          </w:tcPr>
          <w:p w14:paraId="13A9B1E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sz w:val="24"/>
                <w:szCs w:val="24"/>
              </w:rPr>
              <w:t>1</w:t>
            </w:r>
          </w:p>
        </w:tc>
        <w:tc>
          <w:tcPr>
            <w:tcW w:w="1942" w:type="pct"/>
            <w:vAlign w:val="center"/>
          </w:tcPr>
          <w:p w14:paraId="33CCD78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2通道</w:t>
            </w:r>
          </w:p>
        </w:tc>
      </w:tr>
      <w:tr w14:paraId="4F5A8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25B086D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9</w:t>
            </w:r>
          </w:p>
        </w:tc>
        <w:tc>
          <w:tcPr>
            <w:tcW w:w="1180" w:type="pct"/>
            <w:vAlign w:val="center"/>
          </w:tcPr>
          <w:p w14:paraId="19EBA64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安规控制单元</w:t>
            </w:r>
          </w:p>
        </w:tc>
        <w:tc>
          <w:tcPr>
            <w:tcW w:w="1052" w:type="pct"/>
            <w:vAlign w:val="center"/>
          </w:tcPr>
          <w:p w14:paraId="3208C1D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定制</w:t>
            </w:r>
          </w:p>
        </w:tc>
        <w:tc>
          <w:tcPr>
            <w:tcW w:w="405" w:type="pct"/>
            <w:vAlign w:val="center"/>
          </w:tcPr>
          <w:p w14:paraId="7BEA1D7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28DEFB3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2F73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0F80D3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10</w:t>
            </w:r>
          </w:p>
        </w:tc>
        <w:tc>
          <w:tcPr>
            <w:tcW w:w="1180" w:type="pct"/>
            <w:vAlign w:val="center"/>
          </w:tcPr>
          <w:p w14:paraId="69D4DD3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三色灯</w:t>
            </w:r>
          </w:p>
        </w:tc>
        <w:tc>
          <w:tcPr>
            <w:tcW w:w="1052" w:type="pct"/>
            <w:vAlign w:val="center"/>
          </w:tcPr>
          <w:p w14:paraId="6CD9ECB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rPr>
              <w:t>台邦，</w:t>
            </w:r>
            <w:r>
              <w:rPr>
                <w:rFonts w:ascii="宋体" w:hAnsi="宋体" w:eastAsia="宋体" w:cs="宋体"/>
                <w:kern w:val="0"/>
                <w:sz w:val="24"/>
                <w:szCs w:val="24"/>
              </w:rPr>
              <w:t>TB50-3T-D-J</w:t>
            </w:r>
          </w:p>
        </w:tc>
        <w:tc>
          <w:tcPr>
            <w:tcW w:w="405" w:type="pct"/>
            <w:vAlign w:val="center"/>
          </w:tcPr>
          <w:p w14:paraId="55F9F4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52FAC05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19661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060FD6C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11</w:t>
            </w:r>
          </w:p>
        </w:tc>
        <w:tc>
          <w:tcPr>
            <w:tcW w:w="1180" w:type="pct"/>
            <w:vAlign w:val="center"/>
          </w:tcPr>
          <w:p w14:paraId="511C493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接地电阻测试仪</w:t>
            </w:r>
          </w:p>
        </w:tc>
        <w:tc>
          <w:tcPr>
            <w:tcW w:w="1052" w:type="pct"/>
            <w:vAlign w:val="center"/>
          </w:tcPr>
          <w:p w14:paraId="5CF7247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05" w:type="pct"/>
            <w:vAlign w:val="center"/>
          </w:tcPr>
          <w:p w14:paraId="4118C01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42" w:type="pct"/>
            <w:vAlign w:val="center"/>
          </w:tcPr>
          <w:p w14:paraId="1BD0E53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6457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4EC0335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12</w:t>
            </w:r>
          </w:p>
        </w:tc>
        <w:tc>
          <w:tcPr>
            <w:tcW w:w="1180" w:type="pct"/>
            <w:vAlign w:val="center"/>
          </w:tcPr>
          <w:p w14:paraId="6C486B8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绝缘耐压测试仪</w:t>
            </w:r>
          </w:p>
        </w:tc>
        <w:tc>
          <w:tcPr>
            <w:tcW w:w="1052" w:type="pct"/>
            <w:vAlign w:val="center"/>
          </w:tcPr>
          <w:p w14:paraId="022F06F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05" w:type="pct"/>
            <w:vAlign w:val="center"/>
          </w:tcPr>
          <w:p w14:paraId="177D0FD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42" w:type="pct"/>
            <w:vAlign w:val="center"/>
          </w:tcPr>
          <w:p w14:paraId="54F23BF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97E3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3EE1ABF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13</w:t>
            </w:r>
          </w:p>
        </w:tc>
        <w:tc>
          <w:tcPr>
            <w:tcW w:w="1180" w:type="pct"/>
            <w:vAlign w:val="center"/>
          </w:tcPr>
          <w:p w14:paraId="586AE64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专用绝缘电阻检测模块</w:t>
            </w:r>
          </w:p>
        </w:tc>
        <w:tc>
          <w:tcPr>
            <w:tcW w:w="1052" w:type="pct"/>
            <w:vAlign w:val="center"/>
          </w:tcPr>
          <w:p w14:paraId="12153B8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05" w:type="pct"/>
            <w:vAlign w:val="center"/>
          </w:tcPr>
          <w:p w14:paraId="3F80490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42" w:type="pct"/>
            <w:vAlign w:val="center"/>
          </w:tcPr>
          <w:p w14:paraId="0471F2E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专用于含</w:t>
            </w:r>
            <w:r>
              <w:rPr>
                <w:rFonts w:ascii="宋体" w:hAnsi="宋体" w:eastAsia="宋体" w:cs="宋体"/>
                <w:sz w:val="24"/>
                <w:szCs w:val="24"/>
              </w:rPr>
              <w:t>B级电源的绝缘电阻检测</w:t>
            </w:r>
          </w:p>
        </w:tc>
      </w:tr>
      <w:tr w14:paraId="2E204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44C1249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14</w:t>
            </w:r>
          </w:p>
        </w:tc>
        <w:tc>
          <w:tcPr>
            <w:tcW w:w="1180" w:type="pct"/>
            <w:vAlign w:val="center"/>
          </w:tcPr>
          <w:p w14:paraId="02B441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测试线束</w:t>
            </w:r>
          </w:p>
        </w:tc>
        <w:tc>
          <w:tcPr>
            <w:tcW w:w="1052" w:type="pct"/>
            <w:vAlign w:val="center"/>
          </w:tcPr>
          <w:p w14:paraId="3F4291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定制</w:t>
            </w:r>
          </w:p>
        </w:tc>
        <w:tc>
          <w:tcPr>
            <w:tcW w:w="405" w:type="pct"/>
            <w:vAlign w:val="center"/>
          </w:tcPr>
          <w:p w14:paraId="4A6A23F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38F629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3612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418" w:type="pct"/>
            <w:vAlign w:val="center"/>
          </w:tcPr>
          <w:p w14:paraId="3D5FF20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15</w:t>
            </w:r>
          </w:p>
        </w:tc>
        <w:tc>
          <w:tcPr>
            <w:tcW w:w="1180" w:type="pct"/>
            <w:vAlign w:val="center"/>
          </w:tcPr>
          <w:p w14:paraId="61B41AD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测试软件</w:t>
            </w:r>
          </w:p>
        </w:tc>
        <w:tc>
          <w:tcPr>
            <w:tcW w:w="1052" w:type="pct"/>
            <w:vAlign w:val="center"/>
          </w:tcPr>
          <w:p w14:paraId="6ADD9A0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kern w:val="0"/>
                <w:sz w:val="24"/>
                <w:szCs w:val="24"/>
              </w:rPr>
              <w:t>自研</w:t>
            </w:r>
          </w:p>
        </w:tc>
        <w:tc>
          <w:tcPr>
            <w:tcW w:w="405" w:type="pct"/>
            <w:vAlign w:val="center"/>
          </w:tcPr>
          <w:p w14:paraId="17BBF3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kern w:val="0"/>
                <w:sz w:val="24"/>
                <w:szCs w:val="24"/>
              </w:rPr>
              <w:t>1</w:t>
            </w:r>
          </w:p>
        </w:tc>
        <w:tc>
          <w:tcPr>
            <w:tcW w:w="1942" w:type="pct"/>
            <w:vAlign w:val="center"/>
          </w:tcPr>
          <w:p w14:paraId="01DC902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72616CAE">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bookmarkStart w:id="353" w:name="_Toc124457899"/>
      <w:bookmarkStart w:id="354" w:name="_Toc148647730"/>
    </w:p>
    <w:p w14:paraId="399D30FB">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p>
    <w:p w14:paraId="1CE421C8">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p>
    <w:p w14:paraId="1F5CAE14">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p>
    <w:p w14:paraId="3CEA9A94">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p>
    <w:p w14:paraId="08686464">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p>
    <w:p w14:paraId="018CF8BB">
      <w:pPr>
        <w:keepNext w:val="0"/>
        <w:keepLines w:val="0"/>
        <w:pageBreakBefore w:val="0"/>
        <w:widowControl w:val="0"/>
        <w:kinsoku/>
        <w:overflowPunct/>
        <w:topLinePunct w:val="0"/>
        <w:bidi w:val="0"/>
        <w:adjustRightInd w:val="0"/>
        <w:snapToGrid w:val="0"/>
        <w:spacing w:afterAutospacing="0" w:line="360" w:lineRule="auto"/>
        <w:rPr>
          <w:rFonts w:hint="eastAsia" w:ascii="Times New Roman" w:hAnsi="Times New Roman" w:eastAsia="宋体" w:cs="Times New Roman"/>
          <w:sz w:val="24"/>
          <w:lang w:val="en-US" w:eastAsia="zh-CN"/>
        </w:rPr>
      </w:pPr>
      <w:r>
        <w:rPr>
          <w:rFonts w:ascii="Times New Roman" w:hAnsi="Times New Roman" w:eastAsia="宋体" w:cs="Times New Roman"/>
          <w:sz w:val="24"/>
        </w:rPr>
        <w:t>机柜样式</w:t>
      </w:r>
      <w:r>
        <w:rPr>
          <w:rFonts w:hint="eastAsia" w:ascii="Times New Roman" w:hAnsi="Times New Roman" w:eastAsia="宋体" w:cs="Times New Roman"/>
          <w:sz w:val="24"/>
          <w:lang w:val="en-US" w:eastAsia="zh-CN"/>
        </w:rPr>
        <w:t>示意</w:t>
      </w:r>
    </w:p>
    <w:p w14:paraId="72CE6373">
      <w:pPr>
        <w:keepNext w:val="0"/>
        <w:keepLines w:val="0"/>
        <w:pageBreakBefore w:val="0"/>
        <w:widowControl w:val="0"/>
        <w:kinsoku/>
        <w:overflowPunct/>
        <w:topLinePunct w:val="0"/>
        <w:bidi w:val="0"/>
        <w:adjustRightInd w:val="0"/>
        <w:snapToGrid w:val="0"/>
        <w:spacing w:afterAutospacing="0" w:line="360" w:lineRule="auto"/>
        <w:ind w:left="735" w:firstLine="0" w:firstLineChars="0"/>
        <w:jc w:val="both"/>
        <w:rPr>
          <w:rFonts w:ascii="Times New Roman" w:hAnsi="Times New Roman" w:eastAsia="宋体" w:cs="Times New Roman"/>
          <w:kern w:val="2"/>
          <w:sz w:val="21"/>
          <w:szCs w:val="24"/>
          <w:lang w:val="en-US" w:eastAsia="zh-CN" w:bidi="ar-SA"/>
        </w:rPr>
      </w:pPr>
    </w:p>
    <w:p w14:paraId="51DC4A9A">
      <w:pPr>
        <w:keepNext w:val="0"/>
        <w:keepLines w:val="0"/>
        <w:pageBreakBefore w:val="0"/>
        <w:widowControl w:val="0"/>
        <w:kinsoku/>
        <w:overflowPunct/>
        <w:topLinePunct w:val="0"/>
        <w:bidi w:val="0"/>
        <w:adjustRightInd w:val="0"/>
        <w:snapToGrid w:val="0"/>
        <w:spacing w:afterAutospacing="0" w:line="360" w:lineRule="auto"/>
        <w:ind w:left="735" w:firstLine="0" w:firstLineChars="0"/>
        <w:jc w:val="both"/>
        <w:rPr>
          <w:rFonts w:hint="eastAsia" w:ascii="Times New Roman" w:hAnsi="Times New Roman" w:eastAsia="宋体" w:cs="Times New Roman"/>
          <w:kern w:val="2"/>
          <w:sz w:val="21"/>
          <w:szCs w:val="24"/>
          <w:lang w:val="en-US" w:eastAsia="zh-CN" w:bidi="ar-SA"/>
        </w:rPr>
      </w:pPr>
      <w:r>
        <w:rPr>
          <w:rFonts w:ascii="宋体" w:hAnsi="宋体" w:eastAsia="宋体" w:cs="宋体"/>
          <w:sz w:val="24"/>
        </w:rPr>
        <w:drawing>
          <wp:anchor distT="0" distB="0" distL="0" distR="0" simplePos="0" relativeHeight="251673600" behindDoc="0" locked="0" layoutInCell="1" allowOverlap="1">
            <wp:simplePos x="0" y="0"/>
            <wp:positionH relativeFrom="column">
              <wp:posOffset>1333500</wp:posOffset>
            </wp:positionH>
            <wp:positionV relativeFrom="paragraph">
              <wp:posOffset>118745</wp:posOffset>
            </wp:positionV>
            <wp:extent cx="3375025" cy="2211070"/>
            <wp:effectExtent l="0" t="0" r="6350" b="8255"/>
            <wp:wrapNone/>
            <wp:docPr id="129" name="图片 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2" descr="图示&#10;&#10;描述已自动生成"/>
                    <pic:cNvPicPr>
                      <a:picLocks noChangeAspect="1" noChangeArrowheads="1"/>
                    </pic:cNvPicPr>
                  </pic:nvPicPr>
                  <pic:blipFill>
                    <a:blip r:embed="rId68" cstate="print"/>
                    <a:srcRect/>
                    <a:stretch>
                      <a:fillRect/>
                    </a:stretch>
                  </pic:blipFill>
                  <pic:spPr>
                    <a:xfrm>
                      <a:off x="0" y="0"/>
                      <a:ext cx="3375025" cy="2211070"/>
                    </a:xfrm>
                    <a:prstGeom prst="rect">
                      <a:avLst/>
                    </a:prstGeom>
                    <a:noFill/>
                    <a:ln w="9525">
                      <a:noFill/>
                      <a:miter lim="800000"/>
                      <a:headEnd/>
                      <a:tailEnd/>
                    </a:ln>
                  </pic:spPr>
                </pic:pic>
              </a:graphicData>
            </a:graphic>
          </wp:anchor>
        </w:drawing>
      </w:r>
    </w:p>
    <w:p w14:paraId="6AADA82D">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2754A0E9">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2DF69351">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06E3B468">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7F157B38">
      <w:pPr>
        <w:keepNext w:val="0"/>
        <w:keepLines w:val="0"/>
        <w:pageBreakBefore w:val="0"/>
        <w:widowControl w:val="0"/>
        <w:kinsoku/>
        <w:overflowPunct/>
        <w:topLinePunct w:val="0"/>
        <w:bidi w:val="0"/>
        <w:adjustRightInd w:val="0"/>
        <w:snapToGrid w:val="0"/>
        <w:spacing w:afterAutospacing="0" w:line="360" w:lineRule="auto"/>
        <w:ind w:firstLine="480" w:firstLineChars="200"/>
        <w:jc w:val="center"/>
        <w:rPr>
          <w:rFonts w:ascii="宋体" w:hAnsi="宋体" w:eastAsia="宋体" w:cs="宋体"/>
          <w:sz w:val="24"/>
        </w:rPr>
      </w:pPr>
    </w:p>
    <w:p w14:paraId="54D9424E">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p>
    <w:p w14:paraId="75FC7B6A">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rPr>
      </w:pPr>
    </w:p>
    <w:p w14:paraId="6E178F2B">
      <w:pPr>
        <w:keepNext w:val="0"/>
        <w:keepLines w:val="0"/>
        <w:pageBreakBefore w:val="0"/>
        <w:kinsoku/>
        <w:overflowPunct/>
        <w:topLinePunct w:val="0"/>
        <w:bidi w:val="0"/>
        <w:adjustRightInd w:val="0"/>
        <w:snapToGrid w:val="0"/>
        <w:spacing w:afterAutospacing="0" w:line="360" w:lineRule="auto"/>
        <w:rPr>
          <w:rFonts w:hint="eastAsia" w:ascii="宋体" w:hAnsi="宋体" w:eastAsia="宋体" w:cs="Times New Roman"/>
          <w:sz w:val="24"/>
          <w:szCs w:val="20"/>
        </w:rPr>
      </w:pPr>
    </w:p>
    <w:p w14:paraId="1DF3E2D9">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技术参数</w:t>
      </w:r>
      <w:bookmarkEnd w:id="353"/>
      <w:bookmarkEnd w:id="354"/>
    </w:p>
    <w:p w14:paraId="0AAA2F7E">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color w:val="FF0000"/>
          <w:sz w:val="24"/>
        </w:rPr>
      </w:pPr>
      <w:r>
        <w:rPr>
          <w:rFonts w:ascii="Times New Roman" w:hAnsi="Times New Roman" w:eastAsia="宋体" w:cs="Times New Roman"/>
          <w:sz w:val="24"/>
        </w:rPr>
        <w:t>主要参数如下：</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6"/>
        <w:gridCol w:w="916"/>
        <w:gridCol w:w="1528"/>
        <w:gridCol w:w="6652"/>
      </w:tblGrid>
      <w:tr w14:paraId="76FE6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000" w:type="pct"/>
            <w:gridSpan w:val="4"/>
            <w:shd w:val="clear" w:color="auto" w:fill="auto"/>
            <w:noWrap/>
            <w:tcMar>
              <w:top w:w="12" w:type="dxa"/>
              <w:left w:w="12" w:type="dxa"/>
              <w:right w:w="12" w:type="dxa"/>
            </w:tcMar>
            <w:vAlign w:val="center"/>
          </w:tcPr>
          <w:p w14:paraId="7119D350">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sz w:val="24"/>
                <w:szCs w:val="24"/>
              </w:rPr>
              <w:t>绝缘耐压测试仪</w:t>
            </w:r>
          </w:p>
        </w:tc>
      </w:tr>
      <w:tr w14:paraId="262E6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shd w:val="clear" w:color="auto" w:fill="auto"/>
            <w:noWrap/>
            <w:tcMar>
              <w:top w:w="12" w:type="dxa"/>
              <w:left w:w="12" w:type="dxa"/>
              <w:right w:w="12" w:type="dxa"/>
            </w:tcMar>
            <w:vAlign w:val="center"/>
          </w:tcPr>
          <w:p w14:paraId="6401911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shd w:val="clear" w:color="auto" w:fill="auto"/>
            <w:noWrap/>
            <w:tcMar>
              <w:top w:w="12" w:type="dxa"/>
              <w:left w:w="12" w:type="dxa"/>
              <w:right w:w="12" w:type="dxa"/>
            </w:tcMar>
            <w:vAlign w:val="center"/>
          </w:tcPr>
          <w:p w14:paraId="77F92C0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测试功能</w:t>
            </w:r>
          </w:p>
        </w:tc>
        <w:tc>
          <w:tcPr>
            <w:tcW w:w="4320" w:type="pct"/>
            <w:gridSpan w:val="2"/>
            <w:shd w:val="clear" w:color="auto" w:fill="auto"/>
            <w:noWrap/>
            <w:tcMar>
              <w:top w:w="12" w:type="dxa"/>
              <w:left w:w="12" w:type="dxa"/>
              <w:right w:w="12" w:type="dxa"/>
            </w:tcMar>
            <w:vAlign w:val="center"/>
          </w:tcPr>
          <w:p w14:paraId="18778DF9">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规格参数</w:t>
            </w:r>
          </w:p>
        </w:tc>
      </w:tr>
      <w:tr w14:paraId="5B028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restart"/>
            <w:shd w:val="clear" w:color="auto" w:fill="auto"/>
            <w:tcMar>
              <w:top w:w="12" w:type="dxa"/>
              <w:left w:w="12" w:type="dxa"/>
              <w:right w:w="12" w:type="dxa"/>
            </w:tcMar>
            <w:vAlign w:val="center"/>
          </w:tcPr>
          <w:p w14:paraId="3B21900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交流</w:t>
            </w:r>
          </w:p>
          <w:p w14:paraId="3BBD2CD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耐压</w:t>
            </w:r>
          </w:p>
          <w:p w14:paraId="1363ECD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测试</w:t>
            </w:r>
          </w:p>
        </w:tc>
        <w:tc>
          <w:tcPr>
            <w:tcW w:w="484" w:type="pct"/>
            <w:shd w:val="clear" w:color="auto" w:fill="auto"/>
            <w:noWrap/>
            <w:tcMar>
              <w:top w:w="12" w:type="dxa"/>
              <w:left w:w="12" w:type="dxa"/>
              <w:right w:w="12" w:type="dxa"/>
            </w:tcMar>
            <w:vAlign w:val="center"/>
          </w:tcPr>
          <w:p w14:paraId="199137E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输出电压设置</w:t>
            </w:r>
          </w:p>
        </w:tc>
        <w:tc>
          <w:tcPr>
            <w:tcW w:w="806" w:type="pct"/>
            <w:shd w:val="clear" w:color="auto" w:fill="auto"/>
            <w:noWrap/>
            <w:tcMar>
              <w:top w:w="12" w:type="dxa"/>
              <w:left w:w="12" w:type="dxa"/>
              <w:right w:w="12" w:type="dxa"/>
            </w:tcMar>
            <w:vAlign w:val="center"/>
          </w:tcPr>
          <w:p w14:paraId="53305504">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30FB597A">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100~5000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V</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1V</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±(1%x设定值+5V)</w:t>
            </w:r>
          </w:p>
        </w:tc>
      </w:tr>
      <w:tr w14:paraId="44410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6EEC529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shd w:val="clear" w:color="auto" w:fill="auto"/>
            <w:noWrap/>
            <w:tcMar>
              <w:top w:w="12" w:type="dxa"/>
              <w:left w:w="12" w:type="dxa"/>
              <w:right w:w="12" w:type="dxa"/>
            </w:tcMar>
            <w:vAlign w:val="center"/>
          </w:tcPr>
          <w:p w14:paraId="7531926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输出频率设置</w:t>
            </w:r>
          </w:p>
        </w:tc>
        <w:tc>
          <w:tcPr>
            <w:tcW w:w="806" w:type="pct"/>
            <w:shd w:val="clear" w:color="auto" w:fill="auto"/>
            <w:noWrap/>
            <w:tcMar>
              <w:top w:w="12" w:type="dxa"/>
              <w:left w:w="12" w:type="dxa"/>
              <w:right w:w="12" w:type="dxa"/>
            </w:tcMar>
            <w:vAlign w:val="center"/>
          </w:tcPr>
          <w:p w14:paraId="254D2BD6">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0CA6C13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ascii="宋体" w:hAnsi="宋体" w:eastAsia="宋体" w:cs="宋体"/>
                <w:color w:val="000000"/>
                <w:kern w:val="0"/>
                <w:sz w:val="24"/>
                <w:szCs w:val="24"/>
                <w:lang w:bidi="ar"/>
              </w:rPr>
              <w:t>50Hz/60Hz</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+0.1Hz</w:t>
            </w:r>
          </w:p>
        </w:tc>
      </w:tr>
      <w:tr w14:paraId="11D97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7EAC925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restart"/>
            <w:shd w:val="clear" w:color="auto" w:fill="auto"/>
            <w:noWrap/>
            <w:tcMar>
              <w:top w:w="12" w:type="dxa"/>
              <w:left w:w="12" w:type="dxa"/>
              <w:right w:w="12" w:type="dxa"/>
            </w:tcMar>
            <w:vAlign w:val="center"/>
          </w:tcPr>
          <w:p w14:paraId="246C0822">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报警电流设置</w:t>
            </w:r>
          </w:p>
        </w:tc>
        <w:tc>
          <w:tcPr>
            <w:tcW w:w="806" w:type="pct"/>
            <w:shd w:val="clear" w:color="auto" w:fill="auto"/>
            <w:noWrap/>
            <w:tcMar>
              <w:top w:w="12" w:type="dxa"/>
              <w:left w:w="12" w:type="dxa"/>
              <w:right w:w="12" w:type="dxa"/>
            </w:tcMar>
            <w:vAlign w:val="center"/>
          </w:tcPr>
          <w:p w14:paraId="35A17191">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上限范围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2D142D9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0.00~20.00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mA</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0.01mA</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1%x读数值+5个字</w:t>
            </w:r>
            <w:r>
              <w:rPr>
                <w:rFonts w:hint="eastAsia" w:ascii="宋体" w:hAnsi="宋体" w:eastAsia="宋体" w:cs="宋体"/>
                <w:color w:val="000000"/>
                <w:kern w:val="0"/>
                <w:sz w:val="24"/>
                <w:szCs w:val="24"/>
                <w:lang w:eastAsia="zh-CN" w:bidi="ar"/>
              </w:rPr>
              <w:t>）</w:t>
            </w:r>
          </w:p>
        </w:tc>
      </w:tr>
      <w:tr w14:paraId="1FB05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678B1DC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2FAA59E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0B93E08A">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下限范围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437015DB">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0.000~9.999</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mA</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0.001mA</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1%x读数值+5个字</w:t>
            </w:r>
            <w:r>
              <w:rPr>
                <w:rFonts w:hint="eastAsia" w:ascii="宋体" w:hAnsi="宋体" w:eastAsia="宋体" w:cs="宋体"/>
                <w:color w:val="000000"/>
                <w:kern w:val="0"/>
                <w:sz w:val="24"/>
                <w:szCs w:val="24"/>
                <w:lang w:eastAsia="zh-CN" w:bidi="ar"/>
              </w:rPr>
              <w:t>）</w:t>
            </w:r>
          </w:p>
        </w:tc>
      </w:tr>
      <w:tr w14:paraId="0DFAF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54E62FA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restart"/>
            <w:shd w:val="clear" w:color="auto" w:fill="auto"/>
            <w:noWrap/>
            <w:tcMar>
              <w:top w:w="12" w:type="dxa"/>
              <w:left w:w="12" w:type="dxa"/>
              <w:right w:w="12" w:type="dxa"/>
            </w:tcMar>
            <w:vAlign w:val="center"/>
          </w:tcPr>
          <w:p w14:paraId="466F41E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时间设置</w:t>
            </w:r>
          </w:p>
        </w:tc>
        <w:tc>
          <w:tcPr>
            <w:tcW w:w="806" w:type="pct"/>
            <w:shd w:val="clear" w:color="auto" w:fill="auto"/>
            <w:noWrap/>
            <w:tcMar>
              <w:top w:w="12" w:type="dxa"/>
              <w:left w:w="12" w:type="dxa"/>
              <w:right w:w="12" w:type="dxa"/>
            </w:tcMar>
            <w:vAlign w:val="center"/>
          </w:tcPr>
          <w:p w14:paraId="16B1121F">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测试时间范围</w:t>
            </w:r>
          </w:p>
        </w:tc>
        <w:tc>
          <w:tcPr>
            <w:tcW w:w="3514" w:type="pct"/>
            <w:shd w:val="clear" w:color="auto" w:fill="auto"/>
            <w:noWrap/>
            <w:tcMar>
              <w:top w:w="12" w:type="dxa"/>
              <w:left w:w="12" w:type="dxa"/>
              <w:right w:w="12" w:type="dxa"/>
            </w:tcMar>
            <w:vAlign w:val="center"/>
          </w:tcPr>
          <w:p w14:paraId="0BC5C51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0,(0.5~999.9)s,0 </w:t>
            </w:r>
            <w:r>
              <w:rPr>
                <w:rFonts w:hint="eastAsia" w:ascii="宋体" w:hAnsi="宋体" w:eastAsia="宋体" w:cs="宋体"/>
                <w:color w:val="000000"/>
                <w:kern w:val="0"/>
                <w:sz w:val="24"/>
                <w:szCs w:val="24"/>
                <w:lang w:bidi="ar"/>
              </w:rPr>
              <w:t>为无限长，分辨力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73977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6C64E04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12908B5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1128CAA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缓升时间范围</w:t>
            </w:r>
          </w:p>
        </w:tc>
        <w:tc>
          <w:tcPr>
            <w:tcW w:w="3514" w:type="pct"/>
            <w:shd w:val="clear" w:color="auto" w:fill="auto"/>
            <w:noWrap/>
            <w:tcMar>
              <w:top w:w="12" w:type="dxa"/>
              <w:left w:w="12" w:type="dxa"/>
              <w:right w:w="12" w:type="dxa"/>
            </w:tcMar>
            <w:vAlign w:val="center"/>
          </w:tcPr>
          <w:p w14:paraId="304F7A16">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0,(0.1~999.9)s,0 </w:t>
            </w:r>
            <w:r>
              <w:rPr>
                <w:rFonts w:hint="eastAsia" w:ascii="宋体" w:hAnsi="宋体" w:eastAsia="宋体" w:cs="宋体"/>
                <w:color w:val="000000"/>
                <w:kern w:val="0"/>
                <w:sz w:val="24"/>
                <w:szCs w:val="24"/>
                <w:lang w:bidi="ar"/>
              </w:rPr>
              <w:t>为关闭，分辨力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4A229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353C9F3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3EF9DA8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6CA99222">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缓降时间范围</w:t>
            </w:r>
          </w:p>
        </w:tc>
        <w:tc>
          <w:tcPr>
            <w:tcW w:w="3514" w:type="pct"/>
            <w:shd w:val="clear" w:color="auto" w:fill="auto"/>
            <w:noWrap/>
            <w:tcMar>
              <w:top w:w="12" w:type="dxa"/>
              <w:left w:w="12" w:type="dxa"/>
              <w:right w:w="12" w:type="dxa"/>
            </w:tcMar>
            <w:vAlign w:val="center"/>
          </w:tcPr>
          <w:p w14:paraId="32417180">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0,(0.1~999.9)s,0 </w:t>
            </w:r>
            <w:r>
              <w:rPr>
                <w:rFonts w:hint="eastAsia" w:ascii="宋体" w:hAnsi="宋体" w:eastAsia="宋体" w:cs="宋体"/>
                <w:color w:val="000000"/>
                <w:kern w:val="0"/>
                <w:sz w:val="24"/>
                <w:szCs w:val="24"/>
                <w:lang w:bidi="ar"/>
              </w:rPr>
              <w:t>为关闭，分辨力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5C8B9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4632F47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1291" w:type="pct"/>
            <w:gridSpan w:val="2"/>
            <w:shd w:val="clear" w:color="auto" w:fill="auto"/>
            <w:noWrap/>
            <w:tcMar>
              <w:top w:w="12" w:type="dxa"/>
              <w:left w:w="12" w:type="dxa"/>
              <w:right w:w="12" w:type="dxa"/>
            </w:tcMar>
            <w:vAlign w:val="center"/>
          </w:tcPr>
          <w:p w14:paraId="291C0151">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电弧侦测</w:t>
            </w:r>
          </w:p>
        </w:tc>
        <w:tc>
          <w:tcPr>
            <w:tcW w:w="3514" w:type="pct"/>
            <w:shd w:val="clear" w:color="auto" w:fill="auto"/>
            <w:noWrap/>
            <w:tcMar>
              <w:top w:w="12" w:type="dxa"/>
              <w:left w:w="12" w:type="dxa"/>
              <w:right w:w="12" w:type="dxa"/>
            </w:tcMar>
            <w:vAlign w:val="center"/>
          </w:tcPr>
          <w:p w14:paraId="20CDC9BF">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ascii="宋体" w:hAnsi="宋体" w:eastAsia="宋体" w:cs="宋体"/>
                <w:color w:val="000000"/>
                <w:kern w:val="0"/>
                <w:sz w:val="24"/>
                <w:szCs w:val="24"/>
                <w:lang w:bidi="ar"/>
              </w:rPr>
              <w:t>1~9</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9 </w:t>
            </w:r>
            <w:r>
              <w:rPr>
                <w:rFonts w:hint="eastAsia" w:ascii="宋体" w:hAnsi="宋体" w:eastAsia="宋体" w:cs="宋体"/>
                <w:color w:val="000000"/>
                <w:kern w:val="0"/>
                <w:sz w:val="24"/>
                <w:szCs w:val="24"/>
                <w:lang w:bidi="ar"/>
              </w:rPr>
              <w:t>最灵敏</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 </w:t>
            </w:r>
            <w:r>
              <w:rPr>
                <w:rFonts w:hint="eastAsia" w:ascii="宋体" w:hAnsi="宋体" w:eastAsia="宋体" w:cs="宋体"/>
                <w:color w:val="000000"/>
                <w:kern w:val="0"/>
                <w:sz w:val="24"/>
                <w:szCs w:val="24"/>
                <w:lang w:bidi="ar"/>
              </w:rPr>
              <w:t>表示关电弧功能</w:t>
            </w:r>
          </w:p>
        </w:tc>
      </w:tr>
      <w:tr w14:paraId="1F359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restart"/>
            <w:shd w:val="clear" w:color="auto" w:fill="auto"/>
            <w:tcMar>
              <w:top w:w="12" w:type="dxa"/>
              <w:left w:w="12" w:type="dxa"/>
              <w:right w:w="12" w:type="dxa"/>
            </w:tcMar>
            <w:vAlign w:val="center"/>
          </w:tcPr>
          <w:p w14:paraId="44B7D227">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直流</w:t>
            </w:r>
          </w:p>
          <w:p w14:paraId="1E54DC2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耐压</w:t>
            </w:r>
          </w:p>
          <w:p w14:paraId="36094C7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测试</w:t>
            </w:r>
          </w:p>
        </w:tc>
        <w:tc>
          <w:tcPr>
            <w:tcW w:w="1291" w:type="pct"/>
            <w:gridSpan w:val="2"/>
            <w:shd w:val="clear" w:color="auto" w:fill="auto"/>
            <w:noWrap/>
            <w:tcMar>
              <w:top w:w="12" w:type="dxa"/>
              <w:left w:w="12" w:type="dxa"/>
              <w:right w:w="12" w:type="dxa"/>
            </w:tcMar>
            <w:vAlign w:val="center"/>
          </w:tcPr>
          <w:p w14:paraId="6E4B38DA">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额定输出</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容量</w:t>
            </w:r>
            <w:r>
              <w:rPr>
                <w:rFonts w:hint="eastAsia" w:ascii="宋体" w:hAnsi="宋体" w:eastAsia="宋体" w:cs="宋体"/>
                <w:color w:val="000000"/>
                <w:kern w:val="0"/>
                <w:sz w:val="24"/>
                <w:szCs w:val="24"/>
                <w:lang w:eastAsia="zh-CN" w:bidi="ar"/>
              </w:rPr>
              <w:t>）</w:t>
            </w:r>
          </w:p>
        </w:tc>
        <w:tc>
          <w:tcPr>
            <w:tcW w:w="3514" w:type="pct"/>
            <w:shd w:val="clear" w:color="auto" w:fill="auto"/>
            <w:noWrap/>
            <w:tcMar>
              <w:top w:w="12" w:type="dxa"/>
              <w:left w:w="12" w:type="dxa"/>
              <w:right w:w="12" w:type="dxa"/>
            </w:tcMar>
            <w:vAlign w:val="center"/>
          </w:tcPr>
          <w:p w14:paraId="3DCF3187">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ascii="宋体" w:hAnsi="宋体" w:eastAsia="宋体" w:cs="宋体"/>
                <w:color w:val="000000"/>
                <w:kern w:val="0"/>
                <w:sz w:val="24"/>
                <w:szCs w:val="24"/>
                <w:lang w:bidi="ar"/>
              </w:rPr>
              <w:t>60VA (6kV/10mA)</w:t>
            </w:r>
          </w:p>
        </w:tc>
      </w:tr>
      <w:tr w14:paraId="1C063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0092B11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shd w:val="clear" w:color="auto" w:fill="auto"/>
            <w:noWrap/>
            <w:tcMar>
              <w:top w:w="12" w:type="dxa"/>
              <w:left w:w="12" w:type="dxa"/>
              <w:right w:w="12" w:type="dxa"/>
            </w:tcMar>
            <w:vAlign w:val="center"/>
          </w:tcPr>
          <w:p w14:paraId="1493EE45">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输出电压设置</w:t>
            </w:r>
          </w:p>
        </w:tc>
        <w:tc>
          <w:tcPr>
            <w:tcW w:w="806" w:type="pct"/>
            <w:shd w:val="clear" w:color="auto" w:fill="auto"/>
            <w:noWrap/>
            <w:tcMar>
              <w:top w:w="12" w:type="dxa"/>
              <w:left w:w="12" w:type="dxa"/>
              <w:right w:w="12" w:type="dxa"/>
            </w:tcMar>
            <w:vAlign w:val="center"/>
          </w:tcPr>
          <w:p w14:paraId="67C3FF41">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1DCDF17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100-6000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Vde</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1v</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±(1%x设定值+5V)</w:t>
            </w:r>
          </w:p>
        </w:tc>
      </w:tr>
      <w:tr w14:paraId="5A350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4E0DEBA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restart"/>
            <w:shd w:val="clear" w:color="auto" w:fill="auto"/>
            <w:noWrap/>
            <w:tcMar>
              <w:top w:w="12" w:type="dxa"/>
              <w:left w:w="12" w:type="dxa"/>
              <w:right w:w="12" w:type="dxa"/>
            </w:tcMar>
            <w:vAlign w:val="center"/>
          </w:tcPr>
          <w:p w14:paraId="6D920877">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报警电流设置</w:t>
            </w:r>
          </w:p>
        </w:tc>
        <w:tc>
          <w:tcPr>
            <w:tcW w:w="806" w:type="pct"/>
            <w:shd w:val="clear" w:color="auto" w:fill="auto"/>
            <w:noWrap/>
            <w:tcMar>
              <w:top w:w="12" w:type="dxa"/>
              <w:left w:w="12" w:type="dxa"/>
              <w:right w:w="12" w:type="dxa"/>
            </w:tcMar>
            <w:vAlign w:val="center"/>
          </w:tcPr>
          <w:p w14:paraId="63FB50F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上限范围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674FC934">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0.0~10000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uA</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0.1uA/1uA，允许误差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1%x读数值+5个字</w:t>
            </w:r>
            <w:r>
              <w:rPr>
                <w:rFonts w:hint="eastAsia" w:ascii="宋体" w:hAnsi="宋体" w:eastAsia="宋体" w:cs="宋体"/>
                <w:color w:val="000000"/>
                <w:kern w:val="0"/>
                <w:sz w:val="24"/>
                <w:szCs w:val="24"/>
                <w:lang w:eastAsia="zh-CN" w:bidi="ar"/>
              </w:rPr>
              <w:t>）</w:t>
            </w:r>
          </w:p>
        </w:tc>
      </w:tr>
      <w:tr w14:paraId="57C87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332E5CF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0FCA322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62B17886">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下限范围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56C453A1">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0.0-999.9</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uA</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0.1uA，允许误差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1%x </w:t>
            </w:r>
            <w:r>
              <w:rPr>
                <w:rFonts w:hint="eastAsia" w:ascii="宋体" w:hAnsi="宋体" w:eastAsia="宋体" w:cs="宋体"/>
                <w:color w:val="000000"/>
                <w:kern w:val="0"/>
                <w:sz w:val="24"/>
                <w:szCs w:val="24"/>
                <w:lang w:bidi="ar"/>
              </w:rPr>
              <w:t>读数值</w:t>
            </w:r>
            <w:r>
              <w:rPr>
                <w:rFonts w:ascii="宋体" w:hAnsi="宋体" w:eastAsia="宋体" w:cs="宋体"/>
                <w:color w:val="000000"/>
                <w:kern w:val="0"/>
                <w:sz w:val="24"/>
                <w:szCs w:val="24"/>
                <w:lang w:bidi="ar"/>
              </w:rPr>
              <w:t xml:space="preserve">+5 </w:t>
            </w:r>
            <w:r>
              <w:rPr>
                <w:rFonts w:hint="eastAsia" w:ascii="宋体" w:hAnsi="宋体" w:eastAsia="宋体" w:cs="宋体"/>
                <w:color w:val="000000"/>
                <w:kern w:val="0"/>
                <w:sz w:val="24"/>
                <w:szCs w:val="24"/>
                <w:lang w:bidi="ar"/>
              </w:rPr>
              <w:t>个字</w:t>
            </w:r>
            <w:r>
              <w:rPr>
                <w:rFonts w:hint="eastAsia" w:ascii="宋体" w:hAnsi="宋体" w:eastAsia="宋体" w:cs="宋体"/>
                <w:color w:val="000000"/>
                <w:kern w:val="0"/>
                <w:sz w:val="24"/>
                <w:szCs w:val="24"/>
                <w:lang w:eastAsia="zh-CN" w:bidi="ar"/>
              </w:rPr>
              <w:t>）</w:t>
            </w:r>
          </w:p>
        </w:tc>
      </w:tr>
      <w:tr w14:paraId="2D80C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70AAF97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restart"/>
            <w:shd w:val="clear" w:color="auto" w:fill="auto"/>
            <w:noWrap/>
            <w:tcMar>
              <w:top w:w="12" w:type="dxa"/>
              <w:left w:w="12" w:type="dxa"/>
              <w:right w:w="12" w:type="dxa"/>
            </w:tcMar>
            <w:vAlign w:val="center"/>
          </w:tcPr>
          <w:p w14:paraId="25D7E5E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时间设置</w:t>
            </w:r>
          </w:p>
        </w:tc>
        <w:tc>
          <w:tcPr>
            <w:tcW w:w="806" w:type="pct"/>
            <w:shd w:val="clear" w:color="auto" w:fill="auto"/>
            <w:noWrap/>
            <w:tcMar>
              <w:top w:w="12" w:type="dxa"/>
              <w:left w:w="12" w:type="dxa"/>
              <w:right w:w="12" w:type="dxa"/>
            </w:tcMar>
            <w:vAlign w:val="center"/>
          </w:tcPr>
          <w:p w14:paraId="75FC9C9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测试时间范围</w:t>
            </w:r>
          </w:p>
        </w:tc>
        <w:tc>
          <w:tcPr>
            <w:tcW w:w="3514" w:type="pct"/>
            <w:shd w:val="clear" w:color="auto" w:fill="auto"/>
            <w:noWrap/>
            <w:tcMar>
              <w:top w:w="12" w:type="dxa"/>
              <w:left w:w="12" w:type="dxa"/>
              <w:right w:w="12" w:type="dxa"/>
            </w:tcMar>
            <w:vAlign w:val="center"/>
          </w:tcPr>
          <w:p w14:paraId="13FD6A67">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0,(0.5~999.9)s,0 </w:t>
            </w:r>
            <w:r>
              <w:rPr>
                <w:rFonts w:hint="eastAsia" w:ascii="宋体" w:hAnsi="宋体" w:eastAsia="宋体" w:cs="宋体"/>
                <w:color w:val="000000"/>
                <w:kern w:val="0"/>
                <w:sz w:val="24"/>
                <w:szCs w:val="24"/>
                <w:lang w:bidi="ar"/>
              </w:rPr>
              <w:t>为无限长</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27647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3F57239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2CC7AA4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6279519B">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缓升时间范围</w:t>
            </w:r>
          </w:p>
        </w:tc>
        <w:tc>
          <w:tcPr>
            <w:tcW w:w="3514" w:type="pct"/>
            <w:shd w:val="clear" w:color="auto" w:fill="auto"/>
            <w:noWrap/>
            <w:tcMar>
              <w:top w:w="12" w:type="dxa"/>
              <w:left w:w="12" w:type="dxa"/>
              <w:right w:w="12" w:type="dxa"/>
            </w:tcMar>
            <w:vAlign w:val="center"/>
          </w:tcPr>
          <w:p w14:paraId="521C437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0,(0.4~999.9)s.0 </w:t>
            </w:r>
            <w:r>
              <w:rPr>
                <w:rFonts w:hint="eastAsia" w:ascii="宋体" w:hAnsi="宋体" w:eastAsia="宋体" w:cs="宋体"/>
                <w:color w:val="000000"/>
                <w:kern w:val="0"/>
                <w:sz w:val="24"/>
                <w:szCs w:val="24"/>
                <w:lang w:bidi="ar"/>
              </w:rPr>
              <w:t>为关闭</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1E9B4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5BE5EB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66BBBA4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460C233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缓降时间范围</w:t>
            </w:r>
          </w:p>
        </w:tc>
        <w:tc>
          <w:tcPr>
            <w:tcW w:w="3514" w:type="pct"/>
            <w:shd w:val="clear" w:color="auto" w:fill="auto"/>
            <w:noWrap/>
            <w:tcMar>
              <w:top w:w="12" w:type="dxa"/>
              <w:left w:w="12" w:type="dxa"/>
              <w:right w:w="12" w:type="dxa"/>
            </w:tcMar>
            <w:vAlign w:val="center"/>
          </w:tcPr>
          <w:p w14:paraId="67BB1599">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0,(1~999.9)s,0 </w:t>
            </w:r>
            <w:r>
              <w:rPr>
                <w:rFonts w:hint="eastAsia" w:ascii="宋体" w:hAnsi="宋体" w:eastAsia="宋体" w:cs="宋体"/>
                <w:color w:val="000000"/>
                <w:kern w:val="0"/>
                <w:sz w:val="24"/>
                <w:szCs w:val="24"/>
                <w:lang w:bidi="ar"/>
              </w:rPr>
              <w:t>为关闭</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6C53D9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744B2AD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1291" w:type="pct"/>
            <w:gridSpan w:val="2"/>
            <w:shd w:val="clear" w:color="auto" w:fill="auto"/>
            <w:noWrap/>
            <w:tcMar>
              <w:top w:w="12" w:type="dxa"/>
              <w:left w:w="12" w:type="dxa"/>
              <w:right w:w="12" w:type="dxa"/>
            </w:tcMar>
            <w:vAlign w:val="center"/>
          </w:tcPr>
          <w:p w14:paraId="2FF21B2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电弧侦测</w:t>
            </w:r>
          </w:p>
        </w:tc>
        <w:tc>
          <w:tcPr>
            <w:tcW w:w="3514" w:type="pct"/>
            <w:shd w:val="clear" w:color="auto" w:fill="auto"/>
            <w:noWrap/>
            <w:tcMar>
              <w:top w:w="12" w:type="dxa"/>
              <w:left w:w="12" w:type="dxa"/>
              <w:right w:w="12" w:type="dxa"/>
            </w:tcMar>
            <w:vAlign w:val="center"/>
          </w:tcPr>
          <w:p w14:paraId="6E9A679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ascii="宋体" w:hAnsi="宋体" w:eastAsia="宋体" w:cs="宋体"/>
                <w:color w:val="000000"/>
                <w:kern w:val="0"/>
                <w:sz w:val="24"/>
                <w:szCs w:val="24"/>
                <w:lang w:bidi="ar"/>
              </w:rPr>
              <w:t>1-9</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9 </w:t>
            </w:r>
            <w:r>
              <w:rPr>
                <w:rFonts w:hint="eastAsia" w:ascii="宋体" w:hAnsi="宋体" w:eastAsia="宋体" w:cs="宋体"/>
                <w:color w:val="000000"/>
                <w:kern w:val="0"/>
                <w:sz w:val="24"/>
                <w:szCs w:val="24"/>
                <w:lang w:bidi="ar"/>
              </w:rPr>
              <w:t>最灵敏</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,0表示关电弧功能</w:t>
            </w:r>
          </w:p>
        </w:tc>
      </w:tr>
      <w:tr w14:paraId="7FE1B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restart"/>
            <w:shd w:val="clear" w:color="auto" w:fill="auto"/>
            <w:tcMar>
              <w:top w:w="12" w:type="dxa"/>
              <w:left w:w="12" w:type="dxa"/>
              <w:right w:w="12" w:type="dxa"/>
            </w:tcMar>
            <w:vAlign w:val="center"/>
          </w:tcPr>
          <w:p w14:paraId="0EBB48E2">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绝缘</w:t>
            </w:r>
          </w:p>
          <w:p w14:paraId="7979E9D9">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电阻</w:t>
            </w:r>
          </w:p>
          <w:p w14:paraId="430DA5DE">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测试</w:t>
            </w:r>
          </w:p>
        </w:tc>
        <w:tc>
          <w:tcPr>
            <w:tcW w:w="1291" w:type="pct"/>
            <w:gridSpan w:val="2"/>
            <w:shd w:val="clear" w:color="auto" w:fill="auto"/>
            <w:noWrap/>
            <w:tcMar>
              <w:top w:w="12" w:type="dxa"/>
              <w:left w:w="12" w:type="dxa"/>
              <w:right w:w="12" w:type="dxa"/>
            </w:tcMar>
            <w:vAlign w:val="center"/>
          </w:tcPr>
          <w:p w14:paraId="6B81F40E">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额定输出</w:t>
            </w:r>
          </w:p>
        </w:tc>
        <w:tc>
          <w:tcPr>
            <w:tcW w:w="3514" w:type="pct"/>
            <w:shd w:val="clear" w:color="auto" w:fill="auto"/>
            <w:noWrap/>
            <w:tcMar>
              <w:top w:w="12" w:type="dxa"/>
              <w:left w:w="12" w:type="dxa"/>
              <w:right w:w="12" w:type="dxa"/>
            </w:tcMar>
            <w:vAlign w:val="center"/>
          </w:tcPr>
          <w:p w14:paraId="66B970F2">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ascii="宋体" w:hAnsi="宋体" w:eastAsia="宋体" w:cs="宋体"/>
                <w:color w:val="000000"/>
                <w:kern w:val="0"/>
                <w:sz w:val="24"/>
                <w:szCs w:val="24"/>
                <w:lang w:bidi="ar"/>
              </w:rPr>
              <w:t>1000Vdc/50GΩ</w:t>
            </w:r>
          </w:p>
        </w:tc>
      </w:tr>
      <w:tr w14:paraId="0499D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3F8F580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shd w:val="clear" w:color="auto" w:fill="auto"/>
            <w:noWrap/>
            <w:tcMar>
              <w:top w:w="12" w:type="dxa"/>
              <w:left w:w="12" w:type="dxa"/>
              <w:right w:w="12" w:type="dxa"/>
            </w:tcMar>
            <w:vAlign w:val="center"/>
          </w:tcPr>
          <w:p w14:paraId="14F0EB94">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输出电压设置</w:t>
            </w:r>
          </w:p>
        </w:tc>
        <w:tc>
          <w:tcPr>
            <w:tcW w:w="806" w:type="pct"/>
            <w:shd w:val="clear" w:color="auto" w:fill="auto"/>
            <w:noWrap/>
            <w:tcMar>
              <w:top w:w="12" w:type="dxa"/>
              <w:left w:w="12" w:type="dxa"/>
              <w:right w:w="12" w:type="dxa"/>
            </w:tcMar>
            <w:vAlign w:val="center"/>
          </w:tcPr>
          <w:p w14:paraId="0AC84F82">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ascii="宋体" w:hAnsi="宋体" w:eastAsia="宋体" w:cs="宋体"/>
                <w:color w:val="000000"/>
                <w:kern w:val="0"/>
                <w:sz w:val="24"/>
                <w:szCs w:val="24"/>
                <w:lang w:bidi="ar"/>
              </w:rPr>
              <w:t>/允许误差</w:t>
            </w:r>
          </w:p>
        </w:tc>
        <w:tc>
          <w:tcPr>
            <w:tcW w:w="3514" w:type="pct"/>
            <w:shd w:val="clear" w:color="auto" w:fill="auto"/>
            <w:noWrap/>
            <w:tcMar>
              <w:top w:w="12" w:type="dxa"/>
              <w:left w:w="12" w:type="dxa"/>
              <w:right w:w="12" w:type="dxa"/>
            </w:tcMar>
            <w:vAlign w:val="center"/>
          </w:tcPr>
          <w:p w14:paraId="3C6D7B10">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100~2500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Vdc.分辨力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1V</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±(1%x设定值+5V)</w:t>
            </w:r>
          </w:p>
        </w:tc>
      </w:tr>
      <w:tr w14:paraId="472D7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4F81217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restart"/>
            <w:shd w:val="clear" w:color="auto" w:fill="auto"/>
            <w:noWrap/>
            <w:tcMar>
              <w:top w:w="12" w:type="dxa"/>
              <w:left w:w="12" w:type="dxa"/>
              <w:right w:w="12" w:type="dxa"/>
            </w:tcMar>
            <w:vAlign w:val="center"/>
          </w:tcPr>
          <w:p w14:paraId="6095E4A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报警电阻设置</w:t>
            </w:r>
          </w:p>
        </w:tc>
        <w:tc>
          <w:tcPr>
            <w:tcW w:w="806" w:type="pct"/>
            <w:shd w:val="clear" w:color="auto" w:fill="auto"/>
            <w:noWrap/>
            <w:tcMar>
              <w:top w:w="12" w:type="dxa"/>
              <w:left w:w="12" w:type="dxa"/>
              <w:right w:w="12" w:type="dxa"/>
            </w:tcMar>
            <w:vAlign w:val="center"/>
          </w:tcPr>
          <w:p w14:paraId="137C4C84">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上限与下限范围</w:t>
            </w:r>
          </w:p>
        </w:tc>
        <w:tc>
          <w:tcPr>
            <w:tcW w:w="3514" w:type="pct"/>
            <w:shd w:val="clear" w:color="auto" w:fill="auto"/>
            <w:noWrap/>
            <w:tcMar>
              <w:top w:w="12" w:type="dxa"/>
              <w:left w:w="12" w:type="dxa"/>
              <w:right w:w="12" w:type="dxa"/>
            </w:tcMar>
            <w:vAlign w:val="center"/>
          </w:tcPr>
          <w:p w14:paraId="73145C11">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0.10MQ~50000MQ</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上限包含无上限设定</w:t>
            </w:r>
          </w:p>
        </w:tc>
      </w:tr>
      <w:tr w14:paraId="1DB8A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28C5957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05B76CD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7F9E9558">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允许误差</w:t>
            </w:r>
          </w:p>
        </w:tc>
        <w:tc>
          <w:tcPr>
            <w:tcW w:w="3514" w:type="pct"/>
            <w:shd w:val="clear" w:color="auto" w:fill="auto"/>
            <w:tcMar>
              <w:top w:w="12" w:type="dxa"/>
              <w:left w:w="12" w:type="dxa"/>
              <w:right w:w="12" w:type="dxa"/>
            </w:tcMar>
            <w:vAlign w:val="center"/>
          </w:tcPr>
          <w:p w14:paraId="3BCA3E1A">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100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499V:0.10MO-999.99MQ </w:t>
            </w:r>
          </w:p>
          <w:p w14:paraId="41E8F8D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 xml:space="preserve">    1000~2000MQ.+</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5%x读数值+2个字</w:t>
            </w:r>
            <w:r>
              <w:rPr>
                <w:rFonts w:hint="eastAsia" w:ascii="宋体" w:hAnsi="宋体" w:eastAsia="宋体" w:cs="宋体"/>
                <w:color w:val="000000"/>
                <w:kern w:val="0"/>
                <w:sz w:val="24"/>
                <w:szCs w:val="24"/>
                <w:lang w:eastAsia="zh-CN" w:bidi="ar"/>
              </w:rPr>
              <w:t>）</w:t>
            </w:r>
          </w:p>
          <w:p w14:paraId="48A9EEC9">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500</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6000V:0.10~999.99MQ.±</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2%x读数值+2个字</w:t>
            </w:r>
            <w:r>
              <w:rPr>
                <w:rFonts w:hint="eastAsia" w:ascii="宋体" w:hAnsi="宋体" w:eastAsia="宋体" w:cs="宋体"/>
                <w:color w:val="000000"/>
                <w:kern w:val="0"/>
                <w:sz w:val="24"/>
                <w:szCs w:val="24"/>
                <w:lang w:eastAsia="zh-CN" w:bidi="ar"/>
              </w:rPr>
              <w:t>）</w:t>
            </w:r>
          </w:p>
          <w:p w14:paraId="0096669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kern w:val="0"/>
                <w:sz w:val="24"/>
                <w:szCs w:val="24"/>
                <w:lang w:bidi="ar"/>
              </w:rPr>
            </w:pPr>
            <w:r>
              <w:rPr>
                <w:rFonts w:ascii="宋体" w:hAnsi="宋体" w:eastAsia="宋体" w:cs="宋体"/>
                <w:color w:val="000000"/>
                <w:kern w:val="0"/>
                <w:sz w:val="24"/>
                <w:szCs w:val="24"/>
                <w:lang w:bidi="ar"/>
              </w:rPr>
              <w:t xml:space="preserve">    1000~9999M.±</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5%x读数值+2个字</w:t>
            </w:r>
            <w:r>
              <w:rPr>
                <w:rFonts w:hint="eastAsia" w:ascii="宋体" w:hAnsi="宋体" w:eastAsia="宋体" w:cs="宋体"/>
                <w:color w:val="000000"/>
                <w:kern w:val="0"/>
                <w:sz w:val="24"/>
                <w:szCs w:val="24"/>
                <w:lang w:eastAsia="zh-CN" w:bidi="ar"/>
              </w:rPr>
              <w:t>）</w:t>
            </w:r>
          </w:p>
          <w:p w14:paraId="5B1E88F5">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ascii="宋体" w:hAnsi="宋体" w:eastAsia="宋体" w:cs="宋体"/>
                <w:color w:val="000000"/>
                <w:kern w:val="0"/>
                <w:sz w:val="24"/>
                <w:szCs w:val="24"/>
                <w:lang w:bidi="ar"/>
              </w:rPr>
              <w:t xml:space="preserve">    10000~50000MΩ,±</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15%x读数值+2个字</w:t>
            </w:r>
            <w:r>
              <w:rPr>
                <w:rFonts w:hint="eastAsia" w:ascii="宋体" w:hAnsi="宋体" w:eastAsia="宋体" w:cs="宋体"/>
                <w:color w:val="000000"/>
                <w:kern w:val="0"/>
                <w:sz w:val="24"/>
                <w:szCs w:val="24"/>
                <w:lang w:eastAsia="zh-CN" w:bidi="ar"/>
              </w:rPr>
              <w:t>）</w:t>
            </w:r>
          </w:p>
        </w:tc>
      </w:tr>
      <w:tr w14:paraId="2CB43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6961A1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restart"/>
            <w:shd w:val="clear" w:color="auto" w:fill="auto"/>
            <w:noWrap/>
            <w:tcMar>
              <w:top w:w="12" w:type="dxa"/>
              <w:left w:w="12" w:type="dxa"/>
              <w:right w:w="12" w:type="dxa"/>
            </w:tcMar>
            <w:vAlign w:val="center"/>
          </w:tcPr>
          <w:p w14:paraId="5FDE006F">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时间设置</w:t>
            </w:r>
          </w:p>
        </w:tc>
        <w:tc>
          <w:tcPr>
            <w:tcW w:w="806" w:type="pct"/>
            <w:shd w:val="clear" w:color="auto" w:fill="auto"/>
            <w:noWrap/>
            <w:tcMar>
              <w:top w:w="12" w:type="dxa"/>
              <w:left w:w="12" w:type="dxa"/>
              <w:right w:w="12" w:type="dxa"/>
            </w:tcMar>
            <w:vAlign w:val="center"/>
          </w:tcPr>
          <w:p w14:paraId="777B55FC">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延判时间范围</w:t>
            </w:r>
          </w:p>
        </w:tc>
        <w:tc>
          <w:tcPr>
            <w:tcW w:w="3514" w:type="pct"/>
            <w:shd w:val="clear" w:color="auto" w:fill="auto"/>
            <w:noWrap/>
            <w:tcMar>
              <w:top w:w="12" w:type="dxa"/>
              <w:left w:w="12" w:type="dxa"/>
              <w:right w:w="12" w:type="dxa"/>
            </w:tcMar>
            <w:vAlign w:val="center"/>
          </w:tcPr>
          <w:p w14:paraId="73361B34">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0,(0.5~999.9)s,0 </w:t>
            </w:r>
            <w:r>
              <w:rPr>
                <w:rFonts w:hint="eastAsia" w:ascii="宋体" w:hAnsi="宋体" w:eastAsia="宋体" w:cs="宋体"/>
                <w:color w:val="000000"/>
                <w:kern w:val="0"/>
                <w:sz w:val="24"/>
                <w:szCs w:val="24"/>
                <w:lang w:bidi="ar"/>
              </w:rPr>
              <w:t>为无限长</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40FF1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53E8FA6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60ACA7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150D2F53">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缓升时间范围</w:t>
            </w:r>
          </w:p>
        </w:tc>
        <w:tc>
          <w:tcPr>
            <w:tcW w:w="3514" w:type="pct"/>
            <w:shd w:val="clear" w:color="auto" w:fill="auto"/>
            <w:noWrap/>
            <w:tcMar>
              <w:top w:w="12" w:type="dxa"/>
              <w:left w:w="12" w:type="dxa"/>
              <w:right w:w="12" w:type="dxa"/>
            </w:tcMar>
            <w:vAlign w:val="center"/>
          </w:tcPr>
          <w:p w14:paraId="5D43940B">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0,(0.1~999.9)s,0 </w:t>
            </w:r>
            <w:r>
              <w:rPr>
                <w:rFonts w:hint="eastAsia" w:ascii="宋体" w:hAnsi="宋体" w:eastAsia="宋体" w:cs="宋体"/>
                <w:color w:val="000000"/>
                <w:kern w:val="0"/>
                <w:sz w:val="24"/>
                <w:szCs w:val="24"/>
                <w:lang w:bidi="ar"/>
              </w:rPr>
              <w:t>为关闭</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r w14:paraId="1295C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94" w:type="pct"/>
            <w:vMerge w:val="continue"/>
            <w:shd w:val="clear" w:color="auto" w:fill="auto"/>
            <w:tcMar>
              <w:top w:w="12" w:type="dxa"/>
              <w:left w:w="12" w:type="dxa"/>
              <w:right w:w="12" w:type="dxa"/>
            </w:tcMar>
            <w:vAlign w:val="center"/>
          </w:tcPr>
          <w:p w14:paraId="6D21346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484" w:type="pct"/>
            <w:vMerge w:val="continue"/>
            <w:shd w:val="clear" w:color="auto" w:fill="auto"/>
            <w:noWrap/>
            <w:tcMar>
              <w:top w:w="12" w:type="dxa"/>
              <w:left w:w="12" w:type="dxa"/>
              <w:right w:w="12" w:type="dxa"/>
            </w:tcMar>
            <w:vAlign w:val="center"/>
          </w:tcPr>
          <w:p w14:paraId="7CCA5F7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color w:val="000000"/>
                <w:sz w:val="24"/>
                <w:szCs w:val="24"/>
              </w:rPr>
            </w:pPr>
          </w:p>
        </w:tc>
        <w:tc>
          <w:tcPr>
            <w:tcW w:w="806" w:type="pct"/>
            <w:shd w:val="clear" w:color="auto" w:fill="auto"/>
            <w:noWrap/>
            <w:tcMar>
              <w:top w:w="12" w:type="dxa"/>
              <w:left w:w="12" w:type="dxa"/>
              <w:right w:w="12" w:type="dxa"/>
            </w:tcMar>
            <w:vAlign w:val="center"/>
          </w:tcPr>
          <w:p w14:paraId="31000870">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缓降时间范围</w:t>
            </w:r>
          </w:p>
        </w:tc>
        <w:tc>
          <w:tcPr>
            <w:tcW w:w="3514" w:type="pct"/>
            <w:shd w:val="clear" w:color="auto" w:fill="auto"/>
            <w:noWrap/>
            <w:tcMar>
              <w:top w:w="12" w:type="dxa"/>
              <w:left w:w="12" w:type="dxa"/>
              <w:right w:w="12" w:type="dxa"/>
            </w:tcMar>
            <w:vAlign w:val="center"/>
          </w:tcPr>
          <w:p w14:paraId="78EC89F5">
            <w:pPr>
              <w:keepNext w:val="0"/>
              <w:keepLines w:val="0"/>
              <w:pageBreakBefore w:val="0"/>
              <w:widowControl/>
              <w:kinsoku/>
              <w:overflowPunct/>
              <w:topLinePunct w:val="0"/>
              <w:bidi w:val="0"/>
              <w:adjustRightInd w:val="0"/>
              <w:snapToGrid w:val="0"/>
              <w:spacing w:afterAutospacing="0" w:line="240" w:lineRule="auto"/>
              <w:jc w:val="center"/>
              <w:textAlignment w:val="center"/>
              <w:rPr>
                <w:rFonts w:ascii="宋体" w:hAnsi="宋体" w:eastAsia="宋体" w:cs="宋体"/>
                <w:color w:val="000000"/>
                <w:sz w:val="24"/>
                <w:szCs w:val="24"/>
              </w:rPr>
            </w:pPr>
            <w:r>
              <w:rPr>
                <w:rFonts w:hint="eastAsia" w:ascii="宋体" w:hAnsi="宋体" w:eastAsia="宋体" w:cs="宋体"/>
                <w:color w:val="000000"/>
                <w:kern w:val="0"/>
                <w:sz w:val="24"/>
                <w:szCs w:val="24"/>
                <w:lang w:bidi="ar"/>
              </w:rPr>
              <w:t>范围</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 xml:space="preserve">0,(1.0~999.9)s,0 </w:t>
            </w:r>
            <w:r>
              <w:rPr>
                <w:rFonts w:hint="eastAsia" w:ascii="宋体" w:hAnsi="宋体" w:eastAsia="宋体" w:cs="宋体"/>
                <w:color w:val="000000"/>
                <w:kern w:val="0"/>
                <w:sz w:val="24"/>
                <w:szCs w:val="24"/>
                <w:lang w:bidi="ar"/>
              </w:rPr>
              <w:t>为关闭</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分辨力</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0.1s</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允许误差</w:t>
            </w:r>
            <w:r>
              <w:rPr>
                <w:rFonts w:hint="eastAsia" w:ascii="宋体" w:hAnsi="宋体" w:eastAsia="宋体" w:cs="宋体"/>
                <w:color w:val="000000"/>
                <w:kern w:val="0"/>
                <w:sz w:val="24"/>
                <w:szCs w:val="24"/>
                <w:lang w:eastAsia="zh-CN" w:bidi="ar"/>
              </w:rPr>
              <w:t>：</w:t>
            </w:r>
            <w:r>
              <w:rPr>
                <w:rFonts w:ascii="宋体" w:hAnsi="宋体" w:eastAsia="宋体" w:cs="宋体"/>
                <w:color w:val="000000"/>
                <w:kern w:val="0"/>
                <w:sz w:val="24"/>
                <w:szCs w:val="24"/>
                <w:lang w:bidi="ar"/>
              </w:rPr>
              <w:t>±(0.1%x设定值+2个字</w:t>
            </w:r>
            <w:r>
              <w:rPr>
                <w:rFonts w:hint="eastAsia" w:ascii="宋体" w:hAnsi="宋体" w:eastAsia="宋体" w:cs="宋体"/>
                <w:color w:val="000000"/>
                <w:kern w:val="0"/>
                <w:sz w:val="24"/>
                <w:szCs w:val="24"/>
                <w:lang w:eastAsia="zh-CN" w:bidi="ar"/>
              </w:rPr>
              <w:t>)</w:t>
            </w:r>
          </w:p>
        </w:tc>
      </w:tr>
    </w:tbl>
    <w:p w14:paraId="7CB68131">
      <w:pPr>
        <w:keepNext w:val="0"/>
        <w:keepLines w:val="0"/>
        <w:pageBreakBefore w:val="0"/>
        <w:widowControl w:val="0"/>
        <w:kinsoku/>
        <w:overflowPunct/>
        <w:topLinePunct w:val="0"/>
        <w:bidi w:val="0"/>
        <w:adjustRightInd w:val="0"/>
        <w:snapToGrid w:val="0"/>
        <w:spacing w:afterAutospacing="0" w:line="360" w:lineRule="auto"/>
        <w:jc w:val="both"/>
        <w:rPr>
          <w:rFonts w:ascii="Times New Roman" w:hAnsi="Times New Roman" w:eastAsia="宋体" w:cs="Times New Roman"/>
          <w:kern w:val="2"/>
          <w:sz w:val="21"/>
          <w:szCs w:val="24"/>
          <w:lang w:val="en-US" w:eastAsia="zh-CN" w:bidi="ar-SA"/>
        </w:rPr>
      </w:pPr>
    </w:p>
    <w:tbl>
      <w:tblPr>
        <w:tblStyle w:val="44"/>
        <w:tblW w:w="5000" w:type="pct"/>
        <w:tblInd w:w="0" w:type="dxa"/>
        <w:tblLayout w:type="autofit"/>
        <w:tblCellMar>
          <w:top w:w="0" w:type="dxa"/>
          <w:left w:w="108" w:type="dxa"/>
          <w:bottom w:w="0" w:type="dxa"/>
          <w:right w:w="108" w:type="dxa"/>
        </w:tblCellMar>
      </w:tblPr>
      <w:tblGrid>
        <w:gridCol w:w="1212"/>
        <w:gridCol w:w="1710"/>
        <w:gridCol w:w="6732"/>
      </w:tblGrid>
      <w:tr w14:paraId="43C9F691">
        <w:tblPrEx>
          <w:tblCellMar>
            <w:top w:w="0" w:type="dxa"/>
            <w:left w:w="108" w:type="dxa"/>
            <w:bottom w:w="0" w:type="dxa"/>
            <w:right w:w="108" w:type="dxa"/>
          </w:tblCellMar>
        </w:tblPrEx>
        <w:trPr>
          <w:trHeight w:val="567" w:hRule="atLeast"/>
        </w:trPr>
        <w:tc>
          <w:tcPr>
            <w:tcW w:w="5000" w:type="pct"/>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74BFC3CE">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直流接地电阻测试仪</w:t>
            </w:r>
          </w:p>
        </w:tc>
      </w:tr>
      <w:tr w14:paraId="302B5B57">
        <w:tblPrEx>
          <w:tblCellMar>
            <w:top w:w="0" w:type="dxa"/>
            <w:left w:w="108" w:type="dxa"/>
            <w:bottom w:w="0" w:type="dxa"/>
            <w:right w:w="108" w:type="dxa"/>
          </w:tblCellMar>
        </w:tblPrEx>
        <w:trPr>
          <w:trHeight w:val="567" w:hRule="atLeast"/>
        </w:trPr>
        <w:tc>
          <w:tcPr>
            <w:tcW w:w="65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7CE158">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额定输出</w:t>
            </w:r>
          </w:p>
        </w:tc>
        <w:tc>
          <w:tcPr>
            <w:tcW w:w="923" w:type="pct"/>
            <w:tcBorders>
              <w:top w:val="single" w:color="auto" w:sz="4" w:space="0"/>
              <w:left w:val="nil"/>
              <w:bottom w:val="single" w:color="auto" w:sz="4" w:space="0"/>
              <w:right w:val="single" w:color="auto" w:sz="4" w:space="0"/>
            </w:tcBorders>
            <w:shd w:val="clear" w:color="auto" w:fill="auto"/>
            <w:noWrap/>
            <w:vAlign w:val="center"/>
          </w:tcPr>
          <w:p w14:paraId="09646A86">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p>
        </w:tc>
        <w:tc>
          <w:tcPr>
            <w:tcW w:w="3422" w:type="pct"/>
            <w:tcBorders>
              <w:top w:val="single" w:color="auto" w:sz="4" w:space="0"/>
              <w:left w:val="nil"/>
              <w:bottom w:val="single" w:color="auto" w:sz="4" w:space="0"/>
              <w:right w:val="single" w:color="auto" w:sz="4" w:space="0"/>
            </w:tcBorders>
            <w:shd w:val="clear" w:color="auto" w:fill="auto"/>
            <w:noWrap/>
            <w:vAlign w:val="center"/>
          </w:tcPr>
          <w:p w14:paraId="2CB7B28D">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试验电流最大</w:t>
            </w:r>
            <w:r>
              <w:rPr>
                <w:rFonts w:ascii="宋体" w:hAnsi="宋体" w:eastAsia="宋体" w:cs="宋体"/>
                <w:color w:val="000000"/>
                <w:kern w:val="0"/>
                <w:sz w:val="24"/>
                <w:szCs w:val="24"/>
              </w:rPr>
              <w:t>40Adc</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电阻最大600mΩ</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开路电压低于8Vdc</w:t>
            </w:r>
          </w:p>
        </w:tc>
      </w:tr>
      <w:tr w14:paraId="4A5AB3C6">
        <w:tblPrEx>
          <w:tblCellMar>
            <w:top w:w="0" w:type="dxa"/>
            <w:left w:w="108" w:type="dxa"/>
            <w:bottom w:w="0" w:type="dxa"/>
            <w:right w:w="108" w:type="dxa"/>
          </w:tblCellMar>
        </w:tblPrEx>
        <w:trPr>
          <w:trHeight w:val="567" w:hRule="atLeast"/>
        </w:trPr>
        <w:tc>
          <w:tcPr>
            <w:tcW w:w="653" w:type="pct"/>
            <w:tcBorders>
              <w:top w:val="nil"/>
              <w:left w:val="single" w:color="auto" w:sz="4" w:space="0"/>
              <w:bottom w:val="single" w:color="auto" w:sz="4" w:space="0"/>
              <w:right w:val="single" w:color="auto" w:sz="4" w:space="0"/>
            </w:tcBorders>
            <w:shd w:val="clear" w:color="auto" w:fill="auto"/>
            <w:noWrap/>
            <w:vAlign w:val="center"/>
          </w:tcPr>
          <w:p w14:paraId="33C6749E">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输出电流设置</w:t>
            </w:r>
          </w:p>
        </w:tc>
        <w:tc>
          <w:tcPr>
            <w:tcW w:w="923" w:type="pct"/>
            <w:tcBorders>
              <w:top w:val="nil"/>
              <w:left w:val="nil"/>
              <w:bottom w:val="single" w:color="auto" w:sz="4" w:space="0"/>
              <w:right w:val="single" w:color="auto" w:sz="4" w:space="0"/>
            </w:tcBorders>
            <w:shd w:val="clear" w:color="auto" w:fill="auto"/>
            <w:noWrap/>
            <w:vAlign w:val="center"/>
          </w:tcPr>
          <w:p w14:paraId="61B0B110">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范围</w:t>
            </w:r>
            <w:r>
              <w:rPr>
                <w:rFonts w:ascii="宋体" w:hAnsi="宋体" w:eastAsia="宋体" w:cs="宋体"/>
                <w:color w:val="000000"/>
                <w:kern w:val="0"/>
                <w:sz w:val="24"/>
                <w:szCs w:val="24"/>
              </w:rPr>
              <w:t>/允许误差</w:t>
            </w:r>
          </w:p>
        </w:tc>
        <w:tc>
          <w:tcPr>
            <w:tcW w:w="3422" w:type="pct"/>
            <w:tcBorders>
              <w:top w:val="single" w:color="auto" w:sz="4" w:space="0"/>
              <w:left w:val="nil"/>
              <w:bottom w:val="single" w:color="auto" w:sz="4" w:space="0"/>
              <w:right w:val="single" w:color="auto" w:sz="4" w:space="0"/>
            </w:tcBorders>
            <w:shd w:val="clear" w:color="auto" w:fill="auto"/>
            <w:noWrap/>
            <w:vAlign w:val="center"/>
          </w:tcPr>
          <w:p w14:paraId="46F35151">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范围</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2.0A</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40.0A</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DC</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分辨力</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0.1A</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允许误差</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1%x设定值+2个字</w:t>
            </w:r>
            <w:r>
              <w:rPr>
                <w:rFonts w:hint="eastAsia" w:ascii="宋体" w:hAnsi="宋体" w:eastAsia="宋体" w:cs="宋体"/>
                <w:color w:val="000000"/>
                <w:kern w:val="0"/>
                <w:sz w:val="24"/>
                <w:szCs w:val="24"/>
                <w:lang w:eastAsia="zh-CN"/>
              </w:rPr>
              <w:t>）</w:t>
            </w:r>
          </w:p>
        </w:tc>
      </w:tr>
      <w:tr w14:paraId="2FAD35BA">
        <w:tblPrEx>
          <w:tblCellMar>
            <w:top w:w="0" w:type="dxa"/>
            <w:left w:w="108" w:type="dxa"/>
            <w:bottom w:w="0" w:type="dxa"/>
            <w:right w:w="108" w:type="dxa"/>
          </w:tblCellMar>
        </w:tblPrEx>
        <w:trPr>
          <w:trHeight w:val="567" w:hRule="atLeast"/>
        </w:trPr>
        <w:tc>
          <w:tcPr>
            <w:tcW w:w="653" w:type="pct"/>
            <w:tcBorders>
              <w:top w:val="nil"/>
              <w:left w:val="single" w:color="auto" w:sz="4" w:space="0"/>
              <w:bottom w:val="single" w:color="auto" w:sz="4" w:space="0"/>
              <w:right w:val="single" w:color="auto" w:sz="4" w:space="0"/>
            </w:tcBorders>
            <w:shd w:val="clear" w:color="auto" w:fill="auto"/>
            <w:noWrap/>
            <w:vAlign w:val="center"/>
          </w:tcPr>
          <w:p w14:paraId="311F42A1">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输出电压设置</w:t>
            </w:r>
          </w:p>
        </w:tc>
        <w:tc>
          <w:tcPr>
            <w:tcW w:w="923" w:type="pct"/>
            <w:tcBorders>
              <w:top w:val="nil"/>
              <w:left w:val="nil"/>
              <w:bottom w:val="single" w:color="auto" w:sz="4" w:space="0"/>
              <w:right w:val="single" w:color="auto" w:sz="4" w:space="0"/>
            </w:tcBorders>
            <w:shd w:val="clear" w:color="auto" w:fill="auto"/>
            <w:noWrap/>
            <w:vAlign w:val="center"/>
          </w:tcPr>
          <w:p w14:paraId="2FA5041C">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范围</w:t>
            </w:r>
            <w:r>
              <w:rPr>
                <w:rFonts w:ascii="宋体" w:hAnsi="宋体" w:eastAsia="宋体" w:cs="宋体"/>
                <w:color w:val="000000"/>
                <w:kern w:val="0"/>
                <w:sz w:val="24"/>
                <w:szCs w:val="24"/>
              </w:rPr>
              <w:t>/允许误差</w:t>
            </w:r>
          </w:p>
        </w:tc>
        <w:tc>
          <w:tcPr>
            <w:tcW w:w="3422" w:type="pct"/>
            <w:tcBorders>
              <w:top w:val="single" w:color="auto" w:sz="4" w:space="0"/>
              <w:left w:val="nil"/>
              <w:bottom w:val="single" w:color="auto" w:sz="4" w:space="0"/>
              <w:right w:val="single" w:color="auto" w:sz="4" w:space="0"/>
            </w:tcBorders>
            <w:shd w:val="clear" w:color="auto" w:fill="auto"/>
            <w:noWrap/>
            <w:vAlign w:val="center"/>
          </w:tcPr>
          <w:p w14:paraId="2D8B317F">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开路电压范围</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3.0~8.0</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Vdc</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分辨力</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0.1V.允许误差</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1%x设定值+2个字</w:t>
            </w:r>
            <w:r>
              <w:rPr>
                <w:rFonts w:hint="eastAsia" w:ascii="宋体" w:hAnsi="宋体" w:eastAsia="宋体" w:cs="宋体"/>
                <w:color w:val="000000"/>
                <w:kern w:val="0"/>
                <w:sz w:val="24"/>
                <w:szCs w:val="24"/>
                <w:lang w:eastAsia="zh-CN"/>
              </w:rPr>
              <w:t>）</w:t>
            </w:r>
          </w:p>
        </w:tc>
      </w:tr>
      <w:tr w14:paraId="62314722">
        <w:tblPrEx>
          <w:tblCellMar>
            <w:top w:w="0" w:type="dxa"/>
            <w:left w:w="108" w:type="dxa"/>
            <w:bottom w:w="0" w:type="dxa"/>
            <w:right w:w="108" w:type="dxa"/>
          </w:tblCellMar>
        </w:tblPrEx>
        <w:trPr>
          <w:trHeight w:val="567" w:hRule="atLeast"/>
        </w:trPr>
        <w:tc>
          <w:tcPr>
            <w:tcW w:w="653" w:type="pct"/>
            <w:tcBorders>
              <w:top w:val="nil"/>
              <w:left w:val="single" w:color="auto" w:sz="4" w:space="0"/>
              <w:bottom w:val="single" w:color="auto" w:sz="4" w:space="0"/>
              <w:right w:val="single" w:color="auto" w:sz="4" w:space="0"/>
            </w:tcBorders>
            <w:shd w:val="clear" w:color="auto" w:fill="auto"/>
            <w:noWrap/>
            <w:vAlign w:val="center"/>
          </w:tcPr>
          <w:p w14:paraId="451E6719">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输出频率设置</w:t>
            </w:r>
          </w:p>
        </w:tc>
        <w:tc>
          <w:tcPr>
            <w:tcW w:w="923" w:type="pct"/>
            <w:tcBorders>
              <w:top w:val="nil"/>
              <w:left w:val="nil"/>
              <w:bottom w:val="single" w:color="auto" w:sz="4" w:space="0"/>
              <w:right w:val="single" w:color="auto" w:sz="4" w:space="0"/>
            </w:tcBorders>
            <w:shd w:val="clear" w:color="auto" w:fill="auto"/>
            <w:noWrap/>
            <w:vAlign w:val="center"/>
          </w:tcPr>
          <w:p w14:paraId="4FC98357">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范围</w:t>
            </w:r>
            <w:r>
              <w:rPr>
                <w:rFonts w:ascii="宋体" w:hAnsi="宋体" w:eastAsia="宋体" w:cs="宋体"/>
                <w:color w:val="000000"/>
                <w:kern w:val="0"/>
                <w:sz w:val="24"/>
                <w:szCs w:val="24"/>
              </w:rPr>
              <w:t>/允许误差</w:t>
            </w:r>
          </w:p>
        </w:tc>
        <w:tc>
          <w:tcPr>
            <w:tcW w:w="3422" w:type="pct"/>
            <w:tcBorders>
              <w:top w:val="single" w:color="auto" w:sz="4" w:space="0"/>
              <w:left w:val="nil"/>
              <w:bottom w:val="single" w:color="auto" w:sz="4" w:space="0"/>
              <w:right w:val="single" w:color="auto" w:sz="4" w:space="0"/>
            </w:tcBorders>
            <w:shd w:val="clear" w:color="auto" w:fill="auto"/>
            <w:noWrap/>
            <w:vAlign w:val="center"/>
          </w:tcPr>
          <w:p w14:paraId="54696CFC">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50Hz/60Hz</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允许误差</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±0.1Hz</w:t>
            </w:r>
          </w:p>
        </w:tc>
      </w:tr>
      <w:tr w14:paraId="481F5D53">
        <w:tblPrEx>
          <w:tblCellMar>
            <w:top w:w="0" w:type="dxa"/>
            <w:left w:w="108" w:type="dxa"/>
            <w:bottom w:w="0" w:type="dxa"/>
            <w:right w:w="108" w:type="dxa"/>
          </w:tblCellMar>
        </w:tblPrEx>
        <w:trPr>
          <w:trHeight w:val="567" w:hRule="atLeast"/>
        </w:trPr>
        <w:tc>
          <w:tcPr>
            <w:tcW w:w="653" w:type="pct"/>
            <w:vMerge w:val="restart"/>
            <w:tcBorders>
              <w:top w:val="nil"/>
              <w:left w:val="single" w:color="auto" w:sz="4" w:space="0"/>
              <w:bottom w:val="single" w:color="auto" w:sz="4" w:space="0"/>
              <w:right w:val="single" w:color="auto" w:sz="4" w:space="0"/>
            </w:tcBorders>
            <w:shd w:val="clear" w:color="auto" w:fill="auto"/>
            <w:noWrap/>
            <w:vAlign w:val="center"/>
          </w:tcPr>
          <w:p w14:paraId="560B356B">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报警限值设置</w:t>
            </w:r>
          </w:p>
        </w:tc>
        <w:tc>
          <w:tcPr>
            <w:tcW w:w="923" w:type="pct"/>
            <w:tcBorders>
              <w:top w:val="nil"/>
              <w:left w:val="nil"/>
              <w:bottom w:val="single" w:color="auto" w:sz="4" w:space="0"/>
              <w:right w:val="single" w:color="auto" w:sz="4" w:space="0"/>
            </w:tcBorders>
            <w:shd w:val="clear" w:color="auto" w:fill="auto"/>
            <w:noWrap/>
            <w:vAlign w:val="center"/>
          </w:tcPr>
          <w:p w14:paraId="76677CA8">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电阻上限与下限范围</w:t>
            </w:r>
          </w:p>
        </w:tc>
        <w:tc>
          <w:tcPr>
            <w:tcW w:w="3422" w:type="pct"/>
            <w:tcBorders>
              <w:top w:val="single" w:color="auto" w:sz="4" w:space="0"/>
              <w:left w:val="nil"/>
              <w:bottom w:val="single" w:color="auto" w:sz="4" w:space="0"/>
              <w:right w:val="single" w:color="auto" w:sz="4" w:space="0"/>
            </w:tcBorders>
            <w:shd w:val="clear" w:color="auto" w:fill="auto"/>
            <w:vAlign w:val="center"/>
          </w:tcPr>
          <w:p w14:paraId="45114350">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3A≤输出电流≤10A:0.1</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600mΩ</w:t>
            </w:r>
          </w:p>
          <w:p w14:paraId="6BA40CAA">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11A≤输出电流≤40A:0.1-RR=6400/设定电流值</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mΩ</w:t>
            </w:r>
            <w:r>
              <w:rPr>
                <w:rFonts w:hint="eastAsia" w:ascii="宋体" w:hAnsi="宋体" w:eastAsia="宋体" w:cs="宋体"/>
                <w:color w:val="000000"/>
                <w:kern w:val="0"/>
                <w:sz w:val="24"/>
                <w:szCs w:val="24"/>
                <w:lang w:eastAsia="zh-CN"/>
              </w:rPr>
              <w:t>）</w:t>
            </w:r>
          </w:p>
        </w:tc>
      </w:tr>
      <w:tr w14:paraId="4F7518B3">
        <w:tblPrEx>
          <w:tblCellMar>
            <w:top w:w="0" w:type="dxa"/>
            <w:left w:w="108" w:type="dxa"/>
            <w:bottom w:w="0" w:type="dxa"/>
            <w:right w:w="108" w:type="dxa"/>
          </w:tblCellMar>
        </w:tblPrEx>
        <w:trPr>
          <w:trHeight w:val="567" w:hRule="atLeast"/>
        </w:trPr>
        <w:tc>
          <w:tcPr>
            <w:tcW w:w="653" w:type="pct"/>
            <w:vMerge w:val="continue"/>
            <w:tcBorders>
              <w:top w:val="nil"/>
              <w:left w:val="single" w:color="auto" w:sz="4" w:space="0"/>
              <w:bottom w:val="single" w:color="auto" w:sz="4" w:space="0"/>
              <w:right w:val="single" w:color="auto" w:sz="4" w:space="0"/>
            </w:tcBorders>
            <w:vAlign w:val="center"/>
          </w:tcPr>
          <w:p w14:paraId="6157ED2E">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p>
        </w:tc>
        <w:tc>
          <w:tcPr>
            <w:tcW w:w="923" w:type="pct"/>
            <w:tcBorders>
              <w:top w:val="nil"/>
              <w:left w:val="nil"/>
              <w:bottom w:val="single" w:color="auto" w:sz="4" w:space="0"/>
              <w:right w:val="single" w:color="auto" w:sz="4" w:space="0"/>
            </w:tcBorders>
            <w:shd w:val="clear" w:color="auto" w:fill="auto"/>
            <w:noWrap/>
            <w:vAlign w:val="center"/>
          </w:tcPr>
          <w:p w14:paraId="35DC9717">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允许误差</w:t>
            </w:r>
          </w:p>
        </w:tc>
        <w:tc>
          <w:tcPr>
            <w:tcW w:w="3422" w:type="pct"/>
            <w:tcBorders>
              <w:top w:val="single" w:color="auto" w:sz="4" w:space="0"/>
              <w:left w:val="nil"/>
              <w:bottom w:val="single" w:color="auto" w:sz="4" w:space="0"/>
              <w:right w:val="single" w:color="auto" w:sz="4" w:space="0"/>
            </w:tcBorders>
            <w:shd w:val="clear" w:color="auto" w:fill="auto"/>
            <w:noWrap/>
            <w:vAlign w:val="center"/>
          </w:tcPr>
          <w:p w14:paraId="1C6A945B">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&lt;100mΩ.±(1%x读数值+1mΩ);≥100mΩ.±</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1%x读数值+2个字</w:t>
            </w:r>
            <w:r>
              <w:rPr>
                <w:rFonts w:hint="eastAsia" w:ascii="宋体" w:hAnsi="宋体" w:eastAsia="宋体" w:cs="宋体"/>
                <w:color w:val="000000"/>
                <w:kern w:val="0"/>
                <w:sz w:val="24"/>
                <w:szCs w:val="24"/>
                <w:lang w:eastAsia="zh-CN"/>
              </w:rPr>
              <w:t>）</w:t>
            </w:r>
          </w:p>
        </w:tc>
      </w:tr>
      <w:tr w14:paraId="45B92485">
        <w:tblPrEx>
          <w:tblCellMar>
            <w:top w:w="0" w:type="dxa"/>
            <w:left w:w="108" w:type="dxa"/>
            <w:bottom w:w="0" w:type="dxa"/>
            <w:right w:w="108" w:type="dxa"/>
          </w:tblCellMar>
        </w:tblPrEx>
        <w:trPr>
          <w:trHeight w:val="567" w:hRule="atLeast"/>
        </w:trPr>
        <w:tc>
          <w:tcPr>
            <w:tcW w:w="653" w:type="pct"/>
            <w:tcBorders>
              <w:top w:val="nil"/>
              <w:left w:val="single" w:color="auto" w:sz="4" w:space="0"/>
              <w:bottom w:val="single" w:color="auto" w:sz="4" w:space="0"/>
              <w:right w:val="single" w:color="auto" w:sz="4" w:space="0"/>
            </w:tcBorders>
            <w:shd w:val="clear" w:color="auto" w:fill="auto"/>
            <w:noWrap/>
            <w:vAlign w:val="center"/>
          </w:tcPr>
          <w:p w14:paraId="6958FADB">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测试时间设置</w:t>
            </w:r>
          </w:p>
        </w:tc>
        <w:tc>
          <w:tcPr>
            <w:tcW w:w="923" w:type="pct"/>
            <w:tcBorders>
              <w:top w:val="nil"/>
              <w:left w:val="nil"/>
              <w:bottom w:val="single" w:color="auto" w:sz="4" w:space="0"/>
              <w:right w:val="single" w:color="auto" w:sz="4" w:space="0"/>
            </w:tcBorders>
            <w:shd w:val="clear" w:color="auto" w:fill="auto"/>
            <w:noWrap/>
            <w:vAlign w:val="center"/>
          </w:tcPr>
          <w:p w14:paraId="2377D54A">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范围</w:t>
            </w:r>
            <w:r>
              <w:rPr>
                <w:rFonts w:ascii="宋体" w:hAnsi="宋体" w:eastAsia="宋体" w:cs="宋体"/>
                <w:color w:val="000000"/>
                <w:kern w:val="0"/>
                <w:sz w:val="24"/>
                <w:szCs w:val="24"/>
              </w:rPr>
              <w:t>/允许误差</w:t>
            </w:r>
          </w:p>
        </w:tc>
        <w:tc>
          <w:tcPr>
            <w:tcW w:w="3422" w:type="pct"/>
            <w:tcBorders>
              <w:top w:val="single" w:color="auto" w:sz="4" w:space="0"/>
              <w:left w:val="nil"/>
              <w:bottom w:val="single" w:color="auto" w:sz="4" w:space="0"/>
              <w:right w:val="single" w:color="auto" w:sz="4" w:space="0"/>
            </w:tcBorders>
            <w:shd w:val="clear" w:color="auto" w:fill="auto"/>
            <w:noWrap/>
            <w:vAlign w:val="center"/>
          </w:tcPr>
          <w:p w14:paraId="3B650147">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范围</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0.(0.5-999.9)s.0为无限长</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分辨力</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0.1s</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允许误差</w:t>
            </w:r>
            <w:r>
              <w:rPr>
                <w:rFonts w:hint="eastAsia" w:ascii="宋体" w:hAnsi="宋体" w:eastAsia="宋体" w:cs="宋体"/>
                <w:color w:val="000000"/>
                <w:kern w:val="0"/>
                <w:sz w:val="24"/>
                <w:szCs w:val="24"/>
                <w:lang w:eastAsia="zh-CN"/>
              </w:rPr>
              <w:t>：</w:t>
            </w:r>
            <w:r>
              <w:rPr>
                <w:rFonts w:ascii="宋体" w:hAnsi="宋体" w:eastAsia="宋体" w:cs="宋体"/>
                <w:color w:val="000000"/>
                <w:kern w:val="0"/>
                <w:sz w:val="24"/>
                <w:szCs w:val="24"/>
              </w:rPr>
              <w:t>±(0.1%x设定值+2个字</w:t>
            </w:r>
            <w:r>
              <w:rPr>
                <w:rFonts w:hint="eastAsia" w:ascii="宋体" w:hAnsi="宋体" w:eastAsia="宋体" w:cs="宋体"/>
                <w:color w:val="000000"/>
                <w:kern w:val="0"/>
                <w:sz w:val="24"/>
                <w:szCs w:val="24"/>
                <w:lang w:eastAsia="zh-CN"/>
              </w:rPr>
              <w:t>)</w:t>
            </w:r>
          </w:p>
        </w:tc>
      </w:tr>
    </w:tbl>
    <w:p w14:paraId="01908A0B">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主要功能</w:t>
      </w:r>
    </w:p>
    <w:p w14:paraId="67A4B8D4">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自动识别、匹配、测试：设备配备扫描枪，可录入车辆 VIN 号和主要零部件号，识别产品类别、自动匹配测试程序并启动测试，从而避免人为错误，有效提高生产效率；如扫描器故障，设备支持手工输入的方式识别信息。</w:t>
      </w:r>
    </w:p>
    <w:p w14:paraId="50362A17">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数据实时显示：能在软件界面上实时显示检测过程中的数据，供操作人员进行数据的实时查看。</w:t>
      </w:r>
    </w:p>
    <w:p w14:paraId="522C88F3">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检测结果显示：检测合格，软件界面显示合格（绿色），检测不合格，界面显示不合格（红色）。</w:t>
      </w:r>
    </w:p>
    <w:p w14:paraId="3020C646">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结果打印：设备配装有打印机，能对检测结果自动或手动打印。</w:t>
      </w:r>
    </w:p>
    <w:p w14:paraId="69B0F613">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数据管理：设备自动记录所有检测数据，具有至少 500G 本地存储空间，能够单独存储每台车每一次的检测数据和返修数据，且同一台车不同次的检测数据也能够单独存储，不会覆盖；支持 U 盘导出数据、网络传输数据等功能；可进行测试数据筛选、条件查询、查询结果打印、报表生成，实现数据追溯，有助于产品质量分析；存储的数据可导出为 excel</w:t>
      </w:r>
      <w:r>
        <w:rPr>
          <w:rFonts w:hint="eastAsia" w:ascii="Times New Roman" w:hAnsi="Times New Roman" w:eastAsia="宋体" w:cs="Times New Roman"/>
          <w:color w:val="000000"/>
          <w:sz w:val="24"/>
          <w:lang w:eastAsia="zh-CN"/>
        </w:rPr>
        <w:t>。</w:t>
      </w:r>
    </w:p>
    <w:p w14:paraId="2BE384CE">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文档。设备后台数据与 MES 生产制造执行系统网络连接，可上传数据至 MES 系统。配备 UPS 电源，在断电的情况下，可为设备继续提供电源，确保操作人员保存好设备数据。</w:t>
      </w:r>
    </w:p>
    <w:p w14:paraId="1C67F85A">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具有用户管理功能：添加用户，即此功能只有系统管理员才有这个权限，系统管理员可以添加高级用户和普通用户；修改用户，即系统管理员可以修改用户信息；删除用户，即系统管理员可以删除不同级别用户。</w:t>
      </w:r>
    </w:p>
    <w:p w14:paraId="1ACC3968">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设备系统升级方便，能在不影响系统应用模块功能及生产的情况下升级，同时能保证以前的数据完整。</w:t>
      </w:r>
    </w:p>
    <w:p w14:paraId="0945D919">
      <w:pPr>
        <w:keepNext w:val="0"/>
        <w:keepLines w:val="0"/>
        <w:pageBreakBefore w:val="0"/>
        <w:widowControl/>
        <w:numPr>
          <w:ilvl w:val="0"/>
          <w:numId w:val="64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完善的保护机制：采用了多种抗干扰措施，具备软硬件保护和各种安全警示等安全化设计</w:t>
      </w:r>
      <w:r>
        <w:rPr>
          <w:rFonts w:hint="eastAsia" w:ascii="Times New Roman" w:hAnsi="Times New Roman" w:eastAsia="宋体" w:cs="Times New Roman"/>
          <w:color w:val="000000"/>
          <w:sz w:val="24"/>
          <w:lang w:eastAsia="zh-CN"/>
        </w:rPr>
        <w:t>。</w:t>
      </w:r>
    </w:p>
    <w:p w14:paraId="7CF236B2">
      <w:pPr>
        <w:keepNext w:val="0"/>
        <w:keepLines w:val="0"/>
        <w:pageBreakBefore w:val="0"/>
        <w:widowControl w:val="0"/>
        <w:numPr>
          <w:ilvl w:val="0"/>
          <w:numId w:val="640"/>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操作流程</w:t>
      </w:r>
    </w:p>
    <w:p w14:paraId="1477659C">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登录进入检测界面</w:t>
      </w:r>
      <w:r>
        <w:rPr>
          <w:rFonts w:hint="eastAsia" w:ascii="Times New Roman" w:hAnsi="Times New Roman" w:eastAsia="宋体" w:cs="Times New Roman"/>
          <w:color w:val="000000"/>
          <w:sz w:val="24"/>
          <w:lang w:eastAsia="zh-CN"/>
        </w:rPr>
        <w:t>。</w:t>
      </w:r>
    </w:p>
    <w:p w14:paraId="41D3F5CF">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连接被检车辆</w:t>
      </w:r>
      <w:r>
        <w:rPr>
          <w:rFonts w:hint="eastAsia" w:ascii="Times New Roman" w:hAnsi="Times New Roman" w:eastAsia="宋体" w:cs="Times New Roman"/>
          <w:color w:val="000000"/>
          <w:sz w:val="24"/>
          <w:lang w:eastAsia="zh-CN"/>
        </w:rPr>
        <w:t>。</w:t>
      </w:r>
    </w:p>
    <w:p w14:paraId="210D6EB9">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点击“开始检测”</w:t>
      </w:r>
      <w:r>
        <w:rPr>
          <w:rFonts w:hint="eastAsia" w:ascii="Times New Roman" w:hAnsi="Times New Roman" w:eastAsia="宋体" w:cs="Times New Roman"/>
          <w:color w:val="000000"/>
          <w:sz w:val="24"/>
          <w:lang w:eastAsia="zh-CN"/>
        </w:rPr>
        <w:t>。</w:t>
      </w:r>
    </w:p>
    <w:p w14:paraId="209BE73D">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扫描或手动录入车辆信息</w:t>
      </w:r>
      <w:r>
        <w:rPr>
          <w:rFonts w:hint="eastAsia" w:ascii="Times New Roman" w:hAnsi="Times New Roman" w:eastAsia="宋体" w:cs="Times New Roman"/>
          <w:color w:val="000000"/>
          <w:sz w:val="24"/>
          <w:lang w:eastAsia="zh-CN"/>
        </w:rPr>
        <w:t>。</w:t>
      </w:r>
    </w:p>
    <w:p w14:paraId="66641D4E">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根据软件提示，完成检测</w:t>
      </w:r>
      <w:r>
        <w:rPr>
          <w:rFonts w:hint="eastAsia" w:ascii="Times New Roman" w:hAnsi="Times New Roman" w:eastAsia="宋体" w:cs="Times New Roman"/>
          <w:color w:val="000000"/>
          <w:sz w:val="24"/>
          <w:lang w:eastAsia="zh-CN"/>
        </w:rPr>
        <w:t>。</w:t>
      </w:r>
    </w:p>
    <w:p w14:paraId="1B46BE86">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检测完成后，显示合格和不合格</w:t>
      </w:r>
      <w:r>
        <w:rPr>
          <w:rFonts w:hint="eastAsia" w:ascii="Times New Roman" w:hAnsi="Times New Roman" w:eastAsia="宋体" w:cs="Times New Roman"/>
          <w:color w:val="000000"/>
          <w:sz w:val="24"/>
          <w:lang w:eastAsia="zh-CN"/>
        </w:rPr>
        <w:t>。</w:t>
      </w:r>
    </w:p>
    <w:p w14:paraId="406CDBDD">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存储检测数据</w:t>
      </w:r>
      <w:r>
        <w:rPr>
          <w:rFonts w:hint="eastAsia" w:ascii="Times New Roman" w:hAnsi="Times New Roman" w:eastAsia="宋体" w:cs="Times New Roman"/>
          <w:color w:val="000000"/>
          <w:sz w:val="24"/>
          <w:lang w:val="en-US" w:eastAsia="zh-CN"/>
        </w:rPr>
        <w:t>并上传至MES系统</w:t>
      </w:r>
      <w:r>
        <w:rPr>
          <w:rFonts w:hint="eastAsia" w:ascii="Times New Roman" w:hAnsi="Times New Roman" w:eastAsia="宋体" w:cs="Times New Roman"/>
          <w:color w:val="000000"/>
          <w:sz w:val="24"/>
          <w:lang w:eastAsia="zh-CN"/>
        </w:rPr>
        <w:t>。</w:t>
      </w:r>
    </w:p>
    <w:p w14:paraId="779371E8">
      <w:pPr>
        <w:keepNext w:val="0"/>
        <w:keepLines w:val="0"/>
        <w:pageBreakBefore w:val="0"/>
        <w:widowControl/>
        <w:numPr>
          <w:ilvl w:val="0"/>
          <w:numId w:val="64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打印检测报告</w:t>
      </w:r>
      <w:bookmarkStart w:id="355" w:name="bookmark12"/>
      <w:bookmarkEnd w:id="355"/>
      <w:bookmarkStart w:id="356" w:name="bookmark11"/>
      <w:bookmarkEnd w:id="356"/>
      <w:r>
        <w:rPr>
          <w:rFonts w:hint="eastAsia" w:ascii="Times New Roman" w:hAnsi="Times New Roman" w:eastAsia="宋体" w:cs="Times New Roman"/>
          <w:color w:val="000000"/>
          <w:sz w:val="24"/>
          <w:lang w:eastAsia="zh-CN"/>
        </w:rPr>
        <w:t>。</w:t>
      </w:r>
    </w:p>
    <w:p w14:paraId="6E92BE1F">
      <w:pPr>
        <w:keepNext w:val="0"/>
        <w:keepLines w:val="0"/>
        <w:pageBreakBefore w:val="0"/>
        <w:widowControl w:val="0"/>
        <w:numPr>
          <w:ilvl w:val="0"/>
          <w:numId w:val="640"/>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软件介绍</w:t>
      </w:r>
    </w:p>
    <w:p w14:paraId="2C079270">
      <w:pPr>
        <w:keepNext w:val="0"/>
        <w:keepLines w:val="0"/>
        <w:pageBreakBefore w:val="0"/>
        <w:widowControl/>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color w:val="000000"/>
          <w:sz w:val="24"/>
        </w:rPr>
        <w:t>软件操作界面，采用中文设计，便于操作和维护，各界面层次分明、美观；测试开始和结束时有开始和结束提示，测试结果明确显示；测试过程和测试步骤在界面实时显示；车辆基本信息显示在界面上；不合格项使用红色字体显著方式显示；测试过程中需要操作人员的操作内容，界面将做出相应提示。</w:t>
      </w:r>
    </w:p>
    <w:p w14:paraId="41EF26B9">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车辆快慢充电检测仪</w:t>
      </w:r>
    </w:p>
    <w:p w14:paraId="2590B120">
      <w:pPr>
        <w:keepNext w:val="0"/>
        <w:keepLines w:val="0"/>
        <w:pageBreakBefore w:val="0"/>
        <w:widowControl w:val="0"/>
        <w:numPr>
          <w:ilvl w:val="0"/>
          <w:numId w:val="648"/>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5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2823"/>
        <w:gridCol w:w="1945"/>
        <w:gridCol w:w="973"/>
        <w:gridCol w:w="1151"/>
        <w:gridCol w:w="1530"/>
      </w:tblGrid>
      <w:tr w14:paraId="3CE3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636" w:type="pct"/>
            <w:vAlign w:val="center"/>
          </w:tcPr>
          <w:p w14:paraId="1E11A845">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462" w:type="pct"/>
            <w:vAlign w:val="center"/>
          </w:tcPr>
          <w:p w14:paraId="3707336A">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1007" w:type="pct"/>
            <w:vAlign w:val="center"/>
          </w:tcPr>
          <w:p w14:paraId="45F8A1E5">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504" w:type="pct"/>
            <w:vAlign w:val="center"/>
          </w:tcPr>
          <w:p w14:paraId="7E83D3B7">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596" w:type="pct"/>
            <w:vAlign w:val="center"/>
          </w:tcPr>
          <w:p w14:paraId="5F839D36">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792" w:type="pct"/>
            <w:vAlign w:val="center"/>
          </w:tcPr>
          <w:p w14:paraId="2587DF14">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65503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36" w:type="pct"/>
            <w:vAlign w:val="center"/>
          </w:tcPr>
          <w:p w14:paraId="639DFF4C">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462" w:type="pct"/>
            <w:vAlign w:val="center"/>
          </w:tcPr>
          <w:p w14:paraId="4B0C1B28">
            <w:pPr>
              <w:keepNext w:val="0"/>
              <w:keepLines w:val="0"/>
              <w:pageBreakBefore w:val="0"/>
              <w:kinsoku/>
              <w:overflowPunct/>
              <w:topLinePunct w:val="0"/>
              <w:bidi w:val="0"/>
              <w:adjustRightInd w:val="0"/>
              <w:snapToGrid w:val="0"/>
              <w:spacing w:afterAutospacing="0" w:line="240" w:lineRule="auto"/>
              <w:jc w:val="left"/>
              <w:rPr>
                <w:rFonts w:ascii="宋体" w:hAnsi="宋体" w:eastAsia="宋体" w:cs="宋体"/>
                <w:sz w:val="24"/>
                <w:szCs w:val="24"/>
              </w:rPr>
            </w:pPr>
            <w:r>
              <w:rPr>
                <w:rFonts w:hint="eastAsia" w:ascii="宋体" w:hAnsi="宋体" w:eastAsia="宋体" w:cs="宋体"/>
                <w:sz w:val="24"/>
                <w:szCs w:val="24"/>
              </w:rPr>
              <w:t>车辆快慢充电检测设备</w:t>
            </w:r>
          </w:p>
        </w:tc>
        <w:tc>
          <w:tcPr>
            <w:tcW w:w="1007" w:type="pct"/>
            <w:vAlign w:val="center"/>
          </w:tcPr>
          <w:p w14:paraId="29AC7642">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充电检测</w:t>
            </w:r>
          </w:p>
        </w:tc>
        <w:tc>
          <w:tcPr>
            <w:tcW w:w="504" w:type="pct"/>
            <w:vAlign w:val="center"/>
          </w:tcPr>
          <w:p w14:paraId="24237CE5">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596" w:type="pct"/>
            <w:vAlign w:val="center"/>
          </w:tcPr>
          <w:p w14:paraId="7C18E0CE">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台</w:t>
            </w:r>
          </w:p>
        </w:tc>
        <w:tc>
          <w:tcPr>
            <w:tcW w:w="792" w:type="pct"/>
          </w:tcPr>
          <w:p w14:paraId="5467CBA8">
            <w:pPr>
              <w:keepNext w:val="0"/>
              <w:keepLines w:val="0"/>
              <w:pageBreakBefore w:val="0"/>
              <w:tabs>
                <w:tab w:val="left" w:pos="420"/>
                <w:tab w:val="left" w:pos="840"/>
              </w:tabs>
              <w:kinsoku/>
              <w:overflowPunct/>
              <w:topLinePunct w:val="0"/>
              <w:bidi w:val="0"/>
              <w:adjustRightInd w:val="0"/>
              <w:snapToGrid w:val="0"/>
              <w:spacing w:afterAutospacing="0" w:line="240" w:lineRule="auto"/>
              <w:rPr>
                <w:rFonts w:ascii="宋体" w:hAnsi="宋体" w:eastAsia="宋体" w:cs="宋体"/>
                <w:sz w:val="24"/>
                <w:szCs w:val="24"/>
              </w:rPr>
            </w:pPr>
          </w:p>
        </w:tc>
      </w:tr>
    </w:tbl>
    <w:p w14:paraId="1BB62775">
      <w:pPr>
        <w:keepNext w:val="0"/>
        <w:keepLines w:val="0"/>
        <w:pageBreakBefore w:val="0"/>
        <w:widowControl w:val="0"/>
        <w:numPr>
          <w:ilvl w:val="0"/>
          <w:numId w:val="648"/>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工艺技术要求</w:t>
      </w:r>
    </w:p>
    <w:p w14:paraId="2E4A57E6">
      <w:pPr>
        <w:keepNext w:val="0"/>
        <w:keepLines w:val="0"/>
        <w:pageBreakBefore w:val="0"/>
        <w:widowControl w:val="0"/>
        <w:numPr>
          <w:ilvl w:val="0"/>
          <w:numId w:val="64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车辆快慢充电检测仪设备要求</w:t>
      </w:r>
    </w:p>
    <w:p w14:paraId="31F202AF">
      <w:pPr>
        <w:keepNext w:val="0"/>
        <w:keepLines w:val="0"/>
        <w:pageBreakBefore w:val="0"/>
        <w:widowControl/>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测试系统内置电动电气安全性能综合分析仪，能满足车辆的快慢充功能的检测符合汽车相关国家标准要求： </w:t>
      </w:r>
    </w:p>
    <w:p w14:paraId="23515970">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GB/18384-2020电动汽车安全要求 </w:t>
      </w:r>
    </w:p>
    <w:p w14:paraId="45B359AB">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GB/38032-2020电动汽车安全要求 </w:t>
      </w:r>
    </w:p>
    <w:p w14:paraId="352E1CD7">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GB/T 20234.1-2015 电动汽车传导充电用连接装置第1部分：通用要求 </w:t>
      </w:r>
    </w:p>
    <w:p w14:paraId="227BBC7C">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GB/T20234.2-2015 电动汽车传导充电用连接装置第2部分：交流充电接口 </w:t>
      </w:r>
    </w:p>
    <w:p w14:paraId="25616C4C">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GB/T20234.3-2015 电动汽车传导充电用连接装置第3部分：直流充电接口 </w:t>
      </w:r>
    </w:p>
    <w:p w14:paraId="1DE561AA">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 xml:space="preserve">GB 7258-2017 机动车运行安全技术条件 </w:t>
      </w:r>
    </w:p>
    <w:p w14:paraId="438FC369">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color w:val="000000"/>
          <w:sz w:val="24"/>
        </w:rPr>
        <w:t>GB/T 18384.1-2015 电动汽车安全要求第1部分：车载可充电储能系统</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REESS</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3F9EB647">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color w:val="000000"/>
          <w:sz w:val="24"/>
        </w:rPr>
      </w:pPr>
      <w:r>
        <w:rPr>
          <w:rFonts w:ascii="Times New Roman" w:hAnsi="Times New Roman" w:eastAsia="宋体" w:cs="Times New Roman"/>
          <w:color w:val="000000"/>
          <w:sz w:val="24"/>
        </w:rPr>
        <w:t>GB/T 18384.3-2015 电动汽车安全要求第3部分：人员触电防护</w:t>
      </w:r>
    </w:p>
    <w:p w14:paraId="1BE0DEEA">
      <w:pPr>
        <w:keepNext w:val="0"/>
        <w:keepLines w:val="0"/>
        <w:pageBreakBefore w:val="0"/>
        <w:widowControl w:val="0"/>
        <w:numPr>
          <w:ilvl w:val="0"/>
          <w:numId w:val="649"/>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测试内容</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08" w:type="dxa"/>
          <w:bottom w:w="15" w:type="dxa"/>
          <w:right w:w="108" w:type="dxa"/>
        </w:tblCellMar>
      </w:tblPr>
      <w:tblGrid>
        <w:gridCol w:w="852"/>
        <w:gridCol w:w="2107"/>
        <w:gridCol w:w="6695"/>
      </w:tblGrid>
      <w:tr w14:paraId="2B89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567" w:hRule="atLeast"/>
          <w:jc w:val="center"/>
        </w:trPr>
        <w:tc>
          <w:tcPr>
            <w:tcW w:w="441" w:type="pct"/>
            <w:vAlign w:val="center"/>
          </w:tcPr>
          <w:p w14:paraId="5FFCAE96">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091" w:type="pct"/>
            <w:shd w:val="clear" w:color="auto" w:fill="FFFFFF"/>
            <w:vAlign w:val="center"/>
          </w:tcPr>
          <w:p w14:paraId="0CD2DFE5">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hint="eastAsia" w:ascii="宋体" w:hAnsi="宋体" w:eastAsia="宋体" w:cs="宋体"/>
                <w:sz w:val="24"/>
                <w:szCs w:val="24"/>
              </w:rPr>
              <w:t>内容</w:t>
            </w:r>
          </w:p>
        </w:tc>
        <w:tc>
          <w:tcPr>
            <w:tcW w:w="3466" w:type="pct"/>
            <w:vAlign w:val="center"/>
          </w:tcPr>
          <w:p w14:paraId="5851D354">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kern w:val="0"/>
                <w:sz w:val="24"/>
                <w:szCs w:val="24"/>
              </w:rPr>
            </w:pPr>
            <w:r>
              <w:rPr>
                <w:rFonts w:hint="eastAsia" w:ascii="宋体" w:hAnsi="宋体" w:eastAsia="宋体" w:cs="宋体"/>
                <w:sz w:val="24"/>
                <w:szCs w:val="24"/>
              </w:rPr>
              <w:t>描述</w:t>
            </w:r>
          </w:p>
        </w:tc>
      </w:tr>
      <w:tr w14:paraId="178A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567" w:hRule="atLeast"/>
          <w:jc w:val="center"/>
        </w:trPr>
        <w:tc>
          <w:tcPr>
            <w:tcW w:w="441" w:type="pct"/>
            <w:vAlign w:val="center"/>
          </w:tcPr>
          <w:p w14:paraId="301FA93B">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1091" w:type="pct"/>
            <w:shd w:val="clear" w:color="auto" w:fill="FFFFFF"/>
            <w:vAlign w:val="center"/>
          </w:tcPr>
          <w:p w14:paraId="3D644A24">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kern w:val="0"/>
                <w:sz w:val="24"/>
                <w:szCs w:val="24"/>
              </w:rPr>
            </w:pPr>
            <w:r>
              <w:rPr>
                <w:rFonts w:hint="eastAsia" w:ascii="宋体" w:hAnsi="宋体" w:eastAsia="宋体" w:cs="宋体"/>
                <w:kern w:val="0"/>
                <w:sz w:val="24"/>
                <w:szCs w:val="24"/>
              </w:rPr>
              <w:t>直流充电检测</w:t>
            </w:r>
          </w:p>
        </w:tc>
        <w:tc>
          <w:tcPr>
            <w:tcW w:w="3466" w:type="pct"/>
            <w:vAlign w:val="center"/>
          </w:tcPr>
          <w:p w14:paraId="32876E22">
            <w:pPr>
              <w:keepNext w:val="0"/>
              <w:keepLines w:val="0"/>
              <w:pageBreakBefore w:val="0"/>
              <w:widowControl/>
              <w:numPr>
                <w:ilvl w:val="0"/>
                <w:numId w:val="0"/>
              </w:numPr>
              <w:kinsoku/>
              <w:overflowPunct/>
              <w:topLinePunct w:val="0"/>
              <w:bidi w:val="0"/>
              <w:adjustRightInd w:val="0"/>
              <w:snapToGrid w:val="0"/>
              <w:spacing w:afterAutospacing="0" w:line="360" w:lineRule="auto"/>
              <w:ind w:left="425" w:leftChars="0" w:hanging="425" w:firstLineChars="0"/>
              <w:rPr>
                <w:rFonts w:ascii="宋体" w:hAnsi="宋体" w:eastAsia="宋体" w:cs="宋体"/>
                <w:kern w:val="0"/>
                <w:sz w:val="24"/>
                <w:szCs w:val="24"/>
              </w:rPr>
            </w:pPr>
            <w:r>
              <w:rPr>
                <w:rFonts w:hint="default" w:ascii="宋体" w:hAnsi="宋体" w:eastAsia="宋体" w:cs="宋体"/>
                <w:kern w:val="0"/>
                <w:sz w:val="24"/>
                <w:szCs w:val="24"/>
                <w:lang w:val="en-US" w:eastAsia="zh-CN" w:bidi="ar-SA"/>
              </w:rPr>
              <w:t>1</w:t>
            </w:r>
            <w:r>
              <w:rPr>
                <w:rFonts w:hint="eastAsia" w:ascii="宋体" w:hAnsi="宋体" w:eastAsia="宋体" w:cs="宋体"/>
                <w:kern w:val="0"/>
                <w:sz w:val="24"/>
                <w:szCs w:val="24"/>
                <w:lang w:val="en-US" w:eastAsia="zh-CN" w:bidi="ar-SA"/>
              </w:rPr>
              <w:t>）</w:t>
            </w:r>
            <w:r>
              <w:rPr>
                <w:rFonts w:hint="eastAsia" w:ascii="宋体" w:hAnsi="宋体" w:eastAsia="宋体" w:cs="宋体"/>
                <w:kern w:val="0"/>
                <w:sz w:val="24"/>
                <w:szCs w:val="24"/>
              </w:rPr>
              <w:t>测量车辆直流充电功能是否正常</w:t>
            </w:r>
          </w:p>
          <w:p w14:paraId="1B46E8B7">
            <w:pPr>
              <w:keepNext w:val="0"/>
              <w:keepLines w:val="0"/>
              <w:pageBreakBefore w:val="0"/>
              <w:widowControl/>
              <w:numPr>
                <w:ilvl w:val="0"/>
                <w:numId w:val="0"/>
              </w:numPr>
              <w:kinsoku/>
              <w:overflowPunct/>
              <w:topLinePunct w:val="0"/>
              <w:bidi w:val="0"/>
              <w:adjustRightInd w:val="0"/>
              <w:snapToGrid w:val="0"/>
              <w:spacing w:afterAutospacing="0" w:line="360" w:lineRule="auto"/>
              <w:ind w:left="425" w:leftChars="0" w:hanging="425" w:firstLineChars="0"/>
              <w:rPr>
                <w:rFonts w:ascii="宋体" w:hAnsi="宋体" w:eastAsia="宋体" w:cs="宋体"/>
                <w:kern w:val="0"/>
                <w:sz w:val="24"/>
                <w:szCs w:val="24"/>
              </w:rPr>
            </w:pPr>
            <w:r>
              <w:rPr>
                <w:rFonts w:hint="default" w:ascii="宋体" w:hAnsi="宋体" w:eastAsia="宋体" w:cs="宋体"/>
                <w:kern w:val="0"/>
                <w:sz w:val="24"/>
                <w:szCs w:val="24"/>
                <w:lang w:val="en-US" w:eastAsia="zh-CN" w:bidi="ar-SA"/>
              </w:rPr>
              <w:t>2</w:t>
            </w:r>
            <w:r>
              <w:rPr>
                <w:rFonts w:hint="eastAsia" w:ascii="宋体" w:hAnsi="宋体" w:eastAsia="宋体" w:cs="宋体"/>
                <w:kern w:val="0"/>
                <w:sz w:val="24"/>
                <w:szCs w:val="24"/>
                <w:lang w:val="en-US" w:eastAsia="zh-CN" w:bidi="ar-SA"/>
              </w:rPr>
              <w:t>）</w:t>
            </w:r>
            <w:r>
              <w:rPr>
                <w:rFonts w:hint="eastAsia" w:ascii="宋体" w:hAnsi="宋体" w:eastAsia="宋体" w:cs="宋体"/>
                <w:kern w:val="0"/>
                <w:sz w:val="24"/>
                <w:szCs w:val="24"/>
              </w:rPr>
              <w:t>记录充电过程数据：</w:t>
            </w:r>
            <w:r>
              <w:rPr>
                <w:rFonts w:hint="eastAsia" w:ascii="宋体" w:hAnsi="宋体" w:eastAsia="宋体" w:cs="宋体"/>
                <w:kern w:val="0"/>
                <w:sz w:val="24"/>
                <w:szCs w:val="24"/>
                <w:lang w:val="en-US" w:eastAsia="zh-CN"/>
              </w:rPr>
              <w:t>动力</w:t>
            </w:r>
            <w:r>
              <w:rPr>
                <w:rFonts w:hint="eastAsia" w:ascii="宋体" w:hAnsi="宋体" w:eastAsia="宋体" w:cs="宋体"/>
                <w:kern w:val="0"/>
                <w:sz w:val="24"/>
                <w:szCs w:val="24"/>
              </w:rPr>
              <w:t>电池类型、</w:t>
            </w:r>
            <w:r>
              <w:rPr>
                <w:rFonts w:hint="eastAsia" w:ascii="宋体" w:hAnsi="宋体" w:eastAsia="宋体" w:cs="宋体"/>
                <w:kern w:val="0"/>
                <w:sz w:val="24"/>
                <w:szCs w:val="24"/>
                <w:lang w:val="en-US" w:eastAsia="zh-CN"/>
              </w:rPr>
              <w:t>动力</w:t>
            </w:r>
            <w:r>
              <w:rPr>
                <w:rFonts w:hint="eastAsia" w:ascii="宋体" w:hAnsi="宋体" w:eastAsia="宋体" w:cs="宋体"/>
                <w:kern w:val="0"/>
                <w:sz w:val="24"/>
                <w:szCs w:val="24"/>
              </w:rPr>
              <w:t>电池额定容量、</w:t>
            </w:r>
            <w:r>
              <w:rPr>
                <w:rFonts w:hint="eastAsia" w:ascii="宋体" w:hAnsi="宋体" w:eastAsia="宋体" w:cs="宋体"/>
                <w:kern w:val="0"/>
                <w:sz w:val="24"/>
                <w:szCs w:val="24"/>
                <w:lang w:val="en-US" w:eastAsia="zh-CN"/>
              </w:rPr>
              <w:t>动力</w:t>
            </w:r>
            <w:r>
              <w:rPr>
                <w:rFonts w:hint="eastAsia" w:ascii="宋体" w:hAnsi="宋体" w:eastAsia="宋体" w:cs="宋体"/>
                <w:kern w:val="0"/>
                <w:sz w:val="24"/>
                <w:szCs w:val="24"/>
              </w:rPr>
              <w:t>电池额定总电压、</w:t>
            </w:r>
            <w:r>
              <w:rPr>
                <w:rFonts w:ascii="宋体" w:hAnsi="宋体" w:eastAsia="宋体" w:cs="宋体"/>
                <w:kern w:val="0"/>
                <w:sz w:val="24"/>
                <w:szCs w:val="24"/>
              </w:rPr>
              <w:t>SOC、</w:t>
            </w:r>
            <w:r>
              <w:rPr>
                <w:rFonts w:hint="eastAsia" w:ascii="宋体" w:hAnsi="宋体" w:eastAsia="宋体" w:cs="宋体"/>
                <w:kern w:val="0"/>
                <w:sz w:val="24"/>
                <w:szCs w:val="24"/>
              </w:rPr>
              <w:t>电池总电压、充电电流、最高动力电池温度、最低动力电池温度等</w:t>
            </w:r>
          </w:p>
        </w:tc>
      </w:tr>
      <w:tr w14:paraId="0290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08" w:type="dxa"/>
            <w:bottom w:w="15" w:type="dxa"/>
            <w:right w:w="108" w:type="dxa"/>
          </w:tblCellMar>
        </w:tblPrEx>
        <w:trPr>
          <w:trHeight w:val="567" w:hRule="atLeast"/>
          <w:jc w:val="center"/>
        </w:trPr>
        <w:tc>
          <w:tcPr>
            <w:tcW w:w="441" w:type="pct"/>
            <w:vAlign w:val="center"/>
          </w:tcPr>
          <w:p w14:paraId="295F334B">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kern w:val="0"/>
                <w:sz w:val="24"/>
                <w:szCs w:val="24"/>
              </w:rPr>
            </w:pPr>
            <w:r>
              <w:rPr>
                <w:rFonts w:ascii="宋体" w:hAnsi="宋体" w:eastAsia="宋体" w:cs="宋体"/>
                <w:kern w:val="0"/>
                <w:sz w:val="24"/>
                <w:szCs w:val="24"/>
              </w:rPr>
              <w:t>2</w:t>
            </w:r>
          </w:p>
        </w:tc>
        <w:tc>
          <w:tcPr>
            <w:tcW w:w="1091" w:type="pct"/>
            <w:shd w:val="clear" w:color="auto" w:fill="FFFFFF"/>
            <w:vAlign w:val="center"/>
          </w:tcPr>
          <w:p w14:paraId="7F72C1AE">
            <w:pPr>
              <w:keepNext w:val="0"/>
              <w:keepLines w:val="0"/>
              <w:pageBreakBefore w:val="0"/>
              <w:widowControl/>
              <w:kinsoku/>
              <w:overflowPunct/>
              <w:topLinePunct w:val="0"/>
              <w:bidi w:val="0"/>
              <w:adjustRightInd w:val="0"/>
              <w:snapToGrid w:val="0"/>
              <w:spacing w:afterAutospacing="0" w:line="360" w:lineRule="auto"/>
              <w:jc w:val="center"/>
              <w:rPr>
                <w:rFonts w:ascii="宋体" w:hAnsi="宋体" w:eastAsia="宋体" w:cs="宋体"/>
                <w:kern w:val="0"/>
                <w:sz w:val="24"/>
                <w:szCs w:val="24"/>
              </w:rPr>
            </w:pPr>
            <w:r>
              <w:rPr>
                <w:rFonts w:hint="eastAsia" w:ascii="宋体" w:hAnsi="宋体" w:eastAsia="宋体" w:cs="宋体"/>
                <w:kern w:val="0"/>
                <w:sz w:val="24"/>
                <w:szCs w:val="24"/>
              </w:rPr>
              <w:t>交流充电检测</w:t>
            </w:r>
          </w:p>
        </w:tc>
        <w:tc>
          <w:tcPr>
            <w:tcW w:w="3466" w:type="pct"/>
            <w:vAlign w:val="center"/>
          </w:tcPr>
          <w:p w14:paraId="6BB7FD5B">
            <w:pPr>
              <w:keepNext w:val="0"/>
              <w:keepLines w:val="0"/>
              <w:pageBreakBefore w:val="0"/>
              <w:widowControl/>
              <w:numPr>
                <w:ilvl w:val="0"/>
                <w:numId w:val="0"/>
              </w:numPr>
              <w:kinsoku/>
              <w:overflowPunct/>
              <w:topLinePunct w:val="0"/>
              <w:bidi w:val="0"/>
              <w:adjustRightInd w:val="0"/>
              <w:snapToGrid w:val="0"/>
              <w:spacing w:afterAutospacing="0" w:line="360" w:lineRule="auto"/>
              <w:ind w:left="425" w:leftChars="0" w:hanging="425" w:firstLineChars="0"/>
              <w:rPr>
                <w:rFonts w:ascii="宋体" w:hAnsi="宋体" w:eastAsia="宋体" w:cs="宋体"/>
                <w:kern w:val="0"/>
                <w:sz w:val="24"/>
                <w:szCs w:val="24"/>
              </w:rPr>
            </w:pPr>
            <w:r>
              <w:rPr>
                <w:rFonts w:hint="default" w:ascii="宋体" w:hAnsi="宋体" w:eastAsia="宋体" w:cs="宋体"/>
                <w:kern w:val="0"/>
                <w:sz w:val="24"/>
                <w:szCs w:val="24"/>
                <w:lang w:val="en-US" w:eastAsia="zh-CN" w:bidi="ar-SA"/>
              </w:rPr>
              <w:t>1</w:t>
            </w:r>
            <w:r>
              <w:rPr>
                <w:rFonts w:hint="eastAsia" w:ascii="宋体" w:hAnsi="宋体" w:eastAsia="宋体" w:cs="宋体"/>
                <w:kern w:val="0"/>
                <w:sz w:val="24"/>
                <w:szCs w:val="24"/>
                <w:lang w:val="en-US" w:eastAsia="zh-CN" w:bidi="ar-SA"/>
              </w:rPr>
              <w:t>）</w:t>
            </w:r>
            <w:r>
              <w:rPr>
                <w:rFonts w:hint="eastAsia" w:ascii="宋体" w:hAnsi="宋体" w:eastAsia="宋体" w:cs="宋体"/>
                <w:kern w:val="0"/>
                <w:sz w:val="24"/>
                <w:szCs w:val="24"/>
              </w:rPr>
              <w:t>测量车辆交流充电功能是否正常</w:t>
            </w:r>
          </w:p>
          <w:p w14:paraId="1A40E5BF">
            <w:pPr>
              <w:keepNext w:val="0"/>
              <w:keepLines w:val="0"/>
              <w:pageBreakBefore w:val="0"/>
              <w:widowControl/>
              <w:numPr>
                <w:ilvl w:val="0"/>
                <w:numId w:val="0"/>
              </w:numPr>
              <w:kinsoku/>
              <w:overflowPunct/>
              <w:topLinePunct w:val="0"/>
              <w:bidi w:val="0"/>
              <w:adjustRightInd w:val="0"/>
              <w:snapToGrid w:val="0"/>
              <w:spacing w:afterAutospacing="0" w:line="360" w:lineRule="auto"/>
              <w:ind w:left="425" w:leftChars="0" w:hanging="425" w:firstLineChars="0"/>
              <w:rPr>
                <w:rFonts w:ascii="宋体" w:hAnsi="宋体" w:eastAsia="宋体" w:cs="宋体"/>
                <w:kern w:val="0"/>
                <w:sz w:val="24"/>
                <w:szCs w:val="24"/>
              </w:rPr>
            </w:pPr>
            <w:r>
              <w:rPr>
                <w:rFonts w:hint="default" w:ascii="宋体" w:hAnsi="宋体" w:eastAsia="宋体" w:cs="宋体"/>
                <w:kern w:val="0"/>
                <w:sz w:val="24"/>
                <w:szCs w:val="24"/>
                <w:lang w:val="en-US" w:eastAsia="zh-CN" w:bidi="ar-SA"/>
              </w:rPr>
              <w:t>2</w:t>
            </w:r>
            <w:r>
              <w:rPr>
                <w:rFonts w:hint="eastAsia" w:ascii="宋体" w:hAnsi="宋体" w:eastAsia="宋体" w:cs="宋体"/>
                <w:kern w:val="0"/>
                <w:sz w:val="24"/>
                <w:szCs w:val="24"/>
                <w:lang w:val="en-US" w:eastAsia="zh-CN" w:bidi="ar-SA"/>
              </w:rPr>
              <w:t>）</w:t>
            </w:r>
            <w:r>
              <w:rPr>
                <w:rFonts w:hint="eastAsia" w:ascii="宋体" w:hAnsi="宋体" w:eastAsia="宋体" w:cs="宋体"/>
                <w:kern w:val="0"/>
                <w:sz w:val="24"/>
                <w:szCs w:val="24"/>
              </w:rPr>
              <w:t>记录充电过程数据：充电电压、充电电流等</w:t>
            </w:r>
          </w:p>
        </w:tc>
      </w:tr>
    </w:tbl>
    <w:p w14:paraId="4F53FD27">
      <w:pPr>
        <w:keepNext w:val="0"/>
        <w:keepLines w:val="0"/>
        <w:pageBreakBefore w:val="0"/>
        <w:widowControl w:val="0"/>
        <w:numPr>
          <w:ilvl w:val="0"/>
          <w:numId w:val="649"/>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测试项目：</w:t>
      </w:r>
    </w:p>
    <w:p w14:paraId="0F22601B">
      <w:pPr>
        <w:keepNext w:val="0"/>
        <w:keepLines w:val="0"/>
        <w:pageBreakBefore w:val="0"/>
        <w:widowControl/>
        <w:numPr>
          <w:ilvl w:val="0"/>
          <w:numId w:val="65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电动车快充、慢充功能完好测试</w:t>
      </w:r>
      <w:r>
        <w:rPr>
          <w:rFonts w:hint="eastAsia" w:ascii="Times New Roman" w:hAnsi="Times New Roman" w:eastAsia="宋体" w:cs="Times New Roman"/>
          <w:color w:val="000000"/>
          <w:sz w:val="24"/>
          <w:lang w:eastAsia="zh-CN"/>
        </w:rPr>
        <w:t>。</w:t>
      </w:r>
    </w:p>
    <w:p w14:paraId="3F928C9D">
      <w:pPr>
        <w:keepNext w:val="0"/>
        <w:keepLines w:val="0"/>
        <w:pageBreakBefore w:val="0"/>
        <w:widowControl/>
        <w:numPr>
          <w:ilvl w:val="0"/>
          <w:numId w:val="65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充电过程中实时检测：系统实时记录充电各项数据（包括电压、 </w:t>
      </w:r>
    </w:p>
    <w:p w14:paraId="1F5AE801">
      <w:pPr>
        <w:keepNext w:val="0"/>
        <w:keepLines w:val="0"/>
        <w:pageBreakBefore w:val="0"/>
        <w:widowControl/>
        <w:numPr>
          <w:ilvl w:val="0"/>
          <w:numId w:val="0"/>
        </w:numPr>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b w:val="0"/>
          <w:sz w:val="24"/>
          <w:lang w:eastAsia="zh-CN"/>
        </w:rPr>
      </w:pPr>
      <w:r>
        <w:rPr>
          <w:rFonts w:ascii="Times New Roman" w:hAnsi="Times New Roman" w:eastAsia="宋体" w:cs="Times New Roman"/>
          <w:color w:val="000000"/>
          <w:sz w:val="24"/>
        </w:rPr>
        <w:t>电流、充电量、SOC、电池温度变化</w:t>
      </w:r>
      <w:r>
        <w:rPr>
          <w:rFonts w:hint="eastAsia" w:ascii="Times New Roman" w:hAnsi="Times New Roman" w:eastAsia="宋体" w:cs="Times New Roman"/>
          <w:color w:val="000000"/>
          <w:sz w:val="24"/>
          <w:lang w:eastAsia="zh-CN"/>
        </w:rPr>
        <w:t>、</w:t>
      </w:r>
      <w:r>
        <w:rPr>
          <w:rFonts w:hint="eastAsia" w:ascii="Times New Roman" w:hAnsi="Times New Roman" w:eastAsia="宋体" w:cs="Times New Roman"/>
          <w:color w:val="000000"/>
          <w:sz w:val="24"/>
          <w:lang w:val="en-US" w:eastAsia="zh-CN"/>
        </w:rPr>
        <w:t>充电时间</w:t>
      </w:r>
      <w:r>
        <w:rPr>
          <w:rFonts w:ascii="Times New Roman" w:hAnsi="Times New Roman" w:eastAsia="宋体" w:cs="Times New Roman"/>
          <w:color w:val="000000"/>
          <w:sz w:val="24"/>
        </w:rPr>
        <w:t>等</w:t>
      </w:r>
      <w:r>
        <w:rPr>
          <w:rFonts w:hint="eastAsia" w:ascii="Times New Roman" w:hAnsi="Times New Roman" w:eastAsia="宋体" w:cs="Times New Roman"/>
          <w:color w:val="000000"/>
          <w:sz w:val="24"/>
          <w:lang w:eastAsia="zh-CN"/>
        </w:rPr>
        <w:t>）。</w:t>
      </w:r>
    </w:p>
    <w:p w14:paraId="60A49D51">
      <w:pPr>
        <w:keepNext w:val="0"/>
        <w:keepLines w:val="0"/>
        <w:pageBreakBefore w:val="0"/>
        <w:widowControl/>
        <w:numPr>
          <w:ilvl w:val="0"/>
          <w:numId w:val="65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快充、慢充充电效率测试 </w:t>
      </w:r>
      <w:r>
        <w:rPr>
          <w:rFonts w:hint="eastAsia" w:ascii="Times New Roman" w:hAnsi="Times New Roman" w:eastAsia="宋体" w:cs="Times New Roman"/>
          <w:color w:val="000000"/>
          <w:sz w:val="24"/>
          <w:lang w:eastAsia="zh-CN"/>
        </w:rPr>
        <w:t>。</w:t>
      </w:r>
    </w:p>
    <w:p w14:paraId="1A515AA7">
      <w:pPr>
        <w:keepNext w:val="0"/>
        <w:keepLines w:val="0"/>
        <w:pageBreakBefore w:val="0"/>
        <w:widowControl/>
        <w:numPr>
          <w:ilvl w:val="0"/>
          <w:numId w:val="65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直流充电时实时监控充电接头的温度，判断充电是否异常 </w:t>
      </w:r>
      <w:r>
        <w:rPr>
          <w:rFonts w:hint="eastAsia" w:ascii="Times New Roman" w:hAnsi="Times New Roman" w:eastAsia="宋体" w:cs="Times New Roman"/>
          <w:color w:val="000000"/>
          <w:sz w:val="24"/>
          <w:lang w:eastAsia="zh-CN"/>
        </w:rPr>
        <w:t>。</w:t>
      </w:r>
    </w:p>
    <w:p w14:paraId="3803A9B7">
      <w:pPr>
        <w:keepNext w:val="0"/>
        <w:keepLines w:val="0"/>
        <w:pageBreakBefore w:val="0"/>
        <w:widowControl/>
        <w:numPr>
          <w:ilvl w:val="0"/>
          <w:numId w:val="65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直流充电异常故障模拟测试</w:t>
      </w:r>
      <w:r>
        <w:rPr>
          <w:rFonts w:hint="eastAsia" w:ascii="Times New Roman" w:hAnsi="Times New Roman" w:eastAsia="宋体" w:cs="Times New Roman"/>
          <w:color w:val="000000"/>
          <w:sz w:val="24"/>
          <w:lang w:eastAsia="zh-CN"/>
        </w:rPr>
        <w:t>。</w:t>
      </w:r>
    </w:p>
    <w:p w14:paraId="0D5531FF">
      <w:pPr>
        <w:keepNext w:val="0"/>
        <w:keepLines w:val="0"/>
        <w:pageBreakBefore w:val="0"/>
        <w:widowControl/>
        <w:numPr>
          <w:ilvl w:val="0"/>
          <w:numId w:val="65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交流充电异常故障模拟测试</w:t>
      </w:r>
      <w:r>
        <w:rPr>
          <w:rFonts w:hint="eastAsia" w:ascii="Times New Roman" w:hAnsi="Times New Roman" w:eastAsia="宋体" w:cs="Times New Roman"/>
          <w:color w:val="000000"/>
          <w:sz w:val="24"/>
          <w:lang w:eastAsia="zh-CN"/>
        </w:rPr>
        <w:t>。</w:t>
      </w:r>
    </w:p>
    <w:p w14:paraId="7D748AF5">
      <w:pPr>
        <w:keepNext w:val="0"/>
        <w:keepLines w:val="0"/>
        <w:pageBreakBefore w:val="0"/>
        <w:widowControl w:val="0"/>
        <w:numPr>
          <w:ilvl w:val="0"/>
          <w:numId w:val="64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直流充电异常故障模拟测试</w:t>
      </w:r>
    </w:p>
    <w:p w14:paraId="45139742">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直流枪连接确认测试</w:t>
      </w:r>
      <w:r>
        <w:rPr>
          <w:rFonts w:hint="eastAsia" w:ascii="Times New Roman" w:hAnsi="Times New Roman" w:eastAsia="宋体" w:cs="Times New Roman"/>
          <w:color w:val="000000"/>
          <w:sz w:val="24"/>
          <w:lang w:eastAsia="zh-CN"/>
        </w:rPr>
        <w:t>。</w:t>
      </w:r>
    </w:p>
    <w:p w14:paraId="4C132694">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自检测阶段检测点2电压上下限超越测试</w:t>
      </w:r>
      <w:r>
        <w:rPr>
          <w:rFonts w:hint="eastAsia" w:ascii="Times New Roman" w:hAnsi="Times New Roman" w:eastAsia="宋体" w:cs="Times New Roman"/>
          <w:color w:val="000000"/>
          <w:sz w:val="24"/>
          <w:lang w:eastAsia="zh-CN"/>
        </w:rPr>
        <w:t>。</w:t>
      </w:r>
    </w:p>
    <w:p w14:paraId="157ACA25">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充电机辨识报文发送超时测试</w:t>
      </w:r>
      <w:r>
        <w:rPr>
          <w:rFonts w:hint="eastAsia" w:ascii="Times New Roman" w:hAnsi="Times New Roman" w:eastAsia="宋体" w:cs="Times New Roman"/>
          <w:color w:val="000000"/>
          <w:sz w:val="24"/>
          <w:lang w:eastAsia="zh-CN"/>
        </w:rPr>
        <w:t>。</w:t>
      </w:r>
    </w:p>
    <w:p w14:paraId="0E85987B">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参数配置阶段报文发送超时测试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7ECD0581">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充电阶段报文发送超时测试</w:t>
      </w:r>
      <w:r>
        <w:rPr>
          <w:rFonts w:hint="eastAsia" w:ascii="Times New Roman" w:hAnsi="Times New Roman" w:eastAsia="宋体" w:cs="Times New Roman"/>
          <w:color w:val="000000"/>
          <w:sz w:val="24"/>
          <w:lang w:eastAsia="zh-CN"/>
        </w:rPr>
        <w:t>。</w:t>
      </w:r>
    </w:p>
    <w:p w14:paraId="43DFA3F1">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充电结束阶段报文发送超时测试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423DEAAB">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直流充电时序测试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2DC2199E">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充电中绝缘故障测试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084D9B22">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充电中通信中断测试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74B4B22E">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充电中PE断针测试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5B82B652">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充电中检测点2电压上下限超越测试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5A8BDA40">
      <w:pPr>
        <w:keepNext w:val="0"/>
        <w:keepLines w:val="0"/>
        <w:pageBreakBefore w:val="0"/>
        <w:widowControl/>
        <w:numPr>
          <w:ilvl w:val="0"/>
          <w:numId w:val="65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辅助电源边界电压值测试</w:t>
      </w:r>
      <w:r>
        <w:rPr>
          <w:rFonts w:hint="eastAsia" w:ascii="Times New Roman" w:hAnsi="Times New Roman" w:eastAsia="宋体" w:cs="Times New Roman"/>
          <w:color w:val="000000"/>
          <w:sz w:val="24"/>
          <w:lang w:eastAsia="zh-CN"/>
        </w:rPr>
        <w:t>。</w:t>
      </w:r>
    </w:p>
    <w:p w14:paraId="63E2C200">
      <w:pPr>
        <w:keepNext w:val="0"/>
        <w:keepLines w:val="0"/>
        <w:pageBreakBefore w:val="0"/>
        <w:widowControl w:val="0"/>
        <w:numPr>
          <w:ilvl w:val="0"/>
          <w:numId w:val="64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交流充电异常故障模拟测试</w:t>
      </w:r>
    </w:p>
    <w:p w14:paraId="6519BE51">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交流枪连接确认测试</w:t>
      </w:r>
      <w:r>
        <w:rPr>
          <w:rFonts w:hint="eastAsia" w:ascii="Times New Roman" w:hAnsi="Times New Roman" w:eastAsia="宋体" w:cs="Times New Roman"/>
          <w:color w:val="000000"/>
          <w:sz w:val="24"/>
          <w:lang w:eastAsia="zh-CN"/>
        </w:rPr>
        <w:t>。</w:t>
      </w:r>
    </w:p>
    <w:p w14:paraId="3FFDDA1C">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交流充电准备就绪测试</w:t>
      </w:r>
      <w:r>
        <w:rPr>
          <w:rFonts w:hint="eastAsia" w:ascii="Times New Roman" w:hAnsi="Times New Roman" w:eastAsia="宋体" w:cs="Times New Roman"/>
          <w:color w:val="000000"/>
          <w:sz w:val="24"/>
          <w:lang w:eastAsia="zh-CN"/>
        </w:rPr>
        <w:t>。</w:t>
      </w:r>
    </w:p>
    <w:p w14:paraId="32C3A4F4">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交流正常充电测试</w:t>
      </w:r>
      <w:r>
        <w:rPr>
          <w:rFonts w:hint="eastAsia" w:ascii="Times New Roman" w:hAnsi="Times New Roman" w:eastAsia="宋体" w:cs="Times New Roman"/>
          <w:color w:val="000000"/>
          <w:sz w:val="24"/>
          <w:lang w:eastAsia="zh-CN"/>
        </w:rPr>
        <w:t>。</w:t>
      </w:r>
    </w:p>
    <w:p w14:paraId="38EADEEF">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交流充电中断开S3测试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61439BA3">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充电前、充电中断开CC测试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52FC1375">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充电中断开CP测试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6EAA8012">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充电中PWM信号中断测试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7CB7A09A">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CC回路电阻上下边界测试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373D6943">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CP回路电压上下边界测试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0B17CEC4">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PWM占空比变化测试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71E25C6E">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PWM频率上下边界测试</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6BFA9721">
      <w:pPr>
        <w:keepNext w:val="0"/>
        <w:keepLines w:val="0"/>
        <w:pageBreakBefore w:val="0"/>
        <w:widowControl/>
        <w:numPr>
          <w:ilvl w:val="0"/>
          <w:numId w:val="65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交流充电断电模拟测试</w:t>
      </w:r>
      <w:r>
        <w:rPr>
          <w:rFonts w:hint="eastAsia" w:ascii="Times New Roman" w:hAnsi="Times New Roman" w:eastAsia="宋体" w:cs="Times New Roman"/>
          <w:color w:val="000000"/>
          <w:sz w:val="24"/>
          <w:lang w:eastAsia="zh-CN"/>
        </w:rPr>
        <w:t>。</w:t>
      </w:r>
    </w:p>
    <w:p w14:paraId="57E7B251">
      <w:pPr>
        <w:keepNext w:val="0"/>
        <w:keepLines w:val="0"/>
        <w:pageBreakBefore w:val="0"/>
        <w:widowControl w:val="0"/>
        <w:numPr>
          <w:ilvl w:val="0"/>
          <w:numId w:val="649"/>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设备配置</w:t>
      </w:r>
    </w:p>
    <w:p w14:paraId="40FCA7C2">
      <w:pPr>
        <w:keepNext w:val="0"/>
        <w:keepLines w:val="0"/>
        <w:pageBreakBefore w:val="0"/>
        <w:widowControl/>
        <w:kinsoku/>
        <w:overflowPunct/>
        <w:topLinePunct w:val="0"/>
        <w:bidi w:val="0"/>
        <w:adjustRightInd w:val="0"/>
        <w:snapToGrid w:val="0"/>
        <w:spacing w:afterAutospacing="0" w:line="360" w:lineRule="auto"/>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配置清单</w:t>
      </w:r>
      <w:r>
        <w:rPr>
          <w:rFonts w:hint="eastAsia" w:cs="Times New Roman"/>
          <w:color w:val="000000"/>
          <w:sz w:val="24"/>
          <w:lang w:eastAsia="zh-CN"/>
        </w:rPr>
        <w:t>：</w:t>
      </w:r>
    </w:p>
    <w:p w14:paraId="3F0C9C51">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系统内置工业控制计算机，系统检测软件，实现对检测设备的控制、数据采集与分析、报表导出等功能，满足数据监控、信息化管理的需求。配备打印机，根据定制格式打印检测结果。设备主要配置如下表：</w:t>
      </w:r>
      <w:bookmarkStart w:id="357" w:name="_Toc58868731"/>
    </w:p>
    <w:tbl>
      <w:tblPr>
        <w:tblStyle w:val="536"/>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1"/>
        <w:gridCol w:w="2080"/>
        <w:gridCol w:w="2206"/>
        <w:gridCol w:w="811"/>
        <w:gridCol w:w="3746"/>
      </w:tblGrid>
      <w:tr w14:paraId="00CFC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52E40CB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077" w:type="pct"/>
            <w:vAlign w:val="center"/>
          </w:tcPr>
          <w:p w14:paraId="604B6A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1142" w:type="pct"/>
            <w:vAlign w:val="center"/>
          </w:tcPr>
          <w:p w14:paraId="3171874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lang w:val="en-US" w:eastAsia="zh-CN"/>
              </w:rPr>
              <w:t>相当于或优于以下</w:t>
            </w:r>
            <w:r>
              <w:rPr>
                <w:rFonts w:hint="eastAsia" w:ascii="宋体" w:hAnsi="宋体" w:eastAsia="宋体" w:cs="宋体"/>
                <w:sz w:val="24"/>
                <w:szCs w:val="24"/>
              </w:rPr>
              <w:t>品牌</w:t>
            </w:r>
          </w:p>
        </w:tc>
        <w:tc>
          <w:tcPr>
            <w:tcW w:w="420" w:type="pct"/>
            <w:vAlign w:val="center"/>
          </w:tcPr>
          <w:p w14:paraId="072761F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1939" w:type="pct"/>
            <w:vAlign w:val="center"/>
          </w:tcPr>
          <w:p w14:paraId="1EBD1CE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主要技术参数</w:t>
            </w:r>
          </w:p>
        </w:tc>
      </w:tr>
      <w:tr w14:paraId="5C511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1C8CE6C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077" w:type="pct"/>
            <w:vAlign w:val="center"/>
          </w:tcPr>
          <w:p w14:paraId="58EC3B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机柜</w:t>
            </w:r>
          </w:p>
        </w:tc>
        <w:tc>
          <w:tcPr>
            <w:tcW w:w="1142" w:type="pct"/>
            <w:vAlign w:val="center"/>
          </w:tcPr>
          <w:p w14:paraId="0A19B33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0" w:type="pct"/>
            <w:vAlign w:val="center"/>
          </w:tcPr>
          <w:p w14:paraId="1E60BA6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77140F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根据供方适配</w:t>
            </w:r>
          </w:p>
        </w:tc>
      </w:tr>
      <w:tr w14:paraId="73243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303C6CA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1077" w:type="pct"/>
            <w:vAlign w:val="center"/>
          </w:tcPr>
          <w:p w14:paraId="6D9FC35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工控机</w:t>
            </w:r>
          </w:p>
        </w:tc>
        <w:tc>
          <w:tcPr>
            <w:tcW w:w="1142" w:type="pct"/>
            <w:vAlign w:val="center"/>
          </w:tcPr>
          <w:p w14:paraId="7191EF1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研华</w:t>
            </w:r>
            <w:r>
              <w:rPr>
                <w:rFonts w:hint="eastAsia" w:ascii="宋体" w:hAnsi="宋体" w:eastAsia="宋体" w:cs="宋体"/>
                <w:sz w:val="24"/>
                <w:szCs w:val="24"/>
                <w:lang w:eastAsia="zh-CN"/>
              </w:rPr>
              <w:t>，</w:t>
            </w:r>
            <w:r>
              <w:rPr>
                <w:rFonts w:hint="eastAsia" w:ascii="宋体" w:hAnsi="宋体" w:eastAsia="宋体" w:cs="宋体"/>
                <w:kern w:val="0"/>
                <w:sz w:val="24"/>
                <w:szCs w:val="24"/>
              </w:rPr>
              <w:t>研祥，西门子</w:t>
            </w:r>
            <w:r>
              <w:rPr>
                <w:rFonts w:hint="eastAsia" w:ascii="宋体" w:hAnsi="宋体" w:eastAsia="宋体" w:cs="宋体"/>
                <w:spacing w:val="10"/>
                <w:sz w:val="24"/>
                <w:szCs w:val="24"/>
              </w:rPr>
              <w:t>同等档次品牌</w:t>
            </w:r>
          </w:p>
        </w:tc>
        <w:tc>
          <w:tcPr>
            <w:tcW w:w="420" w:type="pct"/>
            <w:vAlign w:val="center"/>
          </w:tcPr>
          <w:p w14:paraId="3389B07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0E5313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CPU：i5</w:t>
            </w:r>
            <w:r>
              <w:rPr>
                <w:rFonts w:hint="eastAsia" w:ascii="宋体" w:hAnsi="宋体" w:eastAsia="宋体" w:cs="宋体"/>
                <w:sz w:val="24"/>
                <w:szCs w:val="24"/>
              </w:rPr>
              <w:t>，内存：</w:t>
            </w:r>
            <w:r>
              <w:rPr>
                <w:rFonts w:ascii="宋体" w:hAnsi="宋体" w:eastAsia="宋体" w:cs="宋体"/>
                <w:sz w:val="24"/>
                <w:szCs w:val="24"/>
              </w:rPr>
              <w:t>8G，硬盘：1T</w:t>
            </w:r>
          </w:p>
        </w:tc>
      </w:tr>
      <w:tr w14:paraId="78016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5727848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1077" w:type="pct"/>
            <w:vAlign w:val="center"/>
          </w:tcPr>
          <w:p w14:paraId="6BE006E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显示器</w:t>
            </w:r>
          </w:p>
        </w:tc>
        <w:tc>
          <w:tcPr>
            <w:tcW w:w="1142" w:type="pct"/>
            <w:vAlign w:val="center"/>
          </w:tcPr>
          <w:p w14:paraId="1C634D1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DELL,</w:t>
            </w:r>
            <w:r>
              <w:rPr>
                <w:rFonts w:ascii="宋体" w:hAnsi="宋体" w:eastAsia="宋体" w:cs="宋体"/>
                <w:kern w:val="0"/>
                <w:sz w:val="24"/>
                <w:szCs w:val="24"/>
              </w:rPr>
              <w:t>AOC,ASUS</w:t>
            </w:r>
            <w:r>
              <w:rPr>
                <w:rFonts w:hint="eastAsia" w:ascii="宋体" w:hAnsi="宋体" w:eastAsia="宋体" w:cs="宋体"/>
                <w:spacing w:val="10"/>
                <w:sz w:val="24"/>
                <w:szCs w:val="24"/>
              </w:rPr>
              <w:t>同等档次品牌</w:t>
            </w:r>
          </w:p>
        </w:tc>
        <w:tc>
          <w:tcPr>
            <w:tcW w:w="420" w:type="pct"/>
            <w:vAlign w:val="center"/>
          </w:tcPr>
          <w:p w14:paraId="237F218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29F72F1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19</w:t>
            </w:r>
          </w:p>
        </w:tc>
      </w:tr>
      <w:tr w14:paraId="48590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5809A7C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1077" w:type="pct"/>
            <w:vAlign w:val="center"/>
          </w:tcPr>
          <w:p w14:paraId="2416F92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扫描枪</w:t>
            </w:r>
          </w:p>
        </w:tc>
        <w:tc>
          <w:tcPr>
            <w:tcW w:w="1142" w:type="pct"/>
            <w:vAlign w:val="center"/>
          </w:tcPr>
          <w:p w14:paraId="519C4A1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Symbol</w:t>
            </w:r>
            <w:r>
              <w:rPr>
                <w:rFonts w:hint="eastAsia" w:ascii="宋体" w:hAnsi="宋体" w:eastAsia="宋体" w:cs="宋体"/>
                <w:sz w:val="24"/>
                <w:szCs w:val="24"/>
                <w:lang w:eastAsia="zh-CN"/>
              </w:rPr>
              <w:t>，</w:t>
            </w:r>
            <w:r>
              <w:rPr>
                <w:rFonts w:hint="eastAsia" w:ascii="宋体" w:hAnsi="宋体" w:eastAsia="宋体" w:cs="宋体"/>
                <w:kern w:val="0"/>
                <w:sz w:val="24"/>
                <w:szCs w:val="24"/>
              </w:rPr>
              <w:t>科密，民德</w:t>
            </w:r>
            <w:r>
              <w:rPr>
                <w:rFonts w:hint="eastAsia" w:ascii="宋体" w:hAnsi="宋体" w:eastAsia="宋体" w:cs="宋体"/>
                <w:spacing w:val="10"/>
                <w:sz w:val="24"/>
                <w:szCs w:val="24"/>
              </w:rPr>
              <w:t>同等档次品牌</w:t>
            </w:r>
          </w:p>
        </w:tc>
        <w:tc>
          <w:tcPr>
            <w:tcW w:w="420" w:type="pct"/>
            <w:vAlign w:val="center"/>
          </w:tcPr>
          <w:p w14:paraId="5DACE6D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5286EC9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扫描条形码和二维码</w:t>
            </w:r>
          </w:p>
        </w:tc>
      </w:tr>
      <w:tr w14:paraId="734E6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5BC8A3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1077" w:type="pct"/>
            <w:vAlign w:val="center"/>
          </w:tcPr>
          <w:p w14:paraId="743127A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打印机</w:t>
            </w:r>
          </w:p>
        </w:tc>
        <w:tc>
          <w:tcPr>
            <w:tcW w:w="1142" w:type="pct"/>
            <w:vAlign w:val="center"/>
          </w:tcPr>
          <w:p w14:paraId="0D07F47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惠普</w:t>
            </w:r>
            <w:r>
              <w:rPr>
                <w:rFonts w:hint="eastAsia" w:ascii="宋体" w:hAnsi="宋体" w:eastAsia="宋体" w:cs="宋体"/>
                <w:sz w:val="24"/>
                <w:szCs w:val="24"/>
                <w:lang w:eastAsia="zh-CN"/>
              </w:rPr>
              <w:t>，</w:t>
            </w:r>
            <w:r>
              <w:rPr>
                <w:rFonts w:ascii="宋体" w:hAnsi="宋体" w:eastAsia="宋体" w:cs="宋体"/>
                <w:sz w:val="24"/>
                <w:szCs w:val="24"/>
              </w:rPr>
              <w:t xml:space="preserve"> </w:t>
            </w:r>
            <w:r>
              <w:rPr>
                <w:rFonts w:hint="eastAsia" w:ascii="宋体" w:hAnsi="宋体" w:eastAsia="宋体" w:cs="宋体"/>
                <w:sz w:val="24"/>
                <w:szCs w:val="24"/>
              </w:rPr>
              <w:t>佳能，爱普生</w:t>
            </w:r>
            <w:r>
              <w:rPr>
                <w:rFonts w:hint="eastAsia" w:ascii="宋体" w:hAnsi="宋体" w:eastAsia="宋体" w:cs="宋体"/>
                <w:spacing w:val="10"/>
                <w:sz w:val="24"/>
                <w:szCs w:val="24"/>
              </w:rPr>
              <w:t>同等档次品牌</w:t>
            </w:r>
          </w:p>
        </w:tc>
        <w:tc>
          <w:tcPr>
            <w:tcW w:w="420" w:type="pct"/>
            <w:vAlign w:val="center"/>
          </w:tcPr>
          <w:p w14:paraId="4ABCF10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0E991E4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11B91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57A2574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6</w:t>
            </w:r>
          </w:p>
        </w:tc>
        <w:tc>
          <w:tcPr>
            <w:tcW w:w="1077" w:type="pct"/>
            <w:vAlign w:val="center"/>
          </w:tcPr>
          <w:p w14:paraId="21B3AD9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电源管理模块</w:t>
            </w:r>
          </w:p>
        </w:tc>
        <w:tc>
          <w:tcPr>
            <w:tcW w:w="1142" w:type="pct"/>
            <w:vAlign w:val="center"/>
          </w:tcPr>
          <w:p w14:paraId="620C1B2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0" w:type="pct"/>
            <w:vAlign w:val="center"/>
          </w:tcPr>
          <w:p w14:paraId="2E1CD10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0ACCBDB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5319A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606401D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w:t>
            </w:r>
          </w:p>
        </w:tc>
        <w:tc>
          <w:tcPr>
            <w:tcW w:w="1077" w:type="pct"/>
            <w:vAlign w:val="center"/>
          </w:tcPr>
          <w:p w14:paraId="378410A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UPS电源</w:t>
            </w:r>
          </w:p>
        </w:tc>
        <w:tc>
          <w:tcPr>
            <w:tcW w:w="1142" w:type="pct"/>
            <w:vAlign w:val="center"/>
          </w:tcPr>
          <w:p w14:paraId="6904924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施耐德</w:t>
            </w:r>
            <w:r>
              <w:rPr>
                <w:rFonts w:hint="eastAsia" w:ascii="宋体" w:hAnsi="宋体" w:eastAsia="宋体" w:cs="宋体"/>
                <w:sz w:val="24"/>
                <w:szCs w:val="24"/>
                <w:lang w:eastAsia="zh-CN"/>
              </w:rPr>
              <w:t>，</w:t>
            </w:r>
            <w:r>
              <w:rPr>
                <w:rFonts w:ascii="宋体" w:hAnsi="宋体" w:eastAsia="宋体" w:cs="宋体"/>
                <w:kern w:val="0"/>
                <w:sz w:val="24"/>
                <w:szCs w:val="24"/>
              </w:rPr>
              <w:t xml:space="preserve"> </w:t>
            </w:r>
            <w:r>
              <w:rPr>
                <w:rFonts w:hint="eastAsia" w:ascii="宋体" w:hAnsi="宋体" w:eastAsia="宋体" w:cs="宋体"/>
                <w:kern w:val="0"/>
                <w:sz w:val="24"/>
                <w:szCs w:val="24"/>
              </w:rPr>
              <w:t>科华，山特</w:t>
            </w:r>
            <w:r>
              <w:rPr>
                <w:rFonts w:hint="eastAsia" w:ascii="宋体" w:hAnsi="宋体" w:eastAsia="宋体" w:cs="宋体"/>
                <w:spacing w:val="10"/>
                <w:sz w:val="24"/>
                <w:szCs w:val="24"/>
              </w:rPr>
              <w:t>同等档次品牌</w:t>
            </w:r>
          </w:p>
        </w:tc>
        <w:tc>
          <w:tcPr>
            <w:tcW w:w="420" w:type="pct"/>
            <w:vAlign w:val="center"/>
          </w:tcPr>
          <w:p w14:paraId="2D125BF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7A09951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24EB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7F067B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w:t>
            </w:r>
          </w:p>
        </w:tc>
        <w:tc>
          <w:tcPr>
            <w:tcW w:w="1077" w:type="pct"/>
            <w:vAlign w:val="center"/>
          </w:tcPr>
          <w:p w14:paraId="4AB161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CAN卡</w:t>
            </w:r>
          </w:p>
        </w:tc>
        <w:tc>
          <w:tcPr>
            <w:tcW w:w="1142" w:type="pct"/>
            <w:vAlign w:val="center"/>
          </w:tcPr>
          <w:p w14:paraId="47A024E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ZLG, USBCAN II</w:t>
            </w:r>
          </w:p>
        </w:tc>
        <w:tc>
          <w:tcPr>
            <w:tcW w:w="420" w:type="pct"/>
            <w:vAlign w:val="center"/>
          </w:tcPr>
          <w:p w14:paraId="7BD0EAE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2939937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2通道</w:t>
            </w:r>
          </w:p>
        </w:tc>
      </w:tr>
      <w:tr w14:paraId="5222E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4FD1281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9</w:t>
            </w:r>
          </w:p>
        </w:tc>
        <w:tc>
          <w:tcPr>
            <w:tcW w:w="1077" w:type="pct"/>
            <w:vAlign w:val="center"/>
          </w:tcPr>
          <w:p w14:paraId="3D22F9D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控制单元</w:t>
            </w:r>
          </w:p>
        </w:tc>
        <w:tc>
          <w:tcPr>
            <w:tcW w:w="1142" w:type="pct"/>
            <w:vAlign w:val="center"/>
          </w:tcPr>
          <w:p w14:paraId="60E665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0" w:type="pct"/>
            <w:vAlign w:val="center"/>
          </w:tcPr>
          <w:p w14:paraId="5EA223F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5F93883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302C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055F895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10</w:t>
            </w:r>
          </w:p>
        </w:tc>
        <w:tc>
          <w:tcPr>
            <w:tcW w:w="1077" w:type="pct"/>
            <w:vAlign w:val="center"/>
          </w:tcPr>
          <w:p w14:paraId="1B031F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三色灯</w:t>
            </w:r>
          </w:p>
        </w:tc>
        <w:tc>
          <w:tcPr>
            <w:tcW w:w="1142" w:type="pct"/>
            <w:vAlign w:val="center"/>
          </w:tcPr>
          <w:p w14:paraId="3F2E502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color w:val="000000"/>
                <w:kern w:val="0"/>
                <w:sz w:val="24"/>
                <w:szCs w:val="24"/>
              </w:rPr>
              <w:t>台邦，</w:t>
            </w:r>
            <w:r>
              <w:rPr>
                <w:rFonts w:ascii="宋体" w:hAnsi="宋体" w:eastAsia="宋体" w:cs="宋体"/>
                <w:kern w:val="0"/>
                <w:sz w:val="24"/>
                <w:szCs w:val="24"/>
              </w:rPr>
              <w:t>TB50-3T-D-J</w:t>
            </w:r>
          </w:p>
        </w:tc>
        <w:tc>
          <w:tcPr>
            <w:tcW w:w="420" w:type="pct"/>
            <w:vAlign w:val="center"/>
          </w:tcPr>
          <w:p w14:paraId="25AA738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4F6A39B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BD692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40E7368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11</w:t>
            </w:r>
          </w:p>
        </w:tc>
        <w:tc>
          <w:tcPr>
            <w:tcW w:w="1077" w:type="pct"/>
            <w:vAlign w:val="center"/>
          </w:tcPr>
          <w:p w14:paraId="7F7DB34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交直流充电模块</w:t>
            </w:r>
          </w:p>
        </w:tc>
        <w:tc>
          <w:tcPr>
            <w:tcW w:w="1142" w:type="pct"/>
            <w:vAlign w:val="center"/>
          </w:tcPr>
          <w:p w14:paraId="632A320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0" w:type="pct"/>
            <w:vAlign w:val="center"/>
          </w:tcPr>
          <w:p w14:paraId="2A147E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4D0A46E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05F49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669D0A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12</w:t>
            </w:r>
          </w:p>
        </w:tc>
        <w:tc>
          <w:tcPr>
            <w:tcW w:w="1077" w:type="pct"/>
            <w:vAlign w:val="center"/>
          </w:tcPr>
          <w:p w14:paraId="49B43F0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测试线束</w:t>
            </w:r>
          </w:p>
        </w:tc>
        <w:tc>
          <w:tcPr>
            <w:tcW w:w="1142" w:type="pct"/>
            <w:vAlign w:val="center"/>
          </w:tcPr>
          <w:p w14:paraId="6B0A0AB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0" w:type="pct"/>
            <w:vAlign w:val="center"/>
          </w:tcPr>
          <w:p w14:paraId="36E6027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3438740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1A93E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20" w:type="pct"/>
            <w:vAlign w:val="center"/>
          </w:tcPr>
          <w:p w14:paraId="7011D5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13</w:t>
            </w:r>
          </w:p>
        </w:tc>
        <w:tc>
          <w:tcPr>
            <w:tcW w:w="1077" w:type="pct"/>
            <w:vAlign w:val="center"/>
          </w:tcPr>
          <w:p w14:paraId="695803A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测试软件</w:t>
            </w:r>
          </w:p>
        </w:tc>
        <w:tc>
          <w:tcPr>
            <w:tcW w:w="1142" w:type="pct"/>
            <w:vAlign w:val="center"/>
          </w:tcPr>
          <w:p w14:paraId="1A872CE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自研</w:t>
            </w:r>
          </w:p>
        </w:tc>
        <w:tc>
          <w:tcPr>
            <w:tcW w:w="420" w:type="pct"/>
            <w:vAlign w:val="center"/>
          </w:tcPr>
          <w:p w14:paraId="58BFFB3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939" w:type="pct"/>
            <w:vAlign w:val="center"/>
          </w:tcPr>
          <w:p w14:paraId="7558A55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bookmarkEnd w:id="357"/>
    </w:tbl>
    <w:p w14:paraId="593DCB5B">
      <w:pPr>
        <w:keepNext w:val="0"/>
        <w:keepLines w:val="0"/>
        <w:pageBreakBefore w:val="0"/>
        <w:widowControl w:val="0"/>
        <w:numPr>
          <w:ilvl w:val="0"/>
          <w:numId w:val="649"/>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 xml:space="preserve">主要功能 </w:t>
      </w:r>
    </w:p>
    <w:p w14:paraId="57D16496">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自动识别、匹配、测试：设备配备扫描枪，可录入车辆VIN号和主要零部件号，识别产品类别、自动匹配测试程序并启动测试，从而避免人为错误，有效提高生产效率；如扫描器故障，设备支持手工输入的方式识别信息。 </w:t>
      </w:r>
    </w:p>
    <w:p w14:paraId="1CC96869">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数据实时显示：能在软件界面上实时显示检测过程中的数据，供操作人员进行数据的实时查看。 </w:t>
      </w:r>
    </w:p>
    <w:p w14:paraId="6B8B4580">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检测结果显示：检测合格，软件界面显示合格（绿色），检测不合格，界面显示不合格（红色</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w:t>
      </w:r>
    </w:p>
    <w:p w14:paraId="78B12672">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结果打印：设备配装有打印机，能对检测结果自动或手动打印。 </w:t>
      </w:r>
    </w:p>
    <w:p w14:paraId="2C682A5D">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数据管理：设备自动记录所有检测数据，具有至少500G本地存储空间，能够单独存储每台车每一次的检测数据和返修数据，且同一台车不同次的检测数据也能够单独存储，不会覆盖；支持 U 盘导出数据、网络传输数据等功能；可进行测试数据筛选、条件查询、查询结果打印、报表生成，实现数据追溯，有助于产品质量分析；存储的数据可导出为excel文档。</w:t>
      </w:r>
    </w:p>
    <w:p w14:paraId="5A655472">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设备后台数据与MES生产制造执行系统网络连接，可上传数据至MES系统。配备UPS电源，在断电的情况下，可为设备继续提供电源，确保操作人员保存好设备数据。 </w:t>
      </w:r>
    </w:p>
    <w:p w14:paraId="48DC8851">
      <w:pPr>
        <w:keepNext w:val="0"/>
        <w:keepLines w:val="0"/>
        <w:pageBreakBefore w:val="0"/>
        <w:widowControl/>
        <w:numPr>
          <w:ilvl w:val="0"/>
          <w:numId w:val="65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具有用户管理功能：添加用户，即此功能只有系统管理员才有这个权限，系统管理员可以添加高级用户和普通用户；修改用户，即系统管理员可以修改用户信息；删除用户，即系统管理员可以删除不同级别用户。设备系统升级方便，能在不影响系统应用模块功能及生产的情况下升级，同时能保证以前的数据完整。完善的保护机制：采用了多种抗干扰措施，具备软硬件保护和各种安全警示等安全化设计</w:t>
      </w:r>
      <w:r>
        <w:rPr>
          <w:rFonts w:hint="eastAsia" w:ascii="Times New Roman" w:hAnsi="Times New Roman" w:eastAsia="宋体" w:cs="Times New Roman"/>
          <w:color w:val="000000"/>
          <w:sz w:val="24"/>
          <w:lang w:eastAsia="zh-CN"/>
        </w:rPr>
        <w:t>。</w:t>
      </w:r>
    </w:p>
    <w:p w14:paraId="470DA964">
      <w:pPr>
        <w:keepNext w:val="0"/>
        <w:keepLines w:val="0"/>
        <w:pageBreakBefore w:val="0"/>
        <w:widowControl w:val="0"/>
        <w:numPr>
          <w:ilvl w:val="0"/>
          <w:numId w:val="649"/>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 xml:space="preserve">操作流程 </w:t>
      </w:r>
    </w:p>
    <w:p w14:paraId="63846596">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登录进入检测界面</w:t>
      </w:r>
      <w:r>
        <w:rPr>
          <w:rFonts w:hint="eastAsia" w:ascii="Times New Roman" w:hAnsi="Times New Roman" w:eastAsia="宋体" w:cs="Times New Roman"/>
          <w:color w:val="000000"/>
          <w:sz w:val="24"/>
          <w:lang w:eastAsia="zh-CN"/>
        </w:rPr>
        <w:t>。</w:t>
      </w:r>
    </w:p>
    <w:p w14:paraId="3EE6378F">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连接被检车辆</w:t>
      </w:r>
      <w:r>
        <w:rPr>
          <w:rFonts w:hint="eastAsia" w:ascii="Times New Roman" w:hAnsi="Times New Roman" w:eastAsia="宋体" w:cs="Times New Roman"/>
          <w:color w:val="000000"/>
          <w:sz w:val="24"/>
          <w:lang w:eastAsia="zh-CN"/>
        </w:rPr>
        <w:t>。</w:t>
      </w:r>
    </w:p>
    <w:p w14:paraId="06C731FC">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点击“开始检测” </w:t>
      </w:r>
      <w:r>
        <w:rPr>
          <w:rFonts w:hint="eastAsia" w:ascii="Times New Roman" w:hAnsi="Times New Roman" w:eastAsia="宋体" w:cs="Times New Roman"/>
          <w:color w:val="000000"/>
          <w:sz w:val="24"/>
          <w:lang w:eastAsia="zh-CN"/>
        </w:rPr>
        <w:t>。</w:t>
      </w:r>
    </w:p>
    <w:p w14:paraId="6F07CCE0">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扫描或手动录入车辆信息</w:t>
      </w:r>
      <w:r>
        <w:rPr>
          <w:rFonts w:hint="eastAsia" w:ascii="Times New Roman" w:hAnsi="Times New Roman" w:eastAsia="宋体" w:cs="Times New Roman"/>
          <w:color w:val="000000"/>
          <w:sz w:val="24"/>
          <w:lang w:eastAsia="zh-CN"/>
        </w:rPr>
        <w:t>。</w:t>
      </w:r>
    </w:p>
    <w:p w14:paraId="3C4B20EE">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根据软件提示，完成检测</w:t>
      </w:r>
      <w:r>
        <w:rPr>
          <w:rFonts w:hint="eastAsia" w:ascii="Times New Roman" w:hAnsi="Times New Roman" w:eastAsia="宋体" w:cs="Times New Roman"/>
          <w:color w:val="000000"/>
          <w:sz w:val="24"/>
          <w:lang w:eastAsia="zh-CN"/>
        </w:rPr>
        <w:t>。</w:t>
      </w:r>
    </w:p>
    <w:p w14:paraId="1B3FC2DB">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检测完成后，显示合格和不合格</w:t>
      </w:r>
      <w:r>
        <w:rPr>
          <w:rFonts w:hint="eastAsia" w:ascii="Times New Roman" w:hAnsi="Times New Roman" w:eastAsia="宋体" w:cs="Times New Roman"/>
          <w:color w:val="000000"/>
          <w:sz w:val="24"/>
          <w:lang w:eastAsia="zh-CN"/>
        </w:rPr>
        <w:t>。</w:t>
      </w:r>
    </w:p>
    <w:p w14:paraId="04ACF488">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存储检测数据</w:t>
      </w:r>
      <w:r>
        <w:rPr>
          <w:rFonts w:hint="eastAsia" w:ascii="Times New Roman" w:hAnsi="Times New Roman" w:eastAsia="宋体" w:cs="Times New Roman"/>
          <w:color w:val="000000"/>
          <w:sz w:val="24"/>
          <w:lang w:eastAsia="zh-CN"/>
        </w:rPr>
        <w:t>。</w:t>
      </w:r>
    </w:p>
    <w:p w14:paraId="4DE48D89">
      <w:pPr>
        <w:keepNext w:val="0"/>
        <w:keepLines w:val="0"/>
        <w:pageBreakBefore w:val="0"/>
        <w:widowControl/>
        <w:numPr>
          <w:ilvl w:val="0"/>
          <w:numId w:val="65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r>
        <w:rPr>
          <w:rFonts w:ascii="Times New Roman" w:hAnsi="Times New Roman" w:eastAsia="宋体" w:cs="Times New Roman"/>
          <w:color w:val="000000"/>
          <w:sz w:val="24"/>
        </w:rPr>
        <w:t>打印检测报告</w:t>
      </w:r>
      <w:r>
        <w:rPr>
          <w:rFonts w:hint="eastAsia" w:ascii="Times New Roman" w:hAnsi="Times New Roman" w:eastAsia="宋体" w:cs="Times New Roman"/>
          <w:color w:val="000000"/>
          <w:sz w:val="24"/>
          <w:lang w:val="en-US" w:eastAsia="zh-CN"/>
        </w:rPr>
        <w:t>可选择自动打印或手动打印</w:t>
      </w:r>
      <w:r>
        <w:rPr>
          <w:rFonts w:hint="eastAsia" w:ascii="Times New Roman" w:hAnsi="Times New Roman" w:eastAsia="宋体" w:cs="Times New Roman"/>
          <w:color w:val="000000"/>
          <w:sz w:val="24"/>
          <w:lang w:eastAsia="zh-CN"/>
        </w:rPr>
        <w:t>。</w:t>
      </w:r>
    </w:p>
    <w:p w14:paraId="384D85DE">
      <w:pPr>
        <w:keepNext w:val="0"/>
        <w:keepLines w:val="0"/>
        <w:pageBreakBefore w:val="0"/>
        <w:widowControl w:val="0"/>
        <w:numPr>
          <w:ilvl w:val="0"/>
          <w:numId w:val="649"/>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 xml:space="preserve">软件介绍 </w:t>
      </w:r>
    </w:p>
    <w:p w14:paraId="78DA5E28">
      <w:pPr>
        <w:keepNext w:val="0"/>
        <w:keepLines w:val="0"/>
        <w:pageBreakBefore w:val="0"/>
        <w:widowControl/>
        <w:kinsoku/>
        <w:overflowPunct/>
        <w:topLinePunct w:val="0"/>
        <w:bidi w:val="0"/>
        <w:adjustRightInd w:val="0"/>
        <w:snapToGrid w:val="0"/>
        <w:spacing w:afterAutospacing="0" w:line="360" w:lineRule="auto"/>
        <w:ind w:firstLine="480" w:firstLineChars="200"/>
        <w:rPr>
          <w:rFonts w:ascii="Times New Roman" w:hAnsi="Times New Roman" w:eastAsia="宋体" w:cs="Times New Roman"/>
          <w:color w:val="000000"/>
          <w:sz w:val="24"/>
        </w:rPr>
      </w:pPr>
      <w:r>
        <w:rPr>
          <w:rFonts w:ascii="Times New Roman" w:hAnsi="Times New Roman" w:eastAsia="宋体" w:cs="Times New Roman"/>
          <w:color w:val="000000"/>
          <w:sz w:val="24"/>
        </w:rPr>
        <w:t>软件操作界面，采用中文设计，便于操作和维护，各界面层次分明、美观；测试开始和结束时有开始和结束提示，测试结果明确显示；测试过程和测试步骤在界面实时显示；车辆基本信息显示在界面上；不合格项使用红色字体显著方式显示；测试过程中需要操作人员的操作内容，界面将做出相应提示。</w:t>
      </w:r>
    </w:p>
    <w:p w14:paraId="3DB36670">
      <w:pPr>
        <w:keepNext w:val="0"/>
        <w:keepLines w:val="0"/>
        <w:pageBreakBefore w:val="0"/>
        <w:widowControl/>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整车电检</w:t>
      </w:r>
    </w:p>
    <w:p w14:paraId="0C3DE9FF">
      <w:pPr>
        <w:keepNext w:val="0"/>
        <w:keepLines w:val="0"/>
        <w:pageBreakBefore w:val="0"/>
        <w:widowControl w:val="0"/>
        <w:numPr>
          <w:ilvl w:val="0"/>
          <w:numId w:val="655"/>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5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2541"/>
        <w:gridCol w:w="2229"/>
        <w:gridCol w:w="973"/>
        <w:gridCol w:w="844"/>
        <w:gridCol w:w="1837"/>
      </w:tblGrid>
      <w:tr w14:paraId="42574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635" w:type="pct"/>
            <w:vAlign w:val="center"/>
          </w:tcPr>
          <w:p w14:paraId="506EF510">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316" w:type="pct"/>
            <w:vAlign w:val="center"/>
          </w:tcPr>
          <w:p w14:paraId="56EC9A0F">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1154" w:type="pct"/>
            <w:vAlign w:val="center"/>
          </w:tcPr>
          <w:p w14:paraId="290095C5">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规格型号</w:t>
            </w:r>
          </w:p>
        </w:tc>
        <w:tc>
          <w:tcPr>
            <w:tcW w:w="504" w:type="pct"/>
            <w:vAlign w:val="center"/>
          </w:tcPr>
          <w:p w14:paraId="6F0B523B">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437" w:type="pct"/>
            <w:vAlign w:val="center"/>
          </w:tcPr>
          <w:p w14:paraId="57912D49">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951" w:type="pct"/>
            <w:vAlign w:val="center"/>
          </w:tcPr>
          <w:p w14:paraId="06157F51">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75AD9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35" w:type="pct"/>
            <w:vAlign w:val="center"/>
          </w:tcPr>
          <w:p w14:paraId="6F813B9E">
            <w:pPr>
              <w:keepNext w:val="0"/>
              <w:keepLines w:val="0"/>
              <w:pageBreakBefore w:val="0"/>
              <w:widowControl/>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6" w:type="pct"/>
            <w:vAlign w:val="center"/>
          </w:tcPr>
          <w:p w14:paraId="07862F64">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整车下线检测仪</w:t>
            </w:r>
          </w:p>
        </w:tc>
        <w:tc>
          <w:tcPr>
            <w:tcW w:w="1154" w:type="pct"/>
            <w:vAlign w:val="center"/>
          </w:tcPr>
          <w:p w14:paraId="0AF7F362">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CAN功能检测仪</w:t>
            </w:r>
          </w:p>
        </w:tc>
        <w:tc>
          <w:tcPr>
            <w:tcW w:w="504" w:type="pct"/>
            <w:vAlign w:val="center"/>
          </w:tcPr>
          <w:p w14:paraId="085E0AFB">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1</w:t>
            </w:r>
          </w:p>
        </w:tc>
        <w:tc>
          <w:tcPr>
            <w:tcW w:w="437" w:type="pct"/>
            <w:vAlign w:val="center"/>
          </w:tcPr>
          <w:p w14:paraId="558AFD33">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台</w:t>
            </w:r>
          </w:p>
        </w:tc>
        <w:tc>
          <w:tcPr>
            <w:tcW w:w="951" w:type="pct"/>
            <w:vAlign w:val="center"/>
          </w:tcPr>
          <w:p w14:paraId="3BA74129">
            <w:pPr>
              <w:keepNext w:val="0"/>
              <w:keepLines w:val="0"/>
              <w:pageBreakBefore w:val="0"/>
              <w:tabs>
                <w:tab w:val="left" w:pos="420"/>
                <w:tab w:val="left" w:pos="840"/>
              </w:tabs>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包含6台平板</w:t>
            </w:r>
          </w:p>
        </w:tc>
      </w:tr>
    </w:tbl>
    <w:p w14:paraId="5955BB87">
      <w:pPr>
        <w:keepNext w:val="0"/>
        <w:keepLines w:val="0"/>
        <w:pageBreakBefore w:val="0"/>
        <w:widowControl w:val="0"/>
        <w:numPr>
          <w:ilvl w:val="0"/>
          <w:numId w:val="655"/>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工艺技术要求</w:t>
      </w:r>
    </w:p>
    <w:p w14:paraId="4BD26A8D">
      <w:pPr>
        <w:keepNext w:val="0"/>
        <w:keepLines w:val="0"/>
        <w:pageBreakBefore w:val="0"/>
        <w:widowControl w:val="0"/>
        <w:numPr>
          <w:ilvl w:val="0"/>
          <w:numId w:val="656"/>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技术参数</w:t>
      </w:r>
    </w:p>
    <w:p w14:paraId="52E1569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主机电源：AC-220V@50Hz</w:t>
      </w:r>
      <w:r>
        <w:rPr>
          <w:rFonts w:hint="eastAsia" w:ascii="Times New Roman" w:hAnsi="Times New Roman" w:eastAsia="宋体" w:cs="Times New Roman"/>
          <w:sz w:val="24"/>
          <w:lang w:eastAsia="zh-CN"/>
        </w:rPr>
        <w:t>。</w:t>
      </w:r>
    </w:p>
    <w:p w14:paraId="14DDFC89">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显示屏幕：19寸LCD</w:t>
      </w:r>
      <w:r>
        <w:rPr>
          <w:rFonts w:hint="eastAsia" w:ascii="Times New Roman" w:hAnsi="Times New Roman" w:eastAsia="宋体" w:cs="Times New Roman"/>
          <w:sz w:val="24"/>
          <w:lang w:eastAsia="zh-CN"/>
        </w:rPr>
        <w:t>。</w:t>
      </w:r>
    </w:p>
    <w:p w14:paraId="1BB121B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工作温度：-10℃～50℃</w:t>
      </w:r>
      <w:r>
        <w:rPr>
          <w:rFonts w:hint="eastAsia" w:ascii="Times New Roman" w:hAnsi="Times New Roman" w:eastAsia="宋体" w:cs="Times New Roman"/>
          <w:sz w:val="24"/>
          <w:lang w:eastAsia="zh-CN"/>
        </w:rPr>
        <w:t>。</w:t>
      </w:r>
    </w:p>
    <w:p w14:paraId="52D0AA1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正常工作温度：0℃～50℃（主机）</w:t>
      </w:r>
      <w:r>
        <w:rPr>
          <w:rFonts w:hint="eastAsia" w:ascii="Times New Roman" w:hAnsi="Times New Roman" w:eastAsia="宋体" w:cs="Times New Roman"/>
          <w:sz w:val="24"/>
          <w:lang w:eastAsia="zh-CN"/>
        </w:rPr>
        <w:t>。</w:t>
      </w:r>
    </w:p>
    <w:p w14:paraId="4C7D95BB">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color w:val="000000"/>
          <w:sz w:val="24"/>
          <w:lang w:eastAsia="zh-CN"/>
        </w:rPr>
      </w:pPr>
      <w:r>
        <w:rPr>
          <w:rFonts w:ascii="Times New Roman" w:hAnsi="Times New Roman" w:eastAsia="宋体" w:cs="Times New Roman"/>
          <w:sz w:val="24"/>
        </w:rPr>
        <w:t>正常工作湿度：≤85%</w:t>
      </w:r>
      <w:r>
        <w:rPr>
          <w:rFonts w:hint="eastAsia" w:ascii="Times New Roman" w:hAnsi="Times New Roman" w:eastAsia="宋体" w:cs="Times New Roman"/>
          <w:sz w:val="24"/>
          <w:lang w:eastAsia="zh-CN"/>
        </w:rPr>
        <w:t>。</w:t>
      </w:r>
    </w:p>
    <w:p w14:paraId="540C0869">
      <w:pPr>
        <w:keepNext w:val="0"/>
        <w:keepLines w:val="0"/>
        <w:pageBreakBefore w:val="0"/>
        <w:widowControl w:val="0"/>
        <w:numPr>
          <w:ilvl w:val="0"/>
          <w:numId w:val="656"/>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 xml:space="preserve">测试内容 </w:t>
      </w:r>
    </w:p>
    <w:tbl>
      <w:tblPr>
        <w:tblStyle w:val="520"/>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3"/>
        <w:gridCol w:w="1771"/>
        <w:gridCol w:w="6972"/>
      </w:tblGrid>
      <w:tr w14:paraId="492FB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57E83E80">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9"/>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序号</w:t>
            </w:r>
          </w:p>
        </w:tc>
        <w:tc>
          <w:tcPr>
            <w:tcW w:w="936" w:type="pct"/>
            <w:vAlign w:val="center"/>
          </w:tcPr>
          <w:p w14:paraId="75E7FE1D">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27"/>
              <w:jc w:val="center"/>
              <w:textAlignment w:val="auto"/>
              <w:rPr>
                <w:rFonts w:ascii="宋体" w:hAnsi="宋体" w:eastAsia="宋体" w:cs="宋体"/>
                <w:sz w:val="24"/>
                <w:szCs w:val="24"/>
                <w:lang w:eastAsia="en-US"/>
              </w:rPr>
            </w:pPr>
            <w:r>
              <w:rPr>
                <w:rFonts w:hint="eastAsia" w:ascii="宋体" w:hAnsi="宋体" w:eastAsia="宋体" w:cs="宋体"/>
                <w:spacing w:val="-8"/>
                <w:sz w:val="24"/>
                <w:szCs w:val="24"/>
                <w:lang w:eastAsia="en-US"/>
              </w:rPr>
              <w:t>内容</w:t>
            </w:r>
          </w:p>
        </w:tc>
        <w:tc>
          <w:tcPr>
            <w:tcW w:w="3685" w:type="pct"/>
            <w:vAlign w:val="center"/>
          </w:tcPr>
          <w:p w14:paraId="74A40B5D">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10"/>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设计要求</w:t>
            </w:r>
          </w:p>
        </w:tc>
      </w:tr>
      <w:tr w14:paraId="5EA9C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27B4E98D">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lang w:eastAsia="en-US"/>
              </w:rPr>
            </w:pPr>
            <w:r>
              <w:rPr>
                <w:rFonts w:ascii="宋体" w:hAnsi="宋体" w:eastAsia="宋体" w:cs="宋体"/>
                <w:sz w:val="24"/>
                <w:szCs w:val="24"/>
                <w:lang w:eastAsia="en-US"/>
              </w:rPr>
              <w:t>1</w:t>
            </w:r>
          </w:p>
        </w:tc>
        <w:tc>
          <w:tcPr>
            <w:tcW w:w="936" w:type="pct"/>
            <w:vAlign w:val="center"/>
          </w:tcPr>
          <w:p w14:paraId="3F2AA831">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6"/>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信息写入</w:t>
            </w:r>
          </w:p>
        </w:tc>
        <w:tc>
          <w:tcPr>
            <w:tcW w:w="3685" w:type="pct"/>
            <w:vAlign w:val="center"/>
          </w:tcPr>
          <w:p w14:paraId="061148EB">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12"/>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写入车辆</w:t>
            </w:r>
            <w:r>
              <w:rPr>
                <w:rFonts w:ascii="宋体" w:hAnsi="宋体" w:eastAsia="宋体" w:cs="宋体"/>
                <w:spacing w:val="-43"/>
                <w:sz w:val="24"/>
                <w:szCs w:val="24"/>
                <w:lang w:eastAsia="en-US"/>
              </w:rPr>
              <w:t xml:space="preserve"> </w:t>
            </w:r>
            <w:r>
              <w:rPr>
                <w:rFonts w:ascii="宋体" w:hAnsi="宋体" w:eastAsia="宋体" w:cs="宋体"/>
                <w:spacing w:val="-2"/>
                <w:sz w:val="24"/>
                <w:szCs w:val="24"/>
                <w:lang w:eastAsia="en-US"/>
              </w:rPr>
              <w:t>VIN</w:t>
            </w:r>
            <w:r>
              <w:rPr>
                <w:rFonts w:ascii="宋体" w:hAnsi="宋体" w:eastAsia="宋体" w:cs="宋体"/>
                <w:spacing w:val="-39"/>
                <w:sz w:val="24"/>
                <w:szCs w:val="24"/>
                <w:lang w:eastAsia="en-US"/>
              </w:rPr>
              <w:t xml:space="preserve"> </w:t>
            </w:r>
            <w:r>
              <w:rPr>
                <w:rFonts w:hint="eastAsia" w:ascii="宋体" w:hAnsi="宋体" w:eastAsia="宋体" w:cs="宋体"/>
                <w:spacing w:val="-2"/>
                <w:sz w:val="24"/>
                <w:szCs w:val="24"/>
                <w:lang w:eastAsia="en-US"/>
              </w:rPr>
              <w:t>码等</w:t>
            </w:r>
          </w:p>
        </w:tc>
      </w:tr>
      <w:tr w14:paraId="39463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4F5AB845">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lang w:eastAsia="en-US"/>
              </w:rPr>
            </w:pPr>
            <w:r>
              <w:rPr>
                <w:rFonts w:ascii="宋体" w:hAnsi="宋体" w:eastAsia="宋体" w:cs="宋体"/>
                <w:sz w:val="24"/>
                <w:szCs w:val="24"/>
                <w:lang w:eastAsia="en-US"/>
              </w:rPr>
              <w:t>2</w:t>
            </w:r>
          </w:p>
        </w:tc>
        <w:tc>
          <w:tcPr>
            <w:tcW w:w="936" w:type="pct"/>
            <w:vAlign w:val="center"/>
          </w:tcPr>
          <w:p w14:paraId="11CA29C6">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5"/>
              <w:jc w:val="center"/>
              <w:textAlignment w:val="auto"/>
              <w:rPr>
                <w:rFonts w:ascii="宋体" w:hAnsi="宋体" w:eastAsia="宋体" w:cs="宋体"/>
                <w:sz w:val="24"/>
                <w:szCs w:val="24"/>
                <w:lang w:eastAsia="en-US"/>
              </w:rPr>
            </w:pPr>
            <w:r>
              <w:rPr>
                <w:rFonts w:hint="eastAsia" w:ascii="宋体" w:hAnsi="宋体" w:eastAsia="宋体" w:cs="宋体"/>
                <w:spacing w:val="-1"/>
                <w:sz w:val="24"/>
                <w:szCs w:val="24"/>
                <w:lang w:eastAsia="en-US"/>
              </w:rPr>
              <w:t>读取控制器信息</w:t>
            </w:r>
          </w:p>
        </w:tc>
        <w:tc>
          <w:tcPr>
            <w:tcW w:w="3685" w:type="pct"/>
            <w:vAlign w:val="center"/>
          </w:tcPr>
          <w:p w14:paraId="49FACDD9">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7"/>
              <w:jc w:val="center"/>
              <w:textAlignment w:val="auto"/>
              <w:rPr>
                <w:rFonts w:ascii="宋体" w:hAnsi="宋体" w:eastAsia="宋体" w:cs="宋体"/>
                <w:sz w:val="24"/>
                <w:szCs w:val="24"/>
              </w:rPr>
            </w:pPr>
            <w:r>
              <w:rPr>
                <w:rFonts w:hint="eastAsia" w:ascii="宋体" w:hAnsi="宋体" w:eastAsia="宋体" w:cs="宋体"/>
                <w:spacing w:val="-1"/>
                <w:sz w:val="24"/>
                <w:szCs w:val="24"/>
              </w:rPr>
              <w:t>读取软件版本、软硬件版本、零部件图号、供应商代码等</w:t>
            </w:r>
          </w:p>
        </w:tc>
      </w:tr>
      <w:tr w14:paraId="7A12A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36F4A5B5">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rPr>
            </w:pPr>
            <w:r>
              <w:rPr>
                <w:rFonts w:hint="eastAsia" w:ascii="宋体" w:hAnsi="宋体" w:eastAsia="宋体" w:cs="宋体"/>
                <w:sz w:val="24"/>
                <w:szCs w:val="24"/>
              </w:rPr>
              <w:t>3</w:t>
            </w:r>
          </w:p>
        </w:tc>
        <w:tc>
          <w:tcPr>
            <w:tcW w:w="936" w:type="pct"/>
            <w:vAlign w:val="center"/>
          </w:tcPr>
          <w:p w14:paraId="63F22B34">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读数据流</w:t>
            </w:r>
          </w:p>
        </w:tc>
        <w:tc>
          <w:tcPr>
            <w:tcW w:w="3685" w:type="pct"/>
            <w:vAlign w:val="center"/>
          </w:tcPr>
          <w:p w14:paraId="07FC21B3">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9" w:right="107" w:hanging="2"/>
              <w:jc w:val="center"/>
              <w:textAlignment w:val="auto"/>
              <w:rPr>
                <w:rFonts w:ascii="宋体" w:hAnsi="宋体" w:eastAsia="宋体" w:cs="宋体"/>
                <w:sz w:val="24"/>
                <w:szCs w:val="24"/>
              </w:rPr>
            </w:pPr>
            <w:r>
              <w:rPr>
                <w:rFonts w:hint="eastAsia" w:ascii="宋体" w:hAnsi="宋体" w:eastAsia="宋体" w:cs="宋体"/>
                <w:spacing w:val="-1"/>
                <w:sz w:val="24"/>
                <w:szCs w:val="24"/>
              </w:rPr>
              <w:t>读取整车重要参数数据：如动力电池的</w:t>
            </w:r>
            <w:r>
              <w:rPr>
                <w:rFonts w:ascii="宋体" w:hAnsi="宋体" w:eastAsia="宋体" w:cs="宋体"/>
                <w:spacing w:val="-37"/>
                <w:sz w:val="24"/>
                <w:szCs w:val="24"/>
              </w:rPr>
              <w:t xml:space="preserve"> </w:t>
            </w:r>
            <w:r>
              <w:rPr>
                <w:rFonts w:ascii="宋体" w:hAnsi="宋体" w:eastAsia="宋体" w:cs="宋体"/>
                <w:spacing w:val="-1"/>
                <w:sz w:val="24"/>
                <w:szCs w:val="24"/>
              </w:rPr>
              <w:t>SOC、输出电</w:t>
            </w:r>
            <w:r>
              <w:rPr>
                <w:rFonts w:hint="eastAsia" w:ascii="宋体" w:hAnsi="宋体" w:eastAsia="宋体" w:cs="宋体"/>
                <w:spacing w:val="-2"/>
                <w:sz w:val="24"/>
                <w:szCs w:val="24"/>
              </w:rPr>
              <w:t>压、单体最高电压、</w:t>
            </w:r>
            <w:r>
              <w:rPr>
                <w:rFonts w:ascii="宋体" w:hAnsi="宋体" w:eastAsia="宋体" w:cs="宋体"/>
                <w:sz w:val="24"/>
                <w:szCs w:val="24"/>
              </w:rPr>
              <w:t xml:space="preserve"> </w:t>
            </w:r>
            <w:r>
              <w:rPr>
                <w:rFonts w:hint="eastAsia" w:ascii="宋体" w:hAnsi="宋体" w:eastAsia="宋体" w:cs="宋体"/>
                <w:spacing w:val="-2"/>
                <w:sz w:val="24"/>
                <w:szCs w:val="24"/>
              </w:rPr>
              <w:t>单体最低电压、单体最高温度、单体最低温度等。</w:t>
            </w:r>
          </w:p>
        </w:tc>
      </w:tr>
      <w:tr w14:paraId="2FC15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44F364F0">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rPr>
            </w:pPr>
            <w:r>
              <w:rPr>
                <w:rFonts w:hint="eastAsia" w:ascii="宋体" w:hAnsi="宋体" w:eastAsia="宋体" w:cs="宋体"/>
                <w:sz w:val="24"/>
                <w:szCs w:val="24"/>
              </w:rPr>
              <w:t>4</w:t>
            </w:r>
          </w:p>
        </w:tc>
        <w:tc>
          <w:tcPr>
            <w:tcW w:w="936" w:type="pct"/>
            <w:vAlign w:val="center"/>
          </w:tcPr>
          <w:p w14:paraId="6BE02637">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5" w:right="220" w:firstLine="1"/>
              <w:jc w:val="center"/>
              <w:textAlignment w:val="auto"/>
              <w:rPr>
                <w:rFonts w:ascii="宋体" w:hAnsi="宋体" w:eastAsia="宋体" w:cs="宋体"/>
                <w:sz w:val="24"/>
                <w:szCs w:val="24"/>
              </w:rPr>
            </w:pPr>
            <w:r>
              <w:rPr>
                <w:rFonts w:hint="eastAsia" w:ascii="宋体" w:hAnsi="宋体" w:eastAsia="宋体" w:cs="宋体"/>
                <w:spacing w:val="-1"/>
                <w:sz w:val="24"/>
                <w:szCs w:val="24"/>
              </w:rPr>
              <w:t>整车控制系统输入</w:t>
            </w:r>
            <w:r>
              <w:rPr>
                <w:rFonts w:ascii="宋体" w:hAnsi="宋体" w:eastAsia="宋体" w:cs="宋体"/>
                <w:spacing w:val="-1"/>
                <w:sz w:val="24"/>
                <w:szCs w:val="24"/>
              </w:rPr>
              <w:t>/</w:t>
            </w:r>
            <w:r>
              <w:rPr>
                <w:rFonts w:ascii="宋体" w:hAnsi="宋体" w:eastAsia="宋体" w:cs="宋体"/>
                <w:sz w:val="24"/>
                <w:szCs w:val="24"/>
              </w:rPr>
              <w:t xml:space="preserve"> </w:t>
            </w:r>
            <w:r>
              <w:rPr>
                <w:rFonts w:hint="eastAsia" w:ascii="宋体" w:hAnsi="宋体" w:eastAsia="宋体" w:cs="宋体"/>
                <w:spacing w:val="-1"/>
                <w:sz w:val="24"/>
                <w:szCs w:val="24"/>
              </w:rPr>
              <w:t>输出符合性检测</w:t>
            </w:r>
          </w:p>
        </w:tc>
        <w:tc>
          <w:tcPr>
            <w:tcW w:w="3685" w:type="pct"/>
            <w:vAlign w:val="center"/>
          </w:tcPr>
          <w:p w14:paraId="398E5672">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6" w:right="102" w:firstLine="6"/>
              <w:jc w:val="center"/>
              <w:textAlignment w:val="auto"/>
              <w:rPr>
                <w:rFonts w:ascii="宋体" w:hAnsi="宋体" w:eastAsia="宋体" w:cs="宋体"/>
                <w:sz w:val="24"/>
                <w:szCs w:val="24"/>
              </w:rPr>
            </w:pPr>
            <w:r>
              <w:rPr>
                <w:rFonts w:hint="eastAsia" w:ascii="宋体" w:hAnsi="宋体" w:eastAsia="宋体" w:cs="宋体"/>
                <w:spacing w:val="-2"/>
                <w:sz w:val="24"/>
                <w:szCs w:val="24"/>
              </w:rPr>
              <w:t>小电瓶电压、</w:t>
            </w:r>
            <w:r>
              <w:rPr>
                <w:rFonts w:ascii="宋体" w:hAnsi="宋体" w:eastAsia="宋体" w:cs="宋体"/>
                <w:spacing w:val="-2"/>
                <w:sz w:val="24"/>
                <w:szCs w:val="24"/>
              </w:rPr>
              <w:t>KL15</w:t>
            </w:r>
            <w:r>
              <w:rPr>
                <w:rFonts w:ascii="宋体" w:hAnsi="宋体" w:eastAsia="宋体" w:cs="宋体"/>
                <w:spacing w:val="-36"/>
                <w:sz w:val="24"/>
                <w:szCs w:val="24"/>
              </w:rPr>
              <w:t xml:space="preserve"> </w:t>
            </w:r>
            <w:r>
              <w:rPr>
                <w:rFonts w:hint="eastAsia" w:ascii="宋体" w:hAnsi="宋体" w:eastAsia="宋体" w:cs="宋体"/>
                <w:spacing w:val="-2"/>
                <w:sz w:val="24"/>
                <w:szCs w:val="24"/>
              </w:rPr>
              <w:t>状态、</w:t>
            </w:r>
            <w:r>
              <w:rPr>
                <w:rFonts w:ascii="宋体" w:hAnsi="宋体" w:eastAsia="宋体" w:cs="宋体"/>
                <w:spacing w:val="-2"/>
                <w:sz w:val="24"/>
                <w:szCs w:val="24"/>
              </w:rPr>
              <w:t>KL50</w:t>
            </w:r>
            <w:r>
              <w:rPr>
                <w:rFonts w:ascii="宋体" w:hAnsi="宋体" w:eastAsia="宋体" w:cs="宋体"/>
                <w:spacing w:val="-38"/>
                <w:sz w:val="24"/>
                <w:szCs w:val="24"/>
              </w:rPr>
              <w:t xml:space="preserve"> </w:t>
            </w:r>
            <w:r>
              <w:rPr>
                <w:rFonts w:hint="eastAsia" w:ascii="宋体" w:hAnsi="宋体" w:eastAsia="宋体" w:cs="宋体"/>
                <w:spacing w:val="-2"/>
                <w:sz w:val="24"/>
                <w:szCs w:val="24"/>
              </w:rPr>
              <w:t>状态、</w:t>
            </w:r>
            <w:r>
              <w:rPr>
                <w:rFonts w:ascii="宋体" w:hAnsi="宋体" w:eastAsia="宋体" w:cs="宋体"/>
                <w:spacing w:val="-2"/>
                <w:sz w:val="24"/>
                <w:szCs w:val="24"/>
              </w:rPr>
              <w:t>D</w:t>
            </w:r>
            <w:r>
              <w:rPr>
                <w:rFonts w:ascii="宋体" w:hAnsi="宋体" w:eastAsia="宋体" w:cs="宋体"/>
                <w:spacing w:val="-38"/>
                <w:sz w:val="24"/>
                <w:szCs w:val="24"/>
              </w:rPr>
              <w:t xml:space="preserve"> </w:t>
            </w:r>
            <w:r>
              <w:rPr>
                <w:rFonts w:hint="eastAsia" w:ascii="宋体" w:hAnsi="宋体" w:eastAsia="宋体" w:cs="宋体"/>
                <w:spacing w:val="-2"/>
                <w:sz w:val="24"/>
                <w:szCs w:val="24"/>
              </w:rPr>
              <w:t>挡、</w:t>
            </w:r>
            <w:r>
              <w:rPr>
                <w:rFonts w:ascii="宋体" w:hAnsi="宋体" w:eastAsia="宋体" w:cs="宋体"/>
                <w:spacing w:val="-2"/>
                <w:sz w:val="24"/>
                <w:szCs w:val="24"/>
              </w:rPr>
              <w:t>R</w:t>
            </w:r>
            <w:r>
              <w:rPr>
                <w:rFonts w:ascii="宋体" w:hAnsi="宋体" w:eastAsia="宋体" w:cs="宋体"/>
                <w:spacing w:val="-38"/>
                <w:sz w:val="24"/>
                <w:szCs w:val="24"/>
              </w:rPr>
              <w:t xml:space="preserve"> </w:t>
            </w:r>
            <w:r>
              <w:rPr>
                <w:rFonts w:hint="eastAsia" w:ascii="宋体" w:hAnsi="宋体" w:eastAsia="宋体" w:cs="宋体"/>
                <w:spacing w:val="-2"/>
                <w:sz w:val="24"/>
                <w:szCs w:val="24"/>
              </w:rPr>
              <w:t>挡、</w:t>
            </w:r>
            <w:r>
              <w:rPr>
                <w:rFonts w:ascii="宋体" w:hAnsi="宋体" w:eastAsia="宋体" w:cs="宋体"/>
                <w:spacing w:val="-2"/>
                <w:sz w:val="24"/>
                <w:szCs w:val="24"/>
              </w:rPr>
              <w:t>N</w:t>
            </w:r>
            <w:r>
              <w:rPr>
                <w:rFonts w:ascii="宋体" w:hAnsi="宋体" w:eastAsia="宋体" w:cs="宋体"/>
                <w:spacing w:val="-38"/>
                <w:sz w:val="24"/>
                <w:szCs w:val="24"/>
              </w:rPr>
              <w:t xml:space="preserve"> </w:t>
            </w:r>
            <w:r>
              <w:rPr>
                <w:rFonts w:hint="eastAsia" w:ascii="宋体" w:hAnsi="宋体" w:eastAsia="宋体" w:cs="宋体"/>
                <w:spacing w:val="-2"/>
                <w:sz w:val="24"/>
                <w:szCs w:val="24"/>
              </w:rPr>
              <w:t>挡、制冷请求、制热</w:t>
            </w:r>
            <w:r>
              <w:rPr>
                <w:rFonts w:ascii="宋体" w:hAnsi="宋体" w:eastAsia="宋体" w:cs="宋体"/>
                <w:sz w:val="24"/>
                <w:szCs w:val="24"/>
              </w:rPr>
              <w:t xml:space="preserve"> </w:t>
            </w:r>
            <w:r>
              <w:rPr>
                <w:rFonts w:hint="eastAsia" w:ascii="宋体" w:hAnsi="宋体" w:eastAsia="宋体" w:cs="宋体"/>
                <w:spacing w:val="-1"/>
                <w:sz w:val="24"/>
                <w:szCs w:val="24"/>
              </w:rPr>
              <w:t>请求、制动踏板开关、加速踏板信号等等</w:t>
            </w:r>
          </w:p>
        </w:tc>
      </w:tr>
      <w:tr w14:paraId="5BEB6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0B8F9A33">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rPr>
            </w:pPr>
            <w:r>
              <w:rPr>
                <w:rFonts w:hint="eastAsia" w:ascii="宋体" w:hAnsi="宋体" w:eastAsia="宋体" w:cs="宋体"/>
                <w:sz w:val="24"/>
                <w:szCs w:val="24"/>
              </w:rPr>
              <w:t>5</w:t>
            </w:r>
          </w:p>
        </w:tc>
        <w:tc>
          <w:tcPr>
            <w:tcW w:w="936" w:type="pct"/>
            <w:vAlign w:val="center"/>
          </w:tcPr>
          <w:p w14:paraId="17276DB3">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高压上下电功能检测</w:t>
            </w:r>
          </w:p>
        </w:tc>
        <w:tc>
          <w:tcPr>
            <w:tcW w:w="3685" w:type="pct"/>
            <w:vAlign w:val="center"/>
          </w:tcPr>
          <w:p w14:paraId="1D2151DA">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9" w:right="53"/>
              <w:jc w:val="center"/>
              <w:textAlignment w:val="auto"/>
              <w:rPr>
                <w:rFonts w:ascii="宋体" w:hAnsi="宋体" w:eastAsia="宋体" w:cs="宋体"/>
                <w:sz w:val="24"/>
                <w:szCs w:val="24"/>
              </w:rPr>
            </w:pPr>
            <w:r>
              <w:rPr>
                <w:rFonts w:hint="eastAsia" w:ascii="宋体" w:hAnsi="宋体" w:eastAsia="宋体" w:cs="宋体"/>
                <w:spacing w:val="-6"/>
                <w:sz w:val="24"/>
                <w:szCs w:val="24"/>
              </w:rPr>
              <w:t>上电过程：仪表</w:t>
            </w:r>
            <w:r>
              <w:rPr>
                <w:rFonts w:ascii="宋体" w:hAnsi="宋体" w:eastAsia="宋体" w:cs="宋体"/>
                <w:spacing w:val="-40"/>
                <w:sz w:val="24"/>
                <w:szCs w:val="24"/>
              </w:rPr>
              <w:t xml:space="preserve"> </w:t>
            </w:r>
            <w:r>
              <w:rPr>
                <w:rFonts w:ascii="宋体" w:hAnsi="宋体" w:eastAsia="宋体" w:cs="宋体"/>
                <w:spacing w:val="-6"/>
                <w:sz w:val="24"/>
                <w:szCs w:val="24"/>
              </w:rPr>
              <w:t>READY</w:t>
            </w:r>
            <w:r>
              <w:rPr>
                <w:rFonts w:ascii="宋体" w:hAnsi="宋体" w:eastAsia="宋体" w:cs="宋体"/>
                <w:spacing w:val="-37"/>
                <w:sz w:val="24"/>
                <w:szCs w:val="24"/>
              </w:rPr>
              <w:t xml:space="preserve"> </w:t>
            </w:r>
            <w:r>
              <w:rPr>
                <w:rFonts w:hint="eastAsia" w:ascii="宋体" w:hAnsi="宋体" w:eastAsia="宋体" w:cs="宋体"/>
                <w:spacing w:val="-6"/>
                <w:sz w:val="24"/>
                <w:szCs w:val="24"/>
              </w:rPr>
              <w:t>灯亮；通过报文读取主正和主</w:t>
            </w:r>
            <w:r>
              <w:rPr>
                <w:rFonts w:hint="eastAsia" w:ascii="宋体" w:hAnsi="宋体" w:eastAsia="宋体" w:cs="宋体"/>
                <w:spacing w:val="-7"/>
                <w:sz w:val="24"/>
                <w:szCs w:val="24"/>
              </w:rPr>
              <w:t>负继电器状态为闭合，</w:t>
            </w:r>
            <w:r>
              <w:rPr>
                <w:rFonts w:ascii="宋体" w:hAnsi="宋体" w:eastAsia="宋体" w:cs="宋体"/>
                <w:sz w:val="24"/>
                <w:szCs w:val="24"/>
              </w:rPr>
              <w:t xml:space="preserve"> </w:t>
            </w:r>
            <w:r>
              <w:rPr>
                <w:rFonts w:hint="eastAsia" w:ascii="宋体" w:hAnsi="宋体" w:eastAsia="宋体" w:cs="宋体"/>
                <w:spacing w:val="-8"/>
                <w:sz w:val="24"/>
                <w:szCs w:val="24"/>
              </w:rPr>
              <w:t>无绝缘故障；</w:t>
            </w:r>
          </w:p>
          <w:p w14:paraId="6AF85D73">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2" w:right="55" w:firstLine="11"/>
              <w:jc w:val="center"/>
              <w:textAlignment w:val="auto"/>
              <w:rPr>
                <w:rFonts w:ascii="宋体" w:hAnsi="宋体" w:eastAsia="宋体" w:cs="宋体"/>
                <w:sz w:val="24"/>
                <w:szCs w:val="24"/>
              </w:rPr>
            </w:pPr>
            <w:r>
              <w:rPr>
                <w:rFonts w:hint="eastAsia" w:ascii="宋体" w:hAnsi="宋体" w:eastAsia="宋体" w:cs="宋体"/>
                <w:spacing w:val="-7"/>
                <w:sz w:val="24"/>
                <w:szCs w:val="24"/>
              </w:rPr>
              <w:t>下电过程：仪表</w:t>
            </w:r>
            <w:r>
              <w:rPr>
                <w:rFonts w:ascii="宋体" w:hAnsi="宋体" w:eastAsia="宋体" w:cs="宋体"/>
                <w:spacing w:val="-21"/>
                <w:sz w:val="24"/>
                <w:szCs w:val="24"/>
              </w:rPr>
              <w:t xml:space="preserve"> </w:t>
            </w:r>
            <w:r>
              <w:rPr>
                <w:rFonts w:ascii="宋体" w:hAnsi="宋体" w:eastAsia="宋体" w:cs="宋体"/>
                <w:spacing w:val="-7"/>
                <w:sz w:val="24"/>
                <w:szCs w:val="24"/>
              </w:rPr>
              <w:t>READY</w:t>
            </w:r>
            <w:r>
              <w:rPr>
                <w:rFonts w:ascii="宋体" w:hAnsi="宋体" w:eastAsia="宋体" w:cs="宋体"/>
                <w:spacing w:val="-37"/>
                <w:sz w:val="24"/>
                <w:szCs w:val="24"/>
              </w:rPr>
              <w:t xml:space="preserve"> </w:t>
            </w:r>
            <w:r>
              <w:rPr>
                <w:rFonts w:hint="eastAsia" w:ascii="宋体" w:hAnsi="宋体" w:eastAsia="宋体" w:cs="宋体"/>
                <w:spacing w:val="-7"/>
                <w:sz w:val="24"/>
                <w:szCs w:val="24"/>
              </w:rPr>
              <w:t>灯灭；通过报文读取主正和主负继电器状态为断开；</w:t>
            </w:r>
            <w:r>
              <w:rPr>
                <w:rFonts w:ascii="宋体" w:hAnsi="宋体" w:eastAsia="宋体" w:cs="宋体"/>
                <w:sz w:val="24"/>
                <w:szCs w:val="24"/>
              </w:rPr>
              <w:t xml:space="preserve"> </w:t>
            </w:r>
            <w:r>
              <w:rPr>
                <w:rFonts w:ascii="宋体" w:hAnsi="宋体" w:eastAsia="宋体" w:cs="宋体"/>
                <w:spacing w:val="-3"/>
                <w:sz w:val="24"/>
                <w:szCs w:val="24"/>
              </w:rPr>
              <w:t>MCU</w:t>
            </w:r>
            <w:r>
              <w:rPr>
                <w:rFonts w:ascii="宋体" w:hAnsi="宋体" w:eastAsia="宋体" w:cs="宋体"/>
                <w:spacing w:val="-32"/>
                <w:sz w:val="24"/>
                <w:szCs w:val="24"/>
              </w:rPr>
              <w:t xml:space="preserve"> </w:t>
            </w:r>
            <w:r>
              <w:rPr>
                <w:rFonts w:hint="eastAsia" w:ascii="宋体" w:hAnsi="宋体" w:eastAsia="宋体" w:cs="宋体"/>
                <w:spacing w:val="-3"/>
                <w:sz w:val="24"/>
                <w:szCs w:val="24"/>
              </w:rPr>
              <w:t>主动放电信号为完成。</w:t>
            </w:r>
          </w:p>
        </w:tc>
      </w:tr>
      <w:tr w14:paraId="1EACA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377" w:type="pct"/>
            <w:vAlign w:val="center"/>
          </w:tcPr>
          <w:p w14:paraId="12A14069">
            <w:pPr>
              <w:keepNext w:val="0"/>
              <w:keepLines w:val="0"/>
              <w:pageBreakBefore w:val="0"/>
              <w:widowControl w:val="0"/>
              <w:kinsoku/>
              <w:wordWrap/>
              <w:overflowPunct/>
              <w:topLinePunct w:val="0"/>
              <w:autoSpaceDE/>
              <w:autoSpaceDN/>
              <w:bidi w:val="0"/>
              <w:adjustRightInd w:val="0"/>
              <w:snapToGrid w:val="0"/>
              <w:spacing w:after="200" w:afterAutospacing="0" w:line="240" w:lineRule="auto"/>
              <w:jc w:val="center"/>
              <w:textAlignment w:val="auto"/>
              <w:rPr>
                <w:rFonts w:ascii="宋体" w:hAnsi="宋体" w:eastAsia="宋体" w:cs="宋体"/>
                <w:sz w:val="24"/>
                <w:szCs w:val="24"/>
              </w:rPr>
            </w:pPr>
            <w:r>
              <w:rPr>
                <w:rFonts w:hint="eastAsia" w:ascii="宋体" w:hAnsi="宋体" w:eastAsia="宋体" w:cs="宋体"/>
                <w:sz w:val="24"/>
                <w:szCs w:val="24"/>
              </w:rPr>
              <w:t>6</w:t>
            </w:r>
          </w:p>
        </w:tc>
        <w:tc>
          <w:tcPr>
            <w:tcW w:w="936" w:type="pct"/>
            <w:vAlign w:val="center"/>
          </w:tcPr>
          <w:p w14:paraId="3DFAE3D9">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5"/>
              <w:jc w:val="center"/>
              <w:textAlignment w:val="auto"/>
              <w:rPr>
                <w:rFonts w:ascii="宋体" w:hAnsi="宋体" w:eastAsia="宋体" w:cs="宋体"/>
                <w:sz w:val="24"/>
                <w:szCs w:val="24"/>
                <w:lang w:eastAsia="en-US"/>
              </w:rPr>
            </w:pPr>
            <w:r>
              <w:rPr>
                <w:rFonts w:hint="eastAsia" w:ascii="宋体" w:hAnsi="宋体" w:eastAsia="宋体" w:cs="宋体"/>
                <w:spacing w:val="-2"/>
                <w:sz w:val="24"/>
                <w:szCs w:val="24"/>
                <w:lang w:eastAsia="en-US"/>
              </w:rPr>
              <w:t>读取故障码</w:t>
            </w:r>
          </w:p>
        </w:tc>
        <w:tc>
          <w:tcPr>
            <w:tcW w:w="3685" w:type="pct"/>
            <w:vAlign w:val="center"/>
          </w:tcPr>
          <w:p w14:paraId="74048913">
            <w:pPr>
              <w:keepNext w:val="0"/>
              <w:keepLines w:val="0"/>
              <w:pageBreakBefore w:val="0"/>
              <w:widowControl w:val="0"/>
              <w:kinsoku/>
              <w:wordWrap/>
              <w:overflowPunct/>
              <w:topLinePunct w:val="0"/>
              <w:autoSpaceDE/>
              <w:autoSpaceDN/>
              <w:bidi w:val="0"/>
              <w:adjustRightInd w:val="0"/>
              <w:snapToGrid w:val="0"/>
              <w:spacing w:after="200" w:afterAutospacing="0" w:line="240" w:lineRule="auto"/>
              <w:ind w:left="108"/>
              <w:jc w:val="center"/>
              <w:textAlignment w:val="auto"/>
              <w:rPr>
                <w:rFonts w:ascii="宋体" w:hAnsi="宋体" w:eastAsia="宋体" w:cs="宋体"/>
                <w:sz w:val="24"/>
                <w:szCs w:val="24"/>
                <w:lang w:eastAsia="en-US"/>
              </w:rPr>
            </w:pPr>
            <w:r>
              <w:rPr>
                <w:rFonts w:hint="eastAsia" w:ascii="宋体" w:hAnsi="宋体" w:eastAsia="宋体" w:cs="宋体"/>
                <w:spacing w:val="-1"/>
                <w:sz w:val="24"/>
                <w:szCs w:val="24"/>
                <w:lang w:eastAsia="en-US"/>
              </w:rPr>
              <w:t>所有控制器故障码</w:t>
            </w:r>
          </w:p>
        </w:tc>
      </w:tr>
    </w:tbl>
    <w:p w14:paraId="5B823178">
      <w:pPr>
        <w:keepNext w:val="0"/>
        <w:keepLines w:val="0"/>
        <w:pageBreakBefore w:val="0"/>
        <w:widowControl w:val="0"/>
        <w:numPr>
          <w:ilvl w:val="0"/>
          <w:numId w:val="656"/>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设备配置</w:t>
      </w:r>
    </w:p>
    <w:p w14:paraId="6B8E8CD4">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配置清单</w:t>
      </w:r>
    </w:p>
    <w:p w14:paraId="7CB82047">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系统内置工业控制计算机，系统检测软件，实现对检测设备的控制、数据采  集与分析、报表导出等功能，满足数据监控、信息化管理的需求。配备打印机， 根据定制格式打印检测结果。设备主要配置如下表：</w:t>
      </w:r>
    </w:p>
    <w:tbl>
      <w:tblPr>
        <w:tblStyle w:val="5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2"/>
        <w:gridCol w:w="1424"/>
        <w:gridCol w:w="4129"/>
        <w:gridCol w:w="823"/>
        <w:gridCol w:w="2546"/>
      </w:tblGrid>
      <w:tr w14:paraId="5F73A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20DAAA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737" w:type="pct"/>
            <w:vAlign w:val="center"/>
          </w:tcPr>
          <w:p w14:paraId="70AE39E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名称</w:t>
            </w:r>
          </w:p>
        </w:tc>
        <w:tc>
          <w:tcPr>
            <w:tcW w:w="2137" w:type="pct"/>
            <w:vAlign w:val="center"/>
          </w:tcPr>
          <w:p w14:paraId="17F8338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lang w:val="en-US" w:eastAsia="zh-CN"/>
              </w:rPr>
              <w:t>相当于或优于以下</w:t>
            </w:r>
            <w:r>
              <w:rPr>
                <w:rFonts w:hint="eastAsia" w:ascii="宋体" w:hAnsi="宋体" w:eastAsia="宋体" w:cs="宋体"/>
                <w:sz w:val="24"/>
                <w:szCs w:val="24"/>
              </w:rPr>
              <w:t>品牌</w:t>
            </w:r>
          </w:p>
        </w:tc>
        <w:tc>
          <w:tcPr>
            <w:tcW w:w="426" w:type="pct"/>
            <w:vAlign w:val="center"/>
          </w:tcPr>
          <w:p w14:paraId="259C0F6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1318" w:type="pct"/>
            <w:vAlign w:val="center"/>
          </w:tcPr>
          <w:p w14:paraId="2031098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主要技术参数</w:t>
            </w:r>
          </w:p>
        </w:tc>
      </w:tr>
      <w:tr w14:paraId="1A6FF8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4E9B837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737" w:type="pct"/>
            <w:vAlign w:val="center"/>
          </w:tcPr>
          <w:p w14:paraId="299A1F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控制柜</w:t>
            </w:r>
          </w:p>
        </w:tc>
        <w:tc>
          <w:tcPr>
            <w:tcW w:w="2137" w:type="pct"/>
            <w:vAlign w:val="center"/>
          </w:tcPr>
          <w:p w14:paraId="6225143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6" w:type="pct"/>
            <w:vAlign w:val="center"/>
          </w:tcPr>
          <w:p w14:paraId="6099817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5EF665C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5B7B2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329219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737" w:type="pct"/>
            <w:vAlign w:val="center"/>
          </w:tcPr>
          <w:p w14:paraId="4C0E9AD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工控机</w:t>
            </w:r>
          </w:p>
        </w:tc>
        <w:tc>
          <w:tcPr>
            <w:tcW w:w="2137" w:type="pct"/>
            <w:vAlign w:val="center"/>
          </w:tcPr>
          <w:p w14:paraId="49A72F4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研华，</w:t>
            </w:r>
            <w:r>
              <w:rPr>
                <w:rFonts w:hint="eastAsia" w:ascii="宋体" w:hAnsi="宋体" w:eastAsia="宋体" w:cs="宋体"/>
                <w:kern w:val="0"/>
                <w:sz w:val="24"/>
                <w:szCs w:val="24"/>
              </w:rPr>
              <w:t>研祥，西门子</w:t>
            </w:r>
            <w:r>
              <w:rPr>
                <w:rFonts w:hint="eastAsia" w:ascii="宋体" w:hAnsi="宋体" w:eastAsia="宋体" w:cs="宋体"/>
                <w:spacing w:val="10"/>
                <w:sz w:val="24"/>
                <w:szCs w:val="24"/>
              </w:rPr>
              <w:t>同等档次品牌</w:t>
            </w:r>
          </w:p>
        </w:tc>
        <w:tc>
          <w:tcPr>
            <w:tcW w:w="426" w:type="pct"/>
            <w:vAlign w:val="center"/>
          </w:tcPr>
          <w:p w14:paraId="6F58CBA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2F40B0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适配鼠标键盘显示器</w:t>
            </w:r>
          </w:p>
        </w:tc>
      </w:tr>
      <w:tr w14:paraId="02EF0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6B64E47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737" w:type="pct"/>
            <w:vAlign w:val="center"/>
          </w:tcPr>
          <w:p w14:paraId="4BCF93A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显示器</w:t>
            </w:r>
          </w:p>
        </w:tc>
        <w:tc>
          <w:tcPr>
            <w:tcW w:w="2137" w:type="pct"/>
            <w:vAlign w:val="center"/>
          </w:tcPr>
          <w:p w14:paraId="2FC5652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DELL,</w:t>
            </w:r>
            <w:r>
              <w:rPr>
                <w:rFonts w:ascii="宋体" w:hAnsi="宋体" w:eastAsia="宋体" w:cs="宋体"/>
                <w:kern w:val="0"/>
                <w:sz w:val="24"/>
                <w:szCs w:val="24"/>
              </w:rPr>
              <w:t>AOC,ASUS</w:t>
            </w:r>
            <w:r>
              <w:rPr>
                <w:rFonts w:hint="eastAsia" w:ascii="宋体" w:hAnsi="宋体" w:eastAsia="宋体" w:cs="宋体"/>
                <w:spacing w:val="10"/>
                <w:sz w:val="24"/>
                <w:szCs w:val="24"/>
              </w:rPr>
              <w:t>同等档次品牌</w:t>
            </w:r>
          </w:p>
        </w:tc>
        <w:tc>
          <w:tcPr>
            <w:tcW w:w="426" w:type="pct"/>
            <w:vAlign w:val="center"/>
          </w:tcPr>
          <w:p w14:paraId="498A68C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1台</w:t>
            </w:r>
          </w:p>
        </w:tc>
        <w:tc>
          <w:tcPr>
            <w:tcW w:w="1318" w:type="pct"/>
            <w:vAlign w:val="center"/>
          </w:tcPr>
          <w:p w14:paraId="19C264E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27寸</w:t>
            </w:r>
          </w:p>
        </w:tc>
      </w:tr>
      <w:tr w14:paraId="7F7BF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2AEFFB2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737" w:type="pct"/>
            <w:vAlign w:val="center"/>
          </w:tcPr>
          <w:p w14:paraId="31DC401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扫描枪</w:t>
            </w:r>
          </w:p>
        </w:tc>
        <w:tc>
          <w:tcPr>
            <w:tcW w:w="2137" w:type="pct"/>
            <w:vAlign w:val="center"/>
          </w:tcPr>
          <w:p w14:paraId="67DF765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 xml:space="preserve">Symbol, </w:t>
            </w:r>
            <w:r>
              <w:rPr>
                <w:rFonts w:hint="eastAsia" w:ascii="宋体" w:hAnsi="宋体" w:eastAsia="宋体" w:cs="宋体"/>
                <w:kern w:val="0"/>
                <w:sz w:val="24"/>
                <w:szCs w:val="24"/>
              </w:rPr>
              <w:t>科密，民德</w:t>
            </w:r>
            <w:r>
              <w:rPr>
                <w:rFonts w:hint="eastAsia" w:ascii="宋体" w:hAnsi="宋体" w:eastAsia="宋体" w:cs="宋体"/>
                <w:spacing w:val="10"/>
                <w:sz w:val="24"/>
                <w:szCs w:val="24"/>
              </w:rPr>
              <w:t>同等档次品牌</w:t>
            </w:r>
          </w:p>
        </w:tc>
        <w:tc>
          <w:tcPr>
            <w:tcW w:w="426" w:type="pct"/>
            <w:vAlign w:val="center"/>
          </w:tcPr>
          <w:p w14:paraId="5E05877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36249C5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可扫描条形码和二维码</w:t>
            </w:r>
          </w:p>
        </w:tc>
      </w:tr>
      <w:tr w14:paraId="5EEAF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77D4DC1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737" w:type="pct"/>
            <w:vAlign w:val="center"/>
          </w:tcPr>
          <w:p w14:paraId="0B8A1F7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打印机</w:t>
            </w:r>
          </w:p>
        </w:tc>
        <w:tc>
          <w:tcPr>
            <w:tcW w:w="2137" w:type="pct"/>
            <w:vAlign w:val="center"/>
          </w:tcPr>
          <w:p w14:paraId="5CE1920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惠普</w:t>
            </w:r>
            <w:r>
              <w:rPr>
                <w:rFonts w:hint="eastAsia" w:ascii="宋体" w:hAnsi="宋体" w:eastAsia="宋体" w:cs="宋体"/>
                <w:sz w:val="24"/>
                <w:szCs w:val="24"/>
                <w:lang w:eastAsia="zh-CN"/>
              </w:rPr>
              <w:t>，</w:t>
            </w:r>
            <w:r>
              <w:rPr>
                <w:rFonts w:ascii="宋体" w:hAnsi="宋体" w:eastAsia="宋体" w:cs="宋体"/>
                <w:sz w:val="24"/>
                <w:szCs w:val="24"/>
              </w:rPr>
              <w:t xml:space="preserve"> </w:t>
            </w:r>
            <w:r>
              <w:rPr>
                <w:rFonts w:hint="eastAsia" w:ascii="宋体" w:hAnsi="宋体" w:eastAsia="宋体" w:cs="宋体"/>
                <w:sz w:val="24"/>
                <w:szCs w:val="24"/>
              </w:rPr>
              <w:t>佳能，爱普生</w:t>
            </w:r>
            <w:r>
              <w:rPr>
                <w:rFonts w:hint="eastAsia" w:ascii="宋体" w:hAnsi="宋体" w:eastAsia="宋体" w:cs="宋体"/>
                <w:spacing w:val="10"/>
                <w:sz w:val="24"/>
                <w:szCs w:val="24"/>
              </w:rPr>
              <w:t>同等档次品牌</w:t>
            </w:r>
          </w:p>
        </w:tc>
        <w:tc>
          <w:tcPr>
            <w:tcW w:w="426" w:type="pct"/>
            <w:vAlign w:val="center"/>
          </w:tcPr>
          <w:p w14:paraId="6528E50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23D850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63DB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2EA7483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6</w:t>
            </w:r>
          </w:p>
        </w:tc>
        <w:tc>
          <w:tcPr>
            <w:tcW w:w="737" w:type="pct"/>
            <w:vAlign w:val="center"/>
          </w:tcPr>
          <w:p w14:paraId="2C1D680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电源管理模块</w:t>
            </w:r>
          </w:p>
        </w:tc>
        <w:tc>
          <w:tcPr>
            <w:tcW w:w="2137" w:type="pct"/>
            <w:vAlign w:val="center"/>
          </w:tcPr>
          <w:p w14:paraId="2C5B05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6" w:type="pct"/>
            <w:vAlign w:val="center"/>
          </w:tcPr>
          <w:p w14:paraId="52F3A8E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2AC9FA6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981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0E50FAA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w:t>
            </w:r>
          </w:p>
        </w:tc>
        <w:tc>
          <w:tcPr>
            <w:tcW w:w="737" w:type="pct"/>
            <w:vAlign w:val="center"/>
          </w:tcPr>
          <w:p w14:paraId="2A79270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UPS电源</w:t>
            </w:r>
          </w:p>
        </w:tc>
        <w:tc>
          <w:tcPr>
            <w:tcW w:w="2137" w:type="pct"/>
            <w:vAlign w:val="center"/>
          </w:tcPr>
          <w:p w14:paraId="03CB4CF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施耐德</w:t>
            </w:r>
            <w:r>
              <w:rPr>
                <w:rFonts w:hint="eastAsia" w:ascii="宋体" w:hAnsi="宋体" w:eastAsia="宋体" w:cs="宋体"/>
                <w:sz w:val="24"/>
                <w:szCs w:val="24"/>
                <w:lang w:eastAsia="zh-CN"/>
              </w:rPr>
              <w:t>，</w:t>
            </w:r>
            <w:r>
              <w:rPr>
                <w:rFonts w:ascii="宋体" w:hAnsi="宋体" w:eastAsia="宋体" w:cs="宋体"/>
                <w:sz w:val="24"/>
                <w:szCs w:val="24"/>
              </w:rPr>
              <w:t xml:space="preserve"> </w:t>
            </w:r>
            <w:r>
              <w:rPr>
                <w:rFonts w:hint="eastAsia" w:ascii="宋体" w:hAnsi="宋体" w:eastAsia="宋体" w:cs="宋体"/>
                <w:kern w:val="0"/>
                <w:sz w:val="24"/>
                <w:szCs w:val="24"/>
              </w:rPr>
              <w:t>科华，山特</w:t>
            </w:r>
            <w:r>
              <w:rPr>
                <w:rFonts w:hint="eastAsia" w:ascii="宋体" w:hAnsi="宋体" w:eastAsia="宋体" w:cs="宋体"/>
                <w:spacing w:val="10"/>
                <w:sz w:val="24"/>
                <w:szCs w:val="24"/>
              </w:rPr>
              <w:t>同等档次品牌</w:t>
            </w:r>
          </w:p>
        </w:tc>
        <w:tc>
          <w:tcPr>
            <w:tcW w:w="426" w:type="pct"/>
            <w:vAlign w:val="center"/>
          </w:tcPr>
          <w:p w14:paraId="13E23F1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78B025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74A9E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exact"/>
          <w:jc w:val="center"/>
        </w:trPr>
        <w:tc>
          <w:tcPr>
            <w:tcW w:w="379" w:type="pct"/>
            <w:vAlign w:val="center"/>
          </w:tcPr>
          <w:p w14:paraId="480C14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w:t>
            </w:r>
          </w:p>
        </w:tc>
        <w:tc>
          <w:tcPr>
            <w:tcW w:w="737" w:type="pct"/>
            <w:vAlign w:val="center"/>
          </w:tcPr>
          <w:p w14:paraId="1C45457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VCI适配器</w:t>
            </w:r>
          </w:p>
        </w:tc>
        <w:tc>
          <w:tcPr>
            <w:tcW w:w="2137" w:type="pct"/>
            <w:vAlign w:val="center"/>
          </w:tcPr>
          <w:p w14:paraId="1C1DFA9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VCIOBD</w:t>
            </w:r>
          </w:p>
        </w:tc>
        <w:tc>
          <w:tcPr>
            <w:tcW w:w="426" w:type="pct"/>
            <w:vAlign w:val="center"/>
          </w:tcPr>
          <w:p w14:paraId="51ADC20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48F3EF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支持</w:t>
            </w:r>
            <w:r>
              <w:rPr>
                <w:rFonts w:ascii="宋体" w:hAnsi="宋体" w:eastAsia="宋体" w:cs="宋体"/>
                <w:sz w:val="24"/>
                <w:szCs w:val="24"/>
              </w:rPr>
              <w:t>4路CAN，1路K线，1路LIN线</w:t>
            </w:r>
          </w:p>
        </w:tc>
      </w:tr>
      <w:tr w14:paraId="1E419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exact"/>
          <w:jc w:val="center"/>
        </w:trPr>
        <w:tc>
          <w:tcPr>
            <w:tcW w:w="379" w:type="pct"/>
            <w:vAlign w:val="center"/>
          </w:tcPr>
          <w:p w14:paraId="62D1D9E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9</w:t>
            </w:r>
          </w:p>
        </w:tc>
        <w:tc>
          <w:tcPr>
            <w:tcW w:w="737" w:type="pct"/>
            <w:vAlign w:val="center"/>
          </w:tcPr>
          <w:p w14:paraId="288C62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测试线束</w:t>
            </w:r>
          </w:p>
        </w:tc>
        <w:tc>
          <w:tcPr>
            <w:tcW w:w="2137" w:type="pct"/>
            <w:vAlign w:val="center"/>
          </w:tcPr>
          <w:p w14:paraId="042B90B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6" w:type="pct"/>
            <w:vAlign w:val="center"/>
          </w:tcPr>
          <w:p w14:paraId="71AE9BD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2625099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OBD定制线束</w:t>
            </w:r>
          </w:p>
        </w:tc>
      </w:tr>
      <w:tr w14:paraId="2DD44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379" w:type="pct"/>
            <w:vAlign w:val="center"/>
          </w:tcPr>
          <w:p w14:paraId="21EC394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10</w:t>
            </w:r>
          </w:p>
        </w:tc>
        <w:tc>
          <w:tcPr>
            <w:tcW w:w="737" w:type="pct"/>
            <w:vAlign w:val="center"/>
          </w:tcPr>
          <w:p w14:paraId="6434CEC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测试软件</w:t>
            </w:r>
          </w:p>
        </w:tc>
        <w:tc>
          <w:tcPr>
            <w:tcW w:w="2137" w:type="pct"/>
            <w:vAlign w:val="center"/>
          </w:tcPr>
          <w:p w14:paraId="23FD261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定制</w:t>
            </w:r>
          </w:p>
        </w:tc>
        <w:tc>
          <w:tcPr>
            <w:tcW w:w="426" w:type="pct"/>
            <w:vAlign w:val="center"/>
          </w:tcPr>
          <w:p w14:paraId="1520B25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318" w:type="pct"/>
            <w:vAlign w:val="center"/>
          </w:tcPr>
          <w:p w14:paraId="32A82C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4A761FB4">
      <w:pPr>
        <w:keepNext w:val="0"/>
        <w:keepLines w:val="0"/>
        <w:pageBreakBefore w:val="0"/>
        <w:widowControl w:val="0"/>
        <w:kinsoku/>
        <w:overflowPunct/>
        <w:topLinePunct w:val="0"/>
        <w:bidi w:val="0"/>
        <w:adjustRightInd w:val="0"/>
        <w:snapToGrid w:val="0"/>
        <w:spacing w:afterAutospacing="0" w:line="360" w:lineRule="auto"/>
        <w:rPr>
          <w:rFonts w:hint="default" w:ascii="Times New Roman" w:hAnsi="Times New Roman" w:eastAsia="宋体" w:cs="Times New Roman"/>
          <w:sz w:val="24"/>
          <w:lang w:val="en-US" w:eastAsia="zh-CN"/>
        </w:rPr>
      </w:pPr>
      <w:r>
        <w:rPr>
          <w:rFonts w:ascii="Times New Roman" w:hAnsi="Times New Roman" w:eastAsia="宋体" w:cs="Times New Roman"/>
          <w:sz w:val="24"/>
        </w:rPr>
        <w:t>控制柜样式</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示意图</w:t>
      </w:r>
      <w:r>
        <w:rPr>
          <w:rFonts w:hint="eastAsia" w:ascii="Times New Roman" w:hAnsi="Times New Roman" w:eastAsia="宋体" w:cs="Times New Roman"/>
          <w:sz w:val="24"/>
          <w:lang w:eastAsia="zh-CN"/>
        </w:rPr>
        <w:t>）</w:t>
      </w:r>
    </w:p>
    <w:p w14:paraId="68F50CDD">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宋体" w:hAnsi="宋体" w:eastAsia="宋体" w:cs="宋体"/>
          <w:sz w:val="24"/>
        </w:rPr>
      </w:pPr>
      <w:r>
        <w:rPr>
          <w:rFonts w:ascii="宋体" w:hAnsi="宋体" w:eastAsia="宋体" w:cs="宋体"/>
          <w:sz w:val="24"/>
        </w:rPr>
        <w:drawing>
          <wp:inline distT="0" distB="0" distL="114300" distR="114300">
            <wp:extent cx="4191000" cy="3848100"/>
            <wp:effectExtent l="0" t="0" r="0" b="7620"/>
            <wp:docPr id="1026587862" name="图片 1026587862"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587862" name="图片 1026587862" descr="图示&#10;&#10;描述已自动生成"/>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4191000" cy="3848100"/>
                    </a:xfrm>
                    <a:prstGeom prst="rect">
                      <a:avLst/>
                    </a:prstGeom>
                  </pic:spPr>
                </pic:pic>
              </a:graphicData>
            </a:graphic>
          </wp:inline>
        </w:drawing>
      </w:r>
    </w:p>
    <w:p w14:paraId="43BCC12D">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rPr>
      </w:pPr>
    </w:p>
    <w:p w14:paraId="1337CB87">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配备远程操控平板电脑</w:t>
      </w:r>
    </w:p>
    <w:tbl>
      <w:tblPr>
        <w:tblStyle w:val="44"/>
        <w:tblpPr w:leftFromText="180" w:rightFromText="180" w:vertAnchor="text" w:horzAnchor="margin" w:tblpY="3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51"/>
        <w:gridCol w:w="7503"/>
      </w:tblGrid>
      <w:tr w14:paraId="5FDA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36E0156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项目</w:t>
            </w:r>
          </w:p>
        </w:tc>
        <w:tc>
          <w:tcPr>
            <w:tcW w:w="3886" w:type="pct"/>
            <w:shd w:val="clear" w:color="000000" w:fill="FFFFFF"/>
            <w:vAlign w:val="center"/>
          </w:tcPr>
          <w:p w14:paraId="4B5C65E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参数</w:t>
            </w:r>
          </w:p>
        </w:tc>
      </w:tr>
      <w:tr w14:paraId="1A76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7C32BD3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CPU</w:t>
            </w:r>
          </w:p>
        </w:tc>
        <w:tc>
          <w:tcPr>
            <w:tcW w:w="3886" w:type="pct"/>
            <w:shd w:val="clear" w:color="000000" w:fill="FFFFFF"/>
            <w:vAlign w:val="center"/>
          </w:tcPr>
          <w:p w14:paraId="7455445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I7-1255U</w:t>
            </w:r>
          </w:p>
        </w:tc>
      </w:tr>
      <w:tr w14:paraId="75A5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5CF2C5C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内存</w:t>
            </w:r>
          </w:p>
        </w:tc>
        <w:tc>
          <w:tcPr>
            <w:tcW w:w="3886" w:type="pct"/>
            <w:shd w:val="clear" w:color="000000" w:fill="FFFFFF"/>
            <w:vAlign w:val="center"/>
          </w:tcPr>
          <w:p w14:paraId="07DF2FD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8GB</w:t>
            </w:r>
            <w:r>
              <w:rPr>
                <w:rFonts w:hint="eastAsia" w:ascii="宋体" w:hAnsi="宋体" w:eastAsia="宋体" w:cs="宋体"/>
                <w:sz w:val="24"/>
                <w:szCs w:val="24"/>
                <w:lang w:eastAsia="zh-CN"/>
              </w:rPr>
              <w:t>,</w:t>
            </w:r>
            <w:r>
              <w:rPr>
                <w:rFonts w:ascii="宋体" w:hAnsi="宋体" w:eastAsia="宋体" w:cs="宋体"/>
                <w:sz w:val="24"/>
                <w:szCs w:val="24"/>
              </w:rPr>
              <w:t>DDR4</w:t>
            </w:r>
          </w:p>
        </w:tc>
      </w:tr>
      <w:tr w14:paraId="57ECC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0578C24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硬盘</w:t>
            </w:r>
          </w:p>
        </w:tc>
        <w:tc>
          <w:tcPr>
            <w:tcW w:w="3886" w:type="pct"/>
            <w:shd w:val="clear" w:color="000000" w:fill="FFFFFF"/>
            <w:vAlign w:val="center"/>
          </w:tcPr>
          <w:p w14:paraId="266A3C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128G；固态硬盘</w:t>
            </w:r>
          </w:p>
        </w:tc>
      </w:tr>
      <w:tr w14:paraId="7CA5D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3E28247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显示器</w:t>
            </w:r>
          </w:p>
        </w:tc>
        <w:tc>
          <w:tcPr>
            <w:tcW w:w="3886" w:type="pct"/>
            <w:shd w:val="clear" w:color="000000" w:fill="FFFFFF"/>
            <w:vAlign w:val="center"/>
          </w:tcPr>
          <w:p w14:paraId="096ED6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10</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1寸</w:t>
            </w:r>
            <w:r>
              <w:rPr>
                <w:rFonts w:ascii="宋体" w:hAnsi="宋体" w:eastAsia="宋体" w:cs="宋体"/>
                <w:sz w:val="24"/>
                <w:szCs w:val="24"/>
              </w:rPr>
              <w:t>，彩色液晶触摸屏；</w:t>
            </w:r>
          </w:p>
        </w:tc>
      </w:tr>
      <w:tr w14:paraId="249A4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7E77C6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电源</w:t>
            </w:r>
          </w:p>
        </w:tc>
        <w:tc>
          <w:tcPr>
            <w:tcW w:w="3886" w:type="pct"/>
            <w:shd w:val="clear" w:color="000000" w:fill="FFFFFF"/>
            <w:vAlign w:val="center"/>
          </w:tcPr>
          <w:p w14:paraId="79BAE4C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自带电池供电</w:t>
            </w:r>
          </w:p>
        </w:tc>
      </w:tr>
      <w:tr w14:paraId="56628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269763A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操作系统</w:t>
            </w:r>
          </w:p>
        </w:tc>
        <w:tc>
          <w:tcPr>
            <w:tcW w:w="3886" w:type="pct"/>
            <w:shd w:val="clear" w:color="000000" w:fill="FFFFFF"/>
            <w:vAlign w:val="center"/>
          </w:tcPr>
          <w:p w14:paraId="4F6926F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Windows 10</w:t>
            </w:r>
          </w:p>
        </w:tc>
      </w:tr>
      <w:tr w14:paraId="6F7F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vAlign w:val="center"/>
          </w:tcPr>
          <w:p w14:paraId="0BDB546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扫描器</w:t>
            </w:r>
          </w:p>
        </w:tc>
        <w:tc>
          <w:tcPr>
            <w:tcW w:w="3886" w:type="pct"/>
            <w:vAlign w:val="center"/>
          </w:tcPr>
          <w:p w14:paraId="6934186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集成</w:t>
            </w:r>
            <w:r>
              <w:rPr>
                <w:rFonts w:ascii="宋体" w:hAnsi="宋体" w:eastAsia="宋体" w:cs="宋体"/>
                <w:sz w:val="24"/>
                <w:szCs w:val="24"/>
              </w:rPr>
              <w:t>扫描</w:t>
            </w:r>
            <w:r>
              <w:rPr>
                <w:rFonts w:hint="eastAsia" w:ascii="宋体" w:hAnsi="宋体" w:eastAsia="宋体" w:cs="宋体"/>
                <w:sz w:val="24"/>
                <w:szCs w:val="24"/>
              </w:rPr>
              <w:t>功能；</w:t>
            </w:r>
          </w:p>
        </w:tc>
      </w:tr>
      <w:tr w14:paraId="5524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14" w:type="pct"/>
            <w:shd w:val="clear" w:color="000000" w:fill="FFFFFF"/>
            <w:vAlign w:val="center"/>
          </w:tcPr>
          <w:p w14:paraId="406DB78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接口</w:t>
            </w:r>
          </w:p>
        </w:tc>
        <w:tc>
          <w:tcPr>
            <w:tcW w:w="3886" w:type="pct"/>
            <w:shd w:val="clear" w:color="000000" w:fill="FFFFFF"/>
            <w:vAlign w:val="center"/>
          </w:tcPr>
          <w:p w14:paraId="457230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蓝牙、</w:t>
            </w:r>
            <w:r>
              <w:rPr>
                <w:rFonts w:ascii="宋体" w:hAnsi="宋体" w:eastAsia="宋体" w:cs="宋体"/>
                <w:sz w:val="24"/>
                <w:szCs w:val="24"/>
              </w:rPr>
              <w:t>wifi、USB3.0等</w:t>
            </w:r>
          </w:p>
        </w:tc>
      </w:tr>
    </w:tbl>
    <w:p w14:paraId="585210E3">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宋体" w:hAnsi="宋体" w:eastAsia="宋体" w:cs="宋体"/>
          <w:sz w:val="24"/>
        </w:rPr>
      </w:pPr>
    </w:p>
    <w:p w14:paraId="6D85776C">
      <w:pPr>
        <w:keepNext w:val="0"/>
        <w:keepLines w:val="0"/>
        <w:pageBreakBefore w:val="0"/>
        <w:kinsoku/>
        <w:overflowPunct/>
        <w:topLinePunct w:val="0"/>
        <w:bidi w:val="0"/>
        <w:adjustRightInd w:val="0"/>
        <w:snapToGrid w:val="0"/>
        <w:spacing w:afterAutospacing="0" w:line="360" w:lineRule="auto"/>
        <w:rPr>
          <w:rFonts w:ascii="宋体" w:hAnsi="宋体" w:eastAsia="宋体" w:cs="宋体"/>
          <w:sz w:val="24"/>
          <w:szCs w:val="24"/>
        </w:rPr>
      </w:pPr>
      <w:r>
        <w:rPr>
          <w:rFonts w:ascii="宋体" w:hAnsi="宋体" w:eastAsia="宋体" w:cs="宋体"/>
          <w:sz w:val="24"/>
          <w:szCs w:val="24"/>
        </w:rPr>
        <w:drawing>
          <wp:inline distT="0" distB="0" distL="114300" distR="114300">
            <wp:extent cx="5274310" cy="2341245"/>
            <wp:effectExtent l="0" t="0" r="13970" b="5715"/>
            <wp:docPr id="2104543418" name="图片 1" descr="电脑显示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543418" name="图片 1" descr="电脑显示屏&#10;&#10;描述已自动生成"/>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0"/>
                      <a:ext cx="5274310" cy="2341245"/>
                    </a:xfrm>
                    <a:prstGeom prst="rect">
                      <a:avLst/>
                    </a:prstGeom>
                  </pic:spPr>
                </pic:pic>
              </a:graphicData>
            </a:graphic>
          </wp:inline>
        </w:drawing>
      </w:r>
    </w:p>
    <w:p w14:paraId="0E1C1DCD">
      <w:pPr>
        <w:keepNext w:val="0"/>
        <w:keepLines w:val="0"/>
        <w:pageBreakBefore w:val="0"/>
        <w:widowControl w:val="0"/>
        <w:numPr>
          <w:ilvl w:val="0"/>
          <w:numId w:val="656"/>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主要功能</w:t>
      </w:r>
      <w:bookmarkStart w:id="358" w:name="_Toc148647558"/>
    </w:p>
    <w:p w14:paraId="2E5F42FE">
      <w:pPr>
        <w:keepNext w:val="0"/>
        <w:keepLines w:val="0"/>
        <w:pageBreakBefore w:val="0"/>
        <w:widowControl w:val="0"/>
        <w:numPr>
          <w:ilvl w:val="0"/>
          <w:numId w:val="657"/>
        </w:numPr>
        <w:kinsoku/>
        <w:overflowPunct/>
        <w:topLinePunct w:val="0"/>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r>
        <w:rPr>
          <w:rFonts w:ascii="Times New Roman" w:hAnsi="Times New Roman" w:eastAsia="宋体" w:cs="Times New Roman"/>
          <w:sz w:val="24"/>
        </w:rPr>
        <w:t>清除与读取故障码</w:t>
      </w:r>
      <w:bookmarkEnd w:id="358"/>
    </w:p>
    <w:p w14:paraId="2D7F46E8">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根据甲方提供的整车通信协议或者诊断协议（如常用的UDS协议），可清除与读取整车VCU、BMS、MCU、DCDC等控制器的故障码。下表为通过UDS协议清除和读取故障码的示例。</w:t>
      </w:r>
    </w:p>
    <w:tbl>
      <w:tblPr>
        <w:tblStyle w:val="537"/>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71"/>
        <w:gridCol w:w="7281"/>
      </w:tblGrid>
      <w:tr w14:paraId="01A3B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8" w:type="pct"/>
            <w:vAlign w:val="center"/>
          </w:tcPr>
          <w:p w14:paraId="2E48105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功能</w:t>
            </w:r>
          </w:p>
        </w:tc>
        <w:tc>
          <w:tcPr>
            <w:tcW w:w="3771" w:type="pct"/>
            <w:vAlign w:val="center"/>
          </w:tcPr>
          <w:p w14:paraId="615EC38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报文</w:t>
            </w:r>
          </w:p>
        </w:tc>
      </w:tr>
      <w:tr w14:paraId="0EBC7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8" w:type="pct"/>
            <w:vAlign w:val="center"/>
          </w:tcPr>
          <w:p w14:paraId="25926CC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清故障码</w:t>
            </w:r>
          </w:p>
        </w:tc>
        <w:tc>
          <w:tcPr>
            <w:tcW w:w="3771" w:type="pct"/>
            <w:vAlign w:val="center"/>
          </w:tcPr>
          <w:p w14:paraId="6EFE3A9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7E0    04 14 FF FF FF 00 00 00</w:t>
            </w:r>
          </w:p>
          <w:p w14:paraId="5A634EE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7E8    04 54 FF FF FF 00 00 00</w:t>
            </w:r>
          </w:p>
        </w:tc>
      </w:tr>
      <w:tr w14:paraId="60C7D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8" w:type="pct"/>
            <w:vAlign w:val="center"/>
          </w:tcPr>
          <w:p w14:paraId="65C3496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读故障码</w:t>
            </w:r>
            <w:r>
              <w:rPr>
                <w:rFonts w:hint="eastAsia" w:ascii="宋体" w:hAnsi="宋体" w:eastAsia="宋体" w:cs="宋体"/>
                <w:sz w:val="24"/>
                <w:szCs w:val="24"/>
                <w:lang w:eastAsia="zh-CN"/>
              </w:rPr>
              <w:t>－</w:t>
            </w:r>
            <w:r>
              <w:rPr>
                <w:rFonts w:ascii="宋体" w:hAnsi="宋体" w:eastAsia="宋体" w:cs="宋体"/>
                <w:sz w:val="24"/>
                <w:szCs w:val="24"/>
              </w:rPr>
              <w:t>无故障</w:t>
            </w:r>
          </w:p>
        </w:tc>
        <w:tc>
          <w:tcPr>
            <w:tcW w:w="3771" w:type="pct"/>
            <w:vAlign w:val="center"/>
          </w:tcPr>
          <w:p w14:paraId="46A463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7E0    03 19 02 FF 00 00 00 00</w:t>
            </w:r>
          </w:p>
          <w:p w14:paraId="260C1CA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7E8    03 59 02 09 00 00 00 00</w:t>
            </w:r>
          </w:p>
        </w:tc>
      </w:tr>
      <w:tr w14:paraId="204CB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28" w:type="pct"/>
            <w:vAlign w:val="center"/>
          </w:tcPr>
          <w:p w14:paraId="29E19C5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读故障码</w:t>
            </w:r>
            <w:r>
              <w:rPr>
                <w:rFonts w:hint="eastAsia" w:ascii="宋体" w:hAnsi="宋体" w:eastAsia="宋体" w:cs="宋体"/>
                <w:sz w:val="24"/>
                <w:szCs w:val="24"/>
                <w:lang w:eastAsia="zh-CN"/>
              </w:rPr>
              <w:t>－</w:t>
            </w:r>
            <w:r>
              <w:rPr>
                <w:rFonts w:ascii="宋体" w:hAnsi="宋体" w:eastAsia="宋体" w:cs="宋体"/>
                <w:sz w:val="24"/>
                <w:szCs w:val="24"/>
              </w:rPr>
              <w:t>有故障</w:t>
            </w:r>
          </w:p>
        </w:tc>
        <w:tc>
          <w:tcPr>
            <w:tcW w:w="3771" w:type="pct"/>
            <w:vAlign w:val="center"/>
          </w:tcPr>
          <w:p w14:paraId="2738412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7E0    03 19 02 FF 00 00 00 00</w:t>
            </w:r>
          </w:p>
          <w:p w14:paraId="65F1D36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7E8    07 59 02 09 XX XX XX XX</w:t>
            </w:r>
          </w:p>
        </w:tc>
      </w:tr>
    </w:tbl>
    <w:p w14:paraId="47165F4D">
      <w:pPr>
        <w:keepNext w:val="0"/>
        <w:keepLines w:val="0"/>
        <w:pageBreakBefore w:val="0"/>
        <w:widowControl w:val="0"/>
        <w:numPr>
          <w:ilvl w:val="0"/>
          <w:numId w:val="657"/>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bookmarkStart w:id="359" w:name="_Toc148647559"/>
      <w:r>
        <w:rPr>
          <w:rFonts w:ascii="Times New Roman" w:hAnsi="Times New Roman" w:eastAsia="宋体" w:cs="Times New Roman"/>
          <w:sz w:val="24"/>
        </w:rPr>
        <w:t>写信息</w:t>
      </w:r>
      <w:bookmarkEnd w:id="359"/>
    </w:p>
    <w:p w14:paraId="6C5A74FA">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根据客户提供的协议，可对车辆写入VIN码、电池编码、车型配置等信息，针对不同的控制器，写入要求的信息。</w:t>
      </w:r>
      <w:bookmarkStart w:id="360" w:name="_Toc148647560"/>
    </w:p>
    <w:p w14:paraId="231C4FA3">
      <w:pPr>
        <w:keepNext w:val="0"/>
        <w:keepLines w:val="0"/>
        <w:pageBreakBefore w:val="0"/>
        <w:widowControl w:val="0"/>
        <w:numPr>
          <w:ilvl w:val="0"/>
          <w:numId w:val="657"/>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读信息</w:t>
      </w:r>
      <w:bookmarkEnd w:id="360"/>
    </w:p>
    <w:p w14:paraId="3C558132">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hint="eastAsia" w:ascii="Times New Roman" w:hAnsi="Times New Roman" w:eastAsia="宋体" w:cs="Times New Roman"/>
          <w:sz w:val="24"/>
          <w:lang w:eastAsia="zh-CN"/>
        </w:rPr>
      </w:pPr>
      <w:r>
        <w:rPr>
          <w:rFonts w:ascii="Times New Roman" w:hAnsi="Times New Roman" w:eastAsia="宋体" w:cs="Times New Roman"/>
          <w:sz w:val="24"/>
        </w:rPr>
        <w:t>根据客户提供的协议，可读取车辆的VIN码、电池编码、软硬件版本号、零件号等。</w:t>
      </w:r>
      <w:bookmarkStart w:id="361" w:name="_Toc148647561"/>
      <w:r>
        <w:rPr>
          <w:rFonts w:ascii="Times New Roman" w:hAnsi="Times New Roman" w:eastAsia="宋体" w:cs="Times New Roman"/>
          <w:sz w:val="24"/>
        </w:rPr>
        <w:t>数据流检测</w:t>
      </w:r>
      <w:bookmarkEnd w:id="361"/>
      <w:r>
        <w:rPr>
          <w:rFonts w:hint="eastAsia" w:cs="Times New Roman"/>
          <w:sz w:val="24"/>
          <w:lang w:eastAsia="zh-CN"/>
        </w:rPr>
        <w:t>。</w:t>
      </w:r>
    </w:p>
    <w:p w14:paraId="18D8883D">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Ready车辆后，检测车辆的静态数据是否正常，部分检测内容如下：</w:t>
      </w:r>
    </w:p>
    <w:tbl>
      <w:tblPr>
        <w:tblStyle w:val="5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77"/>
        <w:gridCol w:w="3219"/>
        <w:gridCol w:w="4558"/>
      </w:tblGrid>
      <w:tr w14:paraId="56F10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Align w:val="center"/>
          </w:tcPr>
          <w:p w14:paraId="3461904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控制器</w:t>
            </w:r>
          </w:p>
        </w:tc>
        <w:tc>
          <w:tcPr>
            <w:tcW w:w="1667" w:type="pct"/>
            <w:vAlign w:val="center"/>
          </w:tcPr>
          <w:p w14:paraId="268662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检测内容</w:t>
            </w:r>
          </w:p>
        </w:tc>
        <w:tc>
          <w:tcPr>
            <w:tcW w:w="2360" w:type="pct"/>
            <w:vAlign w:val="center"/>
          </w:tcPr>
          <w:p w14:paraId="7B85662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车辆静态下的期望值</w:t>
            </w:r>
          </w:p>
        </w:tc>
      </w:tr>
      <w:tr w14:paraId="562A6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restart"/>
            <w:vAlign w:val="center"/>
          </w:tcPr>
          <w:p w14:paraId="3AF1A3E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VCU</w:t>
            </w:r>
          </w:p>
        </w:tc>
        <w:tc>
          <w:tcPr>
            <w:tcW w:w="1667" w:type="pct"/>
            <w:vAlign w:val="center"/>
          </w:tcPr>
          <w:p w14:paraId="5A111D9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车辆挡位</w:t>
            </w:r>
          </w:p>
        </w:tc>
        <w:tc>
          <w:tcPr>
            <w:tcW w:w="2360" w:type="pct"/>
            <w:vAlign w:val="center"/>
          </w:tcPr>
          <w:p w14:paraId="6CAD4E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N档或P档</w:t>
            </w:r>
          </w:p>
        </w:tc>
      </w:tr>
      <w:tr w14:paraId="3A2DA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0A06946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7AB726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加速踏板开度</w:t>
            </w:r>
          </w:p>
        </w:tc>
        <w:tc>
          <w:tcPr>
            <w:tcW w:w="2360" w:type="pct"/>
            <w:vAlign w:val="center"/>
          </w:tcPr>
          <w:p w14:paraId="43C0B36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w:t>
            </w:r>
          </w:p>
        </w:tc>
      </w:tr>
      <w:tr w14:paraId="285F6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50667AB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76753DD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制动踏板开度</w:t>
            </w:r>
          </w:p>
        </w:tc>
        <w:tc>
          <w:tcPr>
            <w:tcW w:w="2360" w:type="pct"/>
            <w:vAlign w:val="center"/>
          </w:tcPr>
          <w:p w14:paraId="7A5C29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w:t>
            </w:r>
          </w:p>
        </w:tc>
      </w:tr>
      <w:tr w14:paraId="6011C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26AF61F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64E94E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手刹信号</w:t>
            </w:r>
          </w:p>
        </w:tc>
        <w:tc>
          <w:tcPr>
            <w:tcW w:w="2360" w:type="pct"/>
            <w:vAlign w:val="center"/>
          </w:tcPr>
          <w:p w14:paraId="7BD0FA2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拉起</w:t>
            </w:r>
          </w:p>
        </w:tc>
      </w:tr>
      <w:tr w14:paraId="380A4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0E4EDC9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5C7AD60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整车故障等级</w:t>
            </w:r>
          </w:p>
        </w:tc>
        <w:tc>
          <w:tcPr>
            <w:tcW w:w="2360" w:type="pct"/>
            <w:vAlign w:val="center"/>
          </w:tcPr>
          <w:p w14:paraId="0F63E81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无故障</w:t>
            </w:r>
          </w:p>
        </w:tc>
      </w:tr>
      <w:tr w14:paraId="40B44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restart"/>
            <w:vAlign w:val="center"/>
          </w:tcPr>
          <w:p w14:paraId="4EE6F1C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BMS</w:t>
            </w:r>
          </w:p>
        </w:tc>
        <w:tc>
          <w:tcPr>
            <w:tcW w:w="1667" w:type="pct"/>
            <w:vAlign w:val="center"/>
          </w:tcPr>
          <w:p w14:paraId="7F3E075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电池输出电压</w:t>
            </w:r>
          </w:p>
        </w:tc>
        <w:tc>
          <w:tcPr>
            <w:tcW w:w="2360" w:type="pct"/>
            <w:vAlign w:val="center"/>
          </w:tcPr>
          <w:p w14:paraId="041B521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73536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18E812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2C1DE07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电池输出电流</w:t>
            </w:r>
          </w:p>
        </w:tc>
        <w:tc>
          <w:tcPr>
            <w:tcW w:w="2360" w:type="pct"/>
            <w:vAlign w:val="center"/>
          </w:tcPr>
          <w:p w14:paraId="5712A39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13375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7EFC3DA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0D0586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w:t>
            </w:r>
            <w:r>
              <w:rPr>
                <w:rFonts w:ascii="宋体" w:hAnsi="宋体" w:eastAsia="宋体" w:cs="宋体"/>
                <w:sz w:val="24"/>
                <w:szCs w:val="24"/>
              </w:rPr>
              <w:t>SOC</w:t>
            </w:r>
          </w:p>
        </w:tc>
        <w:tc>
          <w:tcPr>
            <w:tcW w:w="2360" w:type="pct"/>
            <w:vAlign w:val="center"/>
          </w:tcPr>
          <w:p w14:paraId="374CAEE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20%</w:t>
            </w:r>
            <w:r>
              <w:rPr>
                <w:rFonts w:hint="eastAsia" w:ascii="宋体" w:hAnsi="宋体" w:eastAsia="宋体" w:cs="宋体"/>
                <w:sz w:val="24"/>
                <w:szCs w:val="24"/>
                <w:lang w:eastAsia="zh-CN"/>
              </w:rPr>
              <w:t>～</w:t>
            </w:r>
            <w:r>
              <w:rPr>
                <w:rFonts w:ascii="宋体" w:hAnsi="宋体" w:eastAsia="宋体" w:cs="宋体"/>
                <w:sz w:val="24"/>
                <w:szCs w:val="24"/>
              </w:rPr>
              <w:t>100%或根据实车而定</w:t>
            </w:r>
          </w:p>
        </w:tc>
      </w:tr>
      <w:tr w14:paraId="0BC5B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3B8D47D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56D746D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电池单体最高电压</w:t>
            </w:r>
          </w:p>
        </w:tc>
        <w:tc>
          <w:tcPr>
            <w:tcW w:w="2360" w:type="pct"/>
            <w:vAlign w:val="center"/>
          </w:tcPr>
          <w:p w14:paraId="7F08B96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767D5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36B2018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6A96E70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电池单体最低电压</w:t>
            </w:r>
          </w:p>
        </w:tc>
        <w:tc>
          <w:tcPr>
            <w:tcW w:w="2360" w:type="pct"/>
            <w:vAlign w:val="center"/>
          </w:tcPr>
          <w:p w14:paraId="5F44011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2B5833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115278D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5D7D54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电池单体最高温度</w:t>
            </w:r>
          </w:p>
        </w:tc>
        <w:tc>
          <w:tcPr>
            <w:tcW w:w="2360" w:type="pct"/>
            <w:vAlign w:val="center"/>
          </w:tcPr>
          <w:p w14:paraId="4571F3C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54204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16D6D61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352B38B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电池单体最低温度</w:t>
            </w:r>
          </w:p>
        </w:tc>
        <w:tc>
          <w:tcPr>
            <w:tcW w:w="2360" w:type="pct"/>
            <w:vAlign w:val="center"/>
          </w:tcPr>
          <w:p w14:paraId="302F912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5F698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74A4D31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1FFE565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电池故障等级</w:t>
            </w:r>
          </w:p>
        </w:tc>
        <w:tc>
          <w:tcPr>
            <w:tcW w:w="2360" w:type="pct"/>
            <w:vAlign w:val="center"/>
          </w:tcPr>
          <w:p w14:paraId="597655E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无故障</w:t>
            </w:r>
          </w:p>
        </w:tc>
      </w:tr>
      <w:tr w14:paraId="4C36C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restart"/>
            <w:vAlign w:val="center"/>
          </w:tcPr>
          <w:p w14:paraId="5E53D72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MCU</w:t>
            </w:r>
          </w:p>
        </w:tc>
        <w:tc>
          <w:tcPr>
            <w:tcW w:w="1667" w:type="pct"/>
            <w:vAlign w:val="center"/>
          </w:tcPr>
          <w:p w14:paraId="2E358BC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MCU输入电压</w:t>
            </w:r>
          </w:p>
        </w:tc>
        <w:tc>
          <w:tcPr>
            <w:tcW w:w="2360" w:type="pct"/>
            <w:vAlign w:val="center"/>
          </w:tcPr>
          <w:p w14:paraId="3AC2E67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21EA6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3974FBA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427F493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MCU输入电流</w:t>
            </w:r>
          </w:p>
        </w:tc>
        <w:tc>
          <w:tcPr>
            <w:tcW w:w="2360" w:type="pct"/>
            <w:vAlign w:val="center"/>
          </w:tcPr>
          <w:p w14:paraId="0D3BE89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3DB9A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2F88B23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6D82190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电机转速</w:t>
            </w:r>
          </w:p>
        </w:tc>
        <w:tc>
          <w:tcPr>
            <w:tcW w:w="2360" w:type="pct"/>
            <w:vAlign w:val="center"/>
          </w:tcPr>
          <w:p w14:paraId="749DC47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0rpm</w:t>
            </w:r>
          </w:p>
        </w:tc>
      </w:tr>
      <w:tr w14:paraId="24E7B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0FC29C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7F41AE0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MCU故障等级</w:t>
            </w:r>
          </w:p>
        </w:tc>
        <w:tc>
          <w:tcPr>
            <w:tcW w:w="2360" w:type="pct"/>
            <w:vAlign w:val="center"/>
          </w:tcPr>
          <w:p w14:paraId="7488F99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无故障</w:t>
            </w:r>
          </w:p>
        </w:tc>
      </w:tr>
      <w:tr w14:paraId="10FB29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restart"/>
            <w:vAlign w:val="center"/>
          </w:tcPr>
          <w:p w14:paraId="094FD19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DCDC</w:t>
            </w:r>
          </w:p>
        </w:tc>
        <w:tc>
          <w:tcPr>
            <w:tcW w:w="1667" w:type="pct"/>
            <w:vAlign w:val="center"/>
          </w:tcPr>
          <w:p w14:paraId="2549ED2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DCDC输入电压</w:t>
            </w:r>
          </w:p>
        </w:tc>
        <w:tc>
          <w:tcPr>
            <w:tcW w:w="2360" w:type="pct"/>
            <w:vAlign w:val="center"/>
          </w:tcPr>
          <w:p w14:paraId="107F7B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47BAB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0E6B014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139C22A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DCDC输入电流</w:t>
            </w:r>
          </w:p>
        </w:tc>
        <w:tc>
          <w:tcPr>
            <w:tcW w:w="2360" w:type="pct"/>
            <w:vAlign w:val="center"/>
          </w:tcPr>
          <w:p w14:paraId="1F88D65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778EAA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6357504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3EE7CE5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DCDC输出电压</w:t>
            </w:r>
          </w:p>
        </w:tc>
        <w:tc>
          <w:tcPr>
            <w:tcW w:w="2360" w:type="pct"/>
            <w:vAlign w:val="center"/>
          </w:tcPr>
          <w:p w14:paraId="5FCE907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33129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1644CB2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3571D29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DCDC输出电流</w:t>
            </w:r>
          </w:p>
        </w:tc>
        <w:tc>
          <w:tcPr>
            <w:tcW w:w="2360" w:type="pct"/>
            <w:vAlign w:val="center"/>
          </w:tcPr>
          <w:p w14:paraId="53EF046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根据实车而定</w:t>
            </w:r>
          </w:p>
        </w:tc>
      </w:tr>
      <w:tr w14:paraId="5B823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72" w:type="pct"/>
            <w:vMerge w:val="continue"/>
            <w:vAlign w:val="center"/>
          </w:tcPr>
          <w:p w14:paraId="6B30261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667" w:type="pct"/>
            <w:vAlign w:val="center"/>
          </w:tcPr>
          <w:p w14:paraId="524A3EA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DCDC故障等级</w:t>
            </w:r>
          </w:p>
        </w:tc>
        <w:tc>
          <w:tcPr>
            <w:tcW w:w="2360" w:type="pct"/>
            <w:vAlign w:val="center"/>
          </w:tcPr>
          <w:p w14:paraId="62A94E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无故障</w:t>
            </w:r>
          </w:p>
        </w:tc>
      </w:tr>
    </w:tbl>
    <w:p w14:paraId="1E876A2B">
      <w:pPr>
        <w:keepNext w:val="0"/>
        <w:keepLines w:val="0"/>
        <w:pageBreakBefore w:val="0"/>
        <w:widowControl w:val="0"/>
        <w:kinsoku/>
        <w:overflowPunct/>
        <w:topLinePunct w:val="0"/>
        <w:bidi w:val="0"/>
        <w:adjustRightInd w:val="0"/>
        <w:snapToGrid w:val="0"/>
        <w:spacing w:afterAutospacing="0" w:line="360" w:lineRule="auto"/>
        <w:rPr>
          <w:rFonts w:hint="default" w:ascii="Times New Roman" w:hAnsi="Times New Roman" w:eastAsia="宋体" w:cs="Times New Roman"/>
          <w:sz w:val="24"/>
          <w:lang w:val="en-US" w:eastAsia="zh-CN"/>
        </w:rPr>
      </w:pPr>
      <w:bookmarkStart w:id="362" w:name="_Toc148647562"/>
      <w:r>
        <w:rPr>
          <w:rFonts w:hint="eastAsia" w:ascii="Times New Roman" w:hAnsi="Times New Roman" w:eastAsia="宋体" w:cs="Times New Roman"/>
          <w:sz w:val="24"/>
          <w:lang w:val="en-US" w:eastAsia="zh-CN"/>
        </w:rPr>
        <w:t>以上检测内容为参考内容，具体以整车检测电检项目需求为准</w:t>
      </w:r>
    </w:p>
    <w:p w14:paraId="33004D3C">
      <w:pPr>
        <w:keepNext w:val="0"/>
        <w:keepLines w:val="0"/>
        <w:pageBreakBefore w:val="0"/>
        <w:widowControl w:val="0"/>
        <w:numPr>
          <w:ilvl w:val="0"/>
          <w:numId w:val="0"/>
        </w:numPr>
        <w:kinsoku/>
        <w:overflowPunct/>
        <w:topLinePunct w:val="0"/>
        <w:bidi w:val="0"/>
        <w:adjustRightInd w:val="0"/>
        <w:snapToGrid w:val="0"/>
        <w:spacing w:afterAutospacing="0" w:line="360" w:lineRule="auto"/>
        <w:ind w:leftChars="0"/>
        <w:rPr>
          <w:rFonts w:hint="eastAsia" w:ascii="Times New Roman" w:hAnsi="Times New Roman" w:eastAsia="宋体" w:cs="Times New Roman"/>
          <w:sz w:val="24"/>
          <w:lang w:eastAsia="zh-CN"/>
        </w:rPr>
      </w:pPr>
      <w:r>
        <w:rPr>
          <w:rFonts w:ascii="Times New Roman" w:hAnsi="Times New Roman" w:eastAsia="宋体" w:cs="Times New Roman"/>
          <w:sz w:val="24"/>
        </w:rPr>
        <w:t>数据存储与查询</w:t>
      </w:r>
      <w:bookmarkEnd w:id="362"/>
      <w:r>
        <w:rPr>
          <w:rFonts w:hint="eastAsia" w:cs="Times New Roman"/>
          <w:sz w:val="24"/>
          <w:lang w:eastAsia="zh-CN"/>
        </w:rPr>
        <w:t>：</w:t>
      </w:r>
    </w:p>
    <w:p w14:paraId="4C8ED7A2">
      <w:pPr>
        <w:keepNext w:val="0"/>
        <w:keepLines w:val="0"/>
        <w:pageBreakBefore w:val="0"/>
        <w:widowControl w:val="0"/>
        <w:numPr>
          <w:ilvl w:val="0"/>
          <w:numId w:val="0"/>
        </w:numPr>
        <w:kinsoku/>
        <w:overflowPunct/>
        <w:topLinePunct w:val="0"/>
        <w:bidi w:val="0"/>
        <w:adjustRightInd w:val="0"/>
        <w:snapToGrid w:val="0"/>
        <w:spacing w:afterAutospacing="0" w:line="360" w:lineRule="auto"/>
        <w:ind w:leftChars="0" w:firstLine="240" w:firstLineChars="100"/>
        <w:rPr>
          <w:rFonts w:ascii="Times New Roman" w:hAnsi="Times New Roman" w:eastAsia="宋体" w:cs="Times New Roman"/>
          <w:sz w:val="24"/>
        </w:rPr>
      </w:pPr>
      <w:r>
        <w:rPr>
          <w:rFonts w:ascii="Times New Roman" w:hAnsi="Times New Roman" w:eastAsia="宋体" w:cs="Times New Roman"/>
          <w:sz w:val="24"/>
        </w:rPr>
        <w:t>设备建有数据库系统，所有检测数据都将保存于数据库中，存储数量不少于20万辆车的数据。设备支持数据的查询、导出、删除等。</w:t>
      </w:r>
    </w:p>
    <w:p w14:paraId="7ED04F5E">
      <w:pPr>
        <w:keepNext w:val="0"/>
        <w:keepLines w:val="0"/>
        <w:pageBreakBefore w:val="0"/>
        <w:widowControl w:val="0"/>
        <w:numPr>
          <w:ilvl w:val="0"/>
          <w:numId w:val="0"/>
        </w:numPr>
        <w:kinsoku/>
        <w:overflowPunct/>
        <w:topLinePunct w:val="0"/>
        <w:bidi w:val="0"/>
        <w:adjustRightInd w:val="0"/>
        <w:snapToGrid w:val="0"/>
        <w:spacing w:afterAutospacing="0" w:line="360" w:lineRule="auto"/>
        <w:ind w:leftChars="0"/>
        <w:rPr>
          <w:rFonts w:hint="eastAsia" w:ascii="Times New Roman" w:hAnsi="Times New Roman" w:eastAsia="宋体" w:cs="Times New Roman"/>
          <w:sz w:val="24"/>
          <w:lang w:eastAsia="zh-CN"/>
        </w:rPr>
      </w:pPr>
      <w:bookmarkStart w:id="363" w:name="_Toc148647563"/>
      <w:r>
        <w:rPr>
          <w:rFonts w:ascii="Times New Roman" w:hAnsi="Times New Roman" w:eastAsia="宋体" w:cs="Times New Roman"/>
          <w:sz w:val="24"/>
        </w:rPr>
        <w:t>用户管理</w:t>
      </w:r>
      <w:bookmarkEnd w:id="363"/>
      <w:r>
        <w:rPr>
          <w:rFonts w:hint="eastAsia" w:cs="Times New Roman"/>
          <w:sz w:val="24"/>
          <w:lang w:eastAsia="zh-CN"/>
        </w:rPr>
        <w:t>：</w:t>
      </w:r>
    </w:p>
    <w:p w14:paraId="5A5FE07D">
      <w:pPr>
        <w:keepNext w:val="0"/>
        <w:keepLines w:val="0"/>
        <w:pageBreakBefore w:val="0"/>
        <w:widowControl w:val="0"/>
        <w:numPr>
          <w:ilvl w:val="0"/>
          <w:numId w:val="0"/>
        </w:numPr>
        <w:kinsoku/>
        <w:overflowPunct/>
        <w:topLinePunct w:val="0"/>
        <w:bidi w:val="0"/>
        <w:adjustRightInd w:val="0"/>
        <w:snapToGrid w:val="0"/>
        <w:spacing w:afterAutospacing="0" w:line="360" w:lineRule="auto"/>
        <w:ind w:leftChars="0" w:firstLine="480" w:firstLineChars="200"/>
        <w:rPr>
          <w:rFonts w:ascii="Times New Roman" w:hAnsi="Times New Roman" w:eastAsia="宋体" w:cs="Times New Roman"/>
          <w:sz w:val="24"/>
        </w:rPr>
      </w:pPr>
      <w:r>
        <w:rPr>
          <w:rFonts w:ascii="Times New Roman" w:hAnsi="Times New Roman" w:eastAsia="宋体" w:cs="Times New Roman"/>
          <w:sz w:val="24"/>
        </w:rPr>
        <w:t>添加用户，即此功能只有系统管理员才有这个权限，系统管理员可以添加高级用户和普通用户；修改用户，即系统管理员可以修改用户信息；删除用户，即系统管理员可以删除不同级别用户。</w:t>
      </w:r>
    </w:p>
    <w:p w14:paraId="6F766365">
      <w:pPr>
        <w:keepNext w:val="0"/>
        <w:keepLines w:val="0"/>
        <w:pageBreakBefore w:val="0"/>
        <w:widowControl w:val="0"/>
        <w:numPr>
          <w:ilvl w:val="0"/>
          <w:numId w:val="0"/>
        </w:numPr>
        <w:kinsoku/>
        <w:overflowPunct/>
        <w:topLinePunct w:val="0"/>
        <w:bidi w:val="0"/>
        <w:adjustRightInd w:val="0"/>
        <w:snapToGrid w:val="0"/>
        <w:spacing w:afterAutospacing="0" w:line="360" w:lineRule="auto"/>
        <w:ind w:leftChars="0"/>
        <w:rPr>
          <w:rFonts w:hint="eastAsia" w:ascii="Times New Roman" w:hAnsi="Times New Roman" w:eastAsia="宋体" w:cs="Times New Roman"/>
          <w:sz w:val="24"/>
          <w:lang w:eastAsia="zh-CN"/>
        </w:rPr>
      </w:pPr>
      <w:bookmarkStart w:id="364" w:name="_Toc148647564"/>
      <w:r>
        <w:rPr>
          <w:rFonts w:ascii="Times New Roman" w:hAnsi="Times New Roman" w:eastAsia="宋体" w:cs="Times New Roman"/>
          <w:sz w:val="24"/>
        </w:rPr>
        <w:t>测试报告打印</w:t>
      </w:r>
      <w:bookmarkEnd w:id="364"/>
      <w:r>
        <w:rPr>
          <w:rFonts w:hint="eastAsia" w:cs="Times New Roman"/>
          <w:sz w:val="24"/>
          <w:lang w:eastAsia="zh-CN"/>
        </w:rPr>
        <w:t>：</w:t>
      </w:r>
    </w:p>
    <w:p w14:paraId="01F8ADA3">
      <w:pPr>
        <w:keepNext w:val="0"/>
        <w:keepLines w:val="0"/>
        <w:pageBreakBefore w:val="0"/>
        <w:widowControl w:val="0"/>
        <w:numPr>
          <w:ilvl w:val="0"/>
          <w:numId w:val="658"/>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设备配装有打印机，能对检测结果自动或手动打印。</w:t>
      </w:r>
    </w:p>
    <w:p w14:paraId="1B1BDDEA">
      <w:pPr>
        <w:keepNext w:val="0"/>
        <w:keepLines w:val="0"/>
        <w:pageBreakBefore w:val="0"/>
        <w:widowControl w:val="0"/>
        <w:numPr>
          <w:ilvl w:val="0"/>
          <w:numId w:val="658"/>
        </w:numPr>
        <w:kinsoku/>
        <w:overflowPunct/>
        <w:topLinePunct w:val="0"/>
        <w:bidi w:val="0"/>
        <w:adjustRightInd w:val="0"/>
        <w:snapToGrid w:val="0"/>
        <w:spacing w:afterAutospacing="0" w:line="360" w:lineRule="auto"/>
        <w:ind w:left="425" w:leftChars="0" w:hanging="425" w:firstLineChars="0"/>
        <w:rPr>
          <w:rFonts w:hint="eastAsia" w:ascii="Times New Roman" w:hAnsi="Times New Roman" w:eastAsia="宋体" w:cs="Times New Roman"/>
          <w:sz w:val="24"/>
          <w:lang w:eastAsia="zh-CN"/>
        </w:rPr>
      </w:pPr>
      <w:bookmarkStart w:id="365" w:name="_Toc148647565"/>
      <w:r>
        <w:rPr>
          <w:rFonts w:ascii="Times New Roman" w:hAnsi="Times New Roman" w:eastAsia="宋体" w:cs="Times New Roman"/>
          <w:sz w:val="24"/>
        </w:rPr>
        <w:t>检测结果上传</w:t>
      </w:r>
      <w:bookmarkEnd w:id="365"/>
      <w:r>
        <w:rPr>
          <w:rFonts w:hint="eastAsia" w:ascii="Times New Roman" w:hAnsi="Times New Roman" w:eastAsia="宋体" w:cs="Times New Roman"/>
          <w:sz w:val="24"/>
          <w:lang w:eastAsia="zh-CN"/>
        </w:rPr>
        <w:t>。</w:t>
      </w:r>
    </w:p>
    <w:p w14:paraId="4EC6151E">
      <w:pPr>
        <w:keepNext w:val="0"/>
        <w:keepLines w:val="0"/>
        <w:pageBreakBefore w:val="0"/>
        <w:widowControl/>
        <w:numPr>
          <w:ilvl w:val="0"/>
          <w:numId w:val="658"/>
        </w:numPr>
        <w:kinsoku/>
        <w:overflowPunct/>
        <w:topLinePunct w:val="0"/>
        <w:bidi w:val="0"/>
        <w:adjustRightInd w:val="0"/>
        <w:snapToGrid w:val="0"/>
        <w:spacing w:afterAutospacing="0" w:line="360" w:lineRule="auto"/>
        <w:ind w:left="425" w:leftChars="0" w:hanging="425" w:firstLineChars="0"/>
        <w:rPr>
          <w:rFonts w:ascii="Times New Roman" w:hAnsi="Times New Roman" w:eastAsia="宋体" w:cs="Times New Roman"/>
          <w:sz w:val="24"/>
        </w:rPr>
      </w:pPr>
      <w:r>
        <w:rPr>
          <w:rFonts w:ascii="Times New Roman" w:hAnsi="Times New Roman" w:eastAsia="宋体" w:cs="Times New Roman"/>
          <w:sz w:val="24"/>
        </w:rPr>
        <w:t>设备后台数据与MES生产制造执行系统网络连接，可上传数据至MES系统。</w:t>
      </w:r>
    </w:p>
    <w:p w14:paraId="6D2BDBB5">
      <w:pPr>
        <w:keepNext w:val="0"/>
        <w:keepLines w:val="0"/>
        <w:pageBreakBefore w:val="0"/>
        <w:widowControl w:val="0"/>
        <w:numPr>
          <w:ilvl w:val="0"/>
          <w:numId w:val="656"/>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 xml:space="preserve">操作流程 </w:t>
      </w:r>
    </w:p>
    <w:p w14:paraId="7CAA9392">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登录进入检测界面</w:t>
      </w:r>
      <w:r>
        <w:rPr>
          <w:rFonts w:hint="eastAsia" w:ascii="Times New Roman" w:hAnsi="Times New Roman" w:eastAsia="宋体" w:cs="Times New Roman"/>
          <w:color w:val="000000"/>
          <w:sz w:val="24"/>
          <w:lang w:eastAsia="zh-CN"/>
        </w:rPr>
        <w:t>。</w:t>
      </w:r>
    </w:p>
    <w:p w14:paraId="0D933CC9">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连接被检车辆</w:t>
      </w:r>
      <w:r>
        <w:rPr>
          <w:rFonts w:hint="eastAsia" w:ascii="Times New Roman" w:hAnsi="Times New Roman" w:eastAsia="宋体" w:cs="Times New Roman"/>
          <w:color w:val="000000"/>
          <w:sz w:val="24"/>
          <w:lang w:eastAsia="zh-CN"/>
        </w:rPr>
        <w:t>。</w:t>
      </w:r>
    </w:p>
    <w:p w14:paraId="5D251E6A">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 xml:space="preserve">点击“开始检测” </w:t>
      </w:r>
      <w:r>
        <w:rPr>
          <w:rFonts w:hint="eastAsia" w:ascii="Times New Roman" w:hAnsi="Times New Roman" w:eastAsia="宋体" w:cs="Times New Roman"/>
          <w:color w:val="000000"/>
          <w:sz w:val="24"/>
          <w:lang w:eastAsia="zh-CN"/>
        </w:rPr>
        <w:t>。</w:t>
      </w:r>
    </w:p>
    <w:p w14:paraId="34D334F2">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扫描或手动录入车辆信息</w:t>
      </w:r>
      <w:r>
        <w:rPr>
          <w:rFonts w:hint="eastAsia" w:ascii="Times New Roman" w:hAnsi="Times New Roman" w:eastAsia="宋体" w:cs="Times New Roman"/>
          <w:color w:val="000000"/>
          <w:sz w:val="24"/>
          <w:lang w:eastAsia="zh-CN"/>
        </w:rPr>
        <w:t>。</w:t>
      </w:r>
    </w:p>
    <w:p w14:paraId="6BBB254D">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根据软件提示，完成检测</w:t>
      </w:r>
      <w:r>
        <w:rPr>
          <w:rFonts w:hint="eastAsia" w:ascii="Times New Roman" w:hAnsi="Times New Roman" w:eastAsia="宋体" w:cs="Times New Roman"/>
          <w:color w:val="000000"/>
          <w:sz w:val="24"/>
          <w:lang w:eastAsia="zh-CN"/>
        </w:rPr>
        <w:t>。</w:t>
      </w:r>
    </w:p>
    <w:p w14:paraId="42A02442">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检测完成后，显示合格和不合格</w:t>
      </w:r>
      <w:r>
        <w:rPr>
          <w:rFonts w:hint="eastAsia" w:ascii="Times New Roman" w:hAnsi="Times New Roman" w:eastAsia="宋体" w:cs="Times New Roman"/>
          <w:color w:val="000000"/>
          <w:sz w:val="24"/>
          <w:lang w:eastAsia="zh-CN"/>
        </w:rPr>
        <w:t>。</w:t>
      </w:r>
    </w:p>
    <w:p w14:paraId="04AD3B51">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存储检测数据</w:t>
      </w:r>
      <w:r>
        <w:rPr>
          <w:rFonts w:hint="eastAsia" w:ascii="Times New Roman" w:hAnsi="Times New Roman" w:eastAsia="宋体" w:cs="Times New Roman"/>
          <w:color w:val="000000"/>
          <w:sz w:val="24"/>
          <w:lang w:eastAsia="zh-CN"/>
        </w:rPr>
        <w:t>。</w:t>
      </w:r>
      <w:r>
        <w:rPr>
          <w:rFonts w:ascii="Times New Roman" w:hAnsi="Times New Roman" w:eastAsia="宋体" w:cs="Times New Roman"/>
          <w:color w:val="000000"/>
          <w:sz w:val="24"/>
        </w:rPr>
        <w:t xml:space="preserve"> </w:t>
      </w:r>
    </w:p>
    <w:p w14:paraId="77872D45">
      <w:pPr>
        <w:keepNext w:val="0"/>
        <w:keepLines w:val="0"/>
        <w:pageBreakBefore w:val="0"/>
        <w:widowControl/>
        <w:numPr>
          <w:ilvl w:val="0"/>
          <w:numId w:val="65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color w:val="000000"/>
          <w:sz w:val="24"/>
        </w:rPr>
        <w:t>打印检测报告</w:t>
      </w:r>
      <w:r>
        <w:rPr>
          <w:rFonts w:hint="eastAsia" w:ascii="Times New Roman" w:hAnsi="Times New Roman" w:eastAsia="宋体" w:cs="Times New Roman"/>
          <w:color w:val="000000"/>
          <w:sz w:val="24"/>
          <w:lang w:eastAsia="zh-CN"/>
        </w:rPr>
        <w:t>。</w:t>
      </w:r>
    </w:p>
    <w:p w14:paraId="1147AEB1">
      <w:pPr>
        <w:keepNext w:val="0"/>
        <w:keepLines w:val="0"/>
        <w:pageBreakBefore w:val="0"/>
        <w:widowControl w:val="0"/>
        <w:numPr>
          <w:ilvl w:val="0"/>
          <w:numId w:val="656"/>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 xml:space="preserve">软件介绍 </w:t>
      </w:r>
    </w:p>
    <w:p w14:paraId="104164D7">
      <w:pPr>
        <w:keepNext w:val="0"/>
        <w:keepLines w:val="0"/>
        <w:pageBreakBefore w:val="0"/>
        <w:widowControl/>
        <w:kinsoku/>
        <w:overflowPunct/>
        <w:topLinePunct w:val="0"/>
        <w:bidi w:val="0"/>
        <w:adjustRightInd w:val="0"/>
        <w:snapToGrid w:val="0"/>
        <w:spacing w:afterAutospacing="0" w:line="360" w:lineRule="auto"/>
        <w:ind w:firstLine="480" w:firstLineChars="200"/>
        <w:rPr>
          <w:rFonts w:hint="eastAsia" w:ascii="Times New Roman" w:hAnsi="Times New Roman" w:eastAsia="宋体" w:cs="Times New Roman"/>
          <w:sz w:val="24"/>
          <w:lang w:eastAsia="zh-CN"/>
        </w:rPr>
      </w:pPr>
      <w:r>
        <w:rPr>
          <w:rFonts w:ascii="Times New Roman" w:hAnsi="Times New Roman" w:eastAsia="宋体" w:cs="Times New Roman"/>
          <w:color w:val="000000"/>
          <w:sz w:val="24"/>
        </w:rPr>
        <w:t>软件操作界面，采用中文设计，便于操作和维护，各界面层次分明、美观；测试开始和结束时有开始和结束提示，测试结果明确显示；测试过程和测试步骤在界面实时显示；车辆基本信息显示在界面上；不合格项使用红色字体显著方式显示；测试过程中需要操作人员的操作内容，界面将做出相应提示</w:t>
      </w:r>
      <w:r>
        <w:rPr>
          <w:rFonts w:hint="eastAsia" w:ascii="Times New Roman" w:hAnsi="Times New Roman" w:eastAsia="宋体" w:cs="Times New Roman"/>
          <w:color w:val="000000"/>
          <w:sz w:val="24"/>
          <w:lang w:eastAsia="zh-CN"/>
        </w:rPr>
        <w:t>。</w:t>
      </w:r>
    </w:p>
    <w:p w14:paraId="3C6948F8">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充电桩</w:t>
      </w:r>
    </w:p>
    <w:p w14:paraId="223BCD60">
      <w:pPr>
        <w:keepNext w:val="0"/>
        <w:keepLines w:val="0"/>
        <w:pageBreakBefore w:val="0"/>
        <w:widowControl w:val="0"/>
        <w:numPr>
          <w:ilvl w:val="0"/>
          <w:numId w:val="66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2779"/>
        <w:gridCol w:w="3017"/>
        <w:gridCol w:w="2628"/>
      </w:tblGrid>
      <w:tr w14:paraId="2EB5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pct"/>
          </w:tcPr>
          <w:p w14:paraId="3B943E0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序号</w:t>
            </w:r>
          </w:p>
        </w:tc>
        <w:tc>
          <w:tcPr>
            <w:tcW w:w="1439" w:type="pct"/>
          </w:tcPr>
          <w:p w14:paraId="3945961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名称</w:t>
            </w:r>
          </w:p>
        </w:tc>
        <w:tc>
          <w:tcPr>
            <w:tcW w:w="1562" w:type="pct"/>
          </w:tcPr>
          <w:p w14:paraId="6100A8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数量</w:t>
            </w:r>
          </w:p>
        </w:tc>
        <w:tc>
          <w:tcPr>
            <w:tcW w:w="1361" w:type="pct"/>
          </w:tcPr>
          <w:p w14:paraId="5B28BA7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备注</w:t>
            </w:r>
          </w:p>
        </w:tc>
      </w:tr>
      <w:tr w14:paraId="6DBF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5" w:type="pct"/>
          </w:tcPr>
          <w:p w14:paraId="53A1CE6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1</w:t>
            </w:r>
          </w:p>
        </w:tc>
        <w:tc>
          <w:tcPr>
            <w:tcW w:w="1439" w:type="pct"/>
          </w:tcPr>
          <w:p w14:paraId="3CAC5BC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直流充电桩</w:t>
            </w:r>
          </w:p>
        </w:tc>
        <w:tc>
          <w:tcPr>
            <w:tcW w:w="1562" w:type="pct"/>
          </w:tcPr>
          <w:p w14:paraId="3571AFA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6台</w:t>
            </w:r>
          </w:p>
        </w:tc>
        <w:tc>
          <w:tcPr>
            <w:tcW w:w="1361" w:type="pct"/>
          </w:tcPr>
          <w:p w14:paraId="57991B4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p>
        </w:tc>
      </w:tr>
    </w:tbl>
    <w:p w14:paraId="1DB03AB5">
      <w:pPr>
        <w:keepNext w:val="0"/>
        <w:keepLines w:val="0"/>
        <w:pageBreakBefore w:val="0"/>
        <w:widowControl w:val="0"/>
        <w:numPr>
          <w:ilvl w:val="0"/>
          <w:numId w:val="66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工艺要求</w:t>
      </w:r>
    </w:p>
    <w:p w14:paraId="1D260477">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工位布置：</w:t>
      </w:r>
    </w:p>
    <w:p w14:paraId="330EA1D9">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hint="eastAsia" w:ascii="Times New Roman" w:hAnsi="Times New Roman" w:eastAsia="宋体" w:cs="Times New Roman"/>
          <w:sz w:val="24"/>
          <w:lang w:eastAsia="zh-CN"/>
        </w:rPr>
      </w:pPr>
      <w:r>
        <w:rPr>
          <w:rFonts w:ascii="Times New Roman" w:hAnsi="Times New Roman" w:eastAsia="宋体" w:cs="Times New Roman"/>
          <w:sz w:val="24"/>
        </w:rPr>
        <w:t>布置在充电区（以现场需求为准）</w:t>
      </w:r>
      <w:r>
        <w:rPr>
          <w:rFonts w:hint="eastAsia" w:ascii="Times New Roman" w:hAnsi="Times New Roman" w:eastAsia="宋体" w:cs="Times New Roman"/>
          <w:sz w:val="24"/>
          <w:lang w:eastAsia="zh-CN"/>
        </w:rPr>
        <w:t>。</w:t>
      </w:r>
    </w:p>
    <w:p w14:paraId="3FAF522C">
      <w:pPr>
        <w:keepNext w:val="0"/>
        <w:keepLines w:val="0"/>
        <w:pageBreakBefore w:val="0"/>
        <w:widowControl w:val="0"/>
        <w:numPr>
          <w:ilvl w:val="0"/>
          <w:numId w:val="66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设备主要构成及要求</w:t>
      </w:r>
    </w:p>
    <w:p w14:paraId="3FEC39A0">
      <w:pPr>
        <w:keepNext w:val="0"/>
        <w:keepLines w:val="0"/>
        <w:pageBreakBefore w:val="0"/>
        <w:widowControl w:val="0"/>
        <w:numPr>
          <w:ilvl w:val="0"/>
          <w:numId w:val="661"/>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充电桩工作流程与系统架构</w:t>
      </w:r>
    </w:p>
    <w:p w14:paraId="2ECB3530">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mc:AlternateContent>
          <mc:Choice Requires="wps">
            <w:drawing>
              <wp:anchor distT="0" distB="0" distL="114300" distR="114300" simplePos="0" relativeHeight="251668480" behindDoc="0" locked="0" layoutInCell="1" allowOverlap="1">
                <wp:simplePos x="0" y="0"/>
                <wp:positionH relativeFrom="column">
                  <wp:posOffset>2065655</wp:posOffset>
                </wp:positionH>
                <wp:positionV relativeFrom="paragraph">
                  <wp:posOffset>108585</wp:posOffset>
                </wp:positionV>
                <wp:extent cx="228600" cy="0"/>
                <wp:effectExtent l="0" t="38100" r="0" b="38100"/>
                <wp:wrapNone/>
                <wp:docPr id="37" name="直接箭头连接符 37"/>
                <wp:cNvGraphicFramePr/>
                <a:graphic xmlns:a="http://schemas.openxmlformats.org/drawingml/2006/main">
                  <a:graphicData uri="http://schemas.microsoft.com/office/word/2010/wordprocessingShape">
                    <wps:wsp>
                      <wps:cNvCnPr/>
                      <wps:spPr>
                        <a:xfrm>
                          <a:off x="0" y="0"/>
                          <a:ext cx="22860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162.65pt;margin-top:8.55pt;height:0pt;width:18pt;z-index:251668480;mso-width-relative:page;mso-height-relative:page;" filled="f" stroked="t" coordsize="21600,21600" o:gfxdata="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KWOtZtcAAAAJAQAADwAAAAAAAAABACAAAAAiAAAAZHJz&#10;L2Rvd25yZXYueG1sUEsBAhQAFAAAAAgAh07iQDAA5HcFAgAA8QMAAA4AAAAAAAAAAQAgAAAAJgEA&#10;AGRycy9lMm9Eb2MueG1sUEsFBgAAAAAGAAYAWQEAAJ0FAAAAAA==&#10;">
                <v:fill on="f" focussize="0,0"/>
                <v:stroke color="#000000" joinstyle="round" endarrow="block"/>
                <v:imagedata o:title=""/>
                <o:lock v:ext="edit" aspectratio="f"/>
              </v:shape>
            </w:pict>
          </mc:Fallback>
        </mc:AlternateContent>
      </w:r>
      <w:r>
        <w:rPr>
          <w:rFonts w:ascii="Times New Roman" w:hAnsi="Times New Roman" w:eastAsia="宋体" w:cs="Times New Roman"/>
          <w:sz w:val="24"/>
        </w:rPr>
        <mc:AlternateContent>
          <mc:Choice Requires="wps">
            <w:drawing>
              <wp:anchor distT="0" distB="0" distL="114300" distR="114300" simplePos="0" relativeHeight="251670528" behindDoc="0" locked="0" layoutInCell="1" allowOverlap="1">
                <wp:simplePos x="0" y="0"/>
                <wp:positionH relativeFrom="column">
                  <wp:posOffset>3997325</wp:posOffset>
                </wp:positionH>
                <wp:positionV relativeFrom="paragraph">
                  <wp:posOffset>99060</wp:posOffset>
                </wp:positionV>
                <wp:extent cx="228600" cy="0"/>
                <wp:effectExtent l="0" t="38100" r="0" b="38100"/>
                <wp:wrapNone/>
                <wp:docPr id="103" name="直接箭头连接符 103"/>
                <wp:cNvGraphicFramePr/>
                <a:graphic xmlns:a="http://schemas.openxmlformats.org/drawingml/2006/main">
                  <a:graphicData uri="http://schemas.microsoft.com/office/word/2010/wordprocessingShape">
                    <wps:wsp>
                      <wps:cNvCnPr/>
                      <wps:spPr>
                        <a:xfrm>
                          <a:off x="0" y="0"/>
                          <a:ext cx="22860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314.75pt;margin-top:7.8pt;height:0pt;width:18pt;z-index:251670528;mso-width-relative:page;mso-height-relative:page;" filled="f" stroked="t" coordsize="21600,21600" o:gfxdata="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xggA9cAAAAJAQAADwAAAAAAAAABACAAAAAiAAAAZHJz&#10;L2Rvd25yZXYueG1sUEsBAhQAFAAAAAgAh07iQPAbc5oFAgAA8wMAAA4AAAAAAAAAAQAgAAAAJgEA&#10;AGRycy9lMm9Eb2MueG1sUEsFBgAAAAAGAAYAWQEAAJ0FAAAAAA==&#10;">
                <v:fill on="f" focussize="0,0"/>
                <v:stroke color="#000000" joinstyle="round" endarrow="block"/>
                <v:imagedata o:title=""/>
                <o:lock v:ext="edit" aspectratio="f"/>
              </v:shape>
            </w:pict>
          </mc:Fallback>
        </mc:AlternateContent>
      </w:r>
      <w:r>
        <w:rPr>
          <w:rFonts w:ascii="Times New Roman" w:hAnsi="Times New Roman" w:eastAsia="宋体" w:cs="Times New Roman"/>
          <w:sz w:val="24"/>
        </w:rPr>
        <mc:AlternateContent>
          <mc:Choice Requires="wps">
            <w:drawing>
              <wp:anchor distT="0" distB="0" distL="114300" distR="114300" simplePos="0" relativeHeight="251671552" behindDoc="0" locked="0" layoutInCell="1" allowOverlap="1">
                <wp:simplePos x="0" y="0"/>
                <wp:positionH relativeFrom="column">
                  <wp:posOffset>5414645</wp:posOffset>
                </wp:positionH>
                <wp:positionV relativeFrom="paragraph">
                  <wp:posOffset>89535</wp:posOffset>
                </wp:positionV>
                <wp:extent cx="228600" cy="0"/>
                <wp:effectExtent l="0" t="38100" r="0" b="38100"/>
                <wp:wrapNone/>
                <wp:docPr id="104" name="直接箭头连接符 104"/>
                <wp:cNvGraphicFramePr/>
                <a:graphic xmlns:a="http://schemas.openxmlformats.org/drawingml/2006/main">
                  <a:graphicData uri="http://schemas.microsoft.com/office/word/2010/wordprocessingShape">
                    <wps:wsp>
                      <wps:cNvCnPr/>
                      <wps:spPr>
                        <a:xfrm>
                          <a:off x="0" y="0"/>
                          <a:ext cx="22860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426.35pt;margin-top:7.05pt;height:0pt;width:18pt;z-index:251671552;mso-width-relative:page;mso-height-relative:page;" filled="f" stroked="t" coordsize="21600,21600" o:gfxdata="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vtYK9cAAAAJAQAADwAAAAAAAAABACAAAAAiAAAAZHJz&#10;L2Rvd25yZXYueG1sUEsBAhQAFAAAAAgAh07iQMT+F1YFAgAA8wMAAA4AAAAAAAAAAQAgAAAAJgEA&#10;AGRycy9lMm9Eb2MueG1sUEsFBgAAAAAGAAYAWQEAAJ0FAAAAAA==&#10;">
                <v:fill on="f" focussize="0,0"/>
                <v:stroke color="#000000" joinstyle="round" endarrow="block"/>
                <v:imagedata o:title=""/>
                <o:lock v:ext="edit" aspectratio="f"/>
              </v:shape>
            </w:pict>
          </mc:Fallback>
        </mc:AlternateContent>
      </w:r>
      <w:r>
        <w:rPr>
          <w:rFonts w:ascii="Times New Roman" w:hAnsi="Times New Roman" w:eastAsia="宋体" w:cs="Times New Roman"/>
          <w:sz w:val="24"/>
        </w:rPr>
        <mc:AlternateContent>
          <mc:Choice Requires="wps">
            <w:drawing>
              <wp:anchor distT="0" distB="0" distL="114300" distR="114300" simplePos="0" relativeHeight="251672576" behindDoc="0" locked="0" layoutInCell="1" allowOverlap="1">
                <wp:simplePos x="0" y="0"/>
                <wp:positionH relativeFrom="column">
                  <wp:posOffset>6062345</wp:posOffset>
                </wp:positionH>
                <wp:positionV relativeFrom="paragraph">
                  <wp:posOffset>89535</wp:posOffset>
                </wp:positionV>
                <wp:extent cx="228600" cy="0"/>
                <wp:effectExtent l="0" t="38100" r="0" b="38100"/>
                <wp:wrapNone/>
                <wp:docPr id="101" name="直接箭头连接符 101"/>
                <wp:cNvGraphicFramePr/>
                <a:graphic xmlns:a="http://schemas.openxmlformats.org/drawingml/2006/main">
                  <a:graphicData uri="http://schemas.microsoft.com/office/word/2010/wordprocessingShape">
                    <wps:wsp>
                      <wps:cNvCnPr/>
                      <wps:spPr>
                        <a:xfrm>
                          <a:off x="0" y="0"/>
                          <a:ext cx="22860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477.35pt;margin-top:7.05pt;height:0pt;width:18pt;z-index:251672576;mso-width-relative:page;mso-height-relative:page;" filled="f" stroked="t" coordsize="21600,21600" o:gfxdata="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d9/b9cAAAAJAQAADwAAAAAAAAABACAAAAAiAAAAZHJz&#10;L2Rvd25yZXYueG1sUEsBAhQAFAAAAAgAh07iQIjuhsQFAgAA8wMAAA4AAAAAAAAAAQAgAAAAJgEA&#10;AGRycy9lMm9Eb2MueG1sUEsFBgAAAAAGAAYAWQEAAJ0FAAAAAA==&#10;">
                <v:fill on="f" focussize="0,0"/>
                <v:stroke color="#000000" joinstyle="round" endarrow="block"/>
                <v:imagedata o:title=""/>
                <o:lock v:ext="edit" aspectratio="f"/>
              </v:shape>
            </w:pict>
          </mc:Fallback>
        </mc:AlternateContent>
      </w:r>
      <w:r>
        <w:rPr>
          <w:rFonts w:ascii="Times New Roman" w:hAnsi="Times New Roman" w:eastAsia="宋体" w:cs="Times New Roman"/>
          <w:sz w:val="24"/>
        </w:rPr>
        <mc:AlternateContent>
          <mc:Choice Requires="wps">
            <w:drawing>
              <wp:anchor distT="0" distB="0" distL="114300" distR="114300" simplePos="0" relativeHeight="251669504" behindDoc="0" locked="0" layoutInCell="1" allowOverlap="1">
                <wp:simplePos x="0" y="0"/>
                <wp:positionH relativeFrom="column">
                  <wp:posOffset>3321685</wp:posOffset>
                </wp:positionH>
                <wp:positionV relativeFrom="paragraph">
                  <wp:posOffset>99060</wp:posOffset>
                </wp:positionV>
                <wp:extent cx="228600" cy="0"/>
                <wp:effectExtent l="0" t="38100" r="0" b="38100"/>
                <wp:wrapNone/>
                <wp:docPr id="102" name="直接箭头连接符 102"/>
                <wp:cNvGraphicFramePr/>
                <a:graphic xmlns:a="http://schemas.openxmlformats.org/drawingml/2006/main">
                  <a:graphicData uri="http://schemas.microsoft.com/office/word/2010/wordprocessingShape">
                    <wps:wsp>
                      <wps:cNvCnPr/>
                      <wps:spPr>
                        <a:xfrm>
                          <a:off x="0" y="0"/>
                          <a:ext cx="228600" cy="0"/>
                        </a:xfrm>
                        <a:prstGeom prst="straightConnector1">
                          <a:avLst/>
                        </a:prstGeom>
                        <a:ln w="9525" cap="flat" cmpd="sng">
                          <a:solidFill>
                            <a:srgbClr val="000000"/>
                          </a:solidFill>
                          <a:prstDash val="solid"/>
                          <a:headEnd type="none" w="med" len="med"/>
                          <a:tailEnd type="triangle" w="med" len="med"/>
                        </a:ln>
                      </wps:spPr>
                      <wps:bodyPr/>
                    </wps:wsp>
                  </a:graphicData>
                </a:graphic>
              </wp:anchor>
            </w:drawing>
          </mc:Choice>
          <mc:Fallback>
            <w:pict>
              <v:shape id="_x0000_s1026" o:spid="_x0000_s1026" o:spt="32" type="#_x0000_t32" style="position:absolute;left:0pt;margin-left:261.55pt;margin-top:7.8pt;height:0pt;width:18pt;z-index:251669504;mso-width-relative:page;mso-height-relative:page;" filled="f" stroked="t" coordsize="21600,21600" o:gfxdata="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9ogG9cAAAAJAQAADwAAAAAAAAABACAAAAAiAAAAZHJz&#10;L2Rvd25yZXYueG1sUEsBAhQAFAAAAAgAh07iQEzhCbUFAgAA8wMAAA4AAAAAAAAAAQAgAAAAJgEA&#10;AGRycy9lMm9Eb2MueG1sUEsFBgAAAAAGAAYAWQEAAJ0FAAAAAA==&#10;">
                <v:fill on="f" focussize="0,0"/>
                <v:stroke color="#000000" joinstyle="round" endarrow="block"/>
                <v:imagedata o:title=""/>
                <o:lock v:ext="edit" aspectratio="f"/>
              </v:shape>
            </w:pict>
          </mc:Fallback>
        </mc:AlternateContent>
      </w:r>
      <w:r>
        <w:rPr>
          <w:rFonts w:ascii="Times New Roman" w:hAnsi="Times New Roman" w:eastAsia="宋体" w:cs="Times New Roman"/>
          <w:sz w:val="24"/>
        </w:rPr>
        <w:t>直流桩充电流程为：开机    设定充电模式    插枪    员工按按钮登录    充电   充电完成。</w:t>
      </w:r>
    </w:p>
    <w:p w14:paraId="3CAFF37D">
      <w:pPr>
        <w:keepNext w:val="0"/>
        <w:keepLines w:val="0"/>
        <w:pageBreakBefore w:val="0"/>
        <w:widowControl w:val="0"/>
        <w:numPr>
          <w:ilvl w:val="0"/>
          <w:numId w:val="661"/>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sz w:val="24"/>
        </w:rPr>
        <w:t>技术要求</w:t>
      </w:r>
    </w:p>
    <w:p w14:paraId="2B902706">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输出电压：DC，（250-750）V（连续可调</w:t>
      </w:r>
      <w:r>
        <w:rPr>
          <w:rFonts w:hint="eastAsia" w:ascii="Times New Roman" w:hAnsi="Times New Roman" w:eastAsia="宋体" w:cs="Times New Roman"/>
          <w:sz w:val="24"/>
          <w:lang w:eastAsia="zh-CN"/>
        </w:rPr>
        <w:t>）。</w:t>
      </w:r>
    </w:p>
    <w:p w14:paraId="55535676">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输出额定功率：60kW，输出电流：100A，稳压精度：≤±0.5%，稳流精度：≤±1%</w:t>
      </w:r>
      <w:r>
        <w:rPr>
          <w:rFonts w:hint="eastAsia" w:ascii="Times New Roman" w:hAnsi="Times New Roman" w:eastAsia="宋体" w:cs="Times New Roman"/>
          <w:sz w:val="24"/>
          <w:lang w:eastAsia="zh-CN"/>
        </w:rPr>
        <w:t>。</w:t>
      </w:r>
    </w:p>
    <w:p w14:paraId="531CCA52">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充电接口标准：国标9芯直流充电枪，符合GB/T20234.3-2015标准</w:t>
      </w:r>
      <w:r>
        <w:rPr>
          <w:rFonts w:hint="eastAsia" w:ascii="Times New Roman" w:hAnsi="Times New Roman" w:eastAsia="宋体" w:cs="Times New Roman"/>
          <w:sz w:val="24"/>
          <w:lang w:eastAsia="zh-CN"/>
        </w:rPr>
        <w:t>。</w:t>
      </w:r>
    </w:p>
    <w:p w14:paraId="04EA5E6C">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通信协议：CAN协议，符合 GB/T27930-2015标准</w:t>
      </w:r>
      <w:r>
        <w:rPr>
          <w:rFonts w:hint="eastAsia" w:ascii="Times New Roman" w:hAnsi="Times New Roman" w:eastAsia="宋体" w:cs="Times New Roman"/>
          <w:sz w:val="24"/>
          <w:lang w:eastAsia="zh-CN"/>
        </w:rPr>
        <w:t>。</w:t>
      </w:r>
    </w:p>
    <w:p w14:paraId="6E1D07E4">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安装方式：落地式安装，安装后需保证充电枪即可实现对布置在车辆左侧的充电口进行充电，也可实现对布置于车辆右侧的充电口进行充电</w:t>
      </w:r>
      <w:r>
        <w:rPr>
          <w:rFonts w:hint="eastAsia" w:ascii="Times New Roman" w:hAnsi="Times New Roman" w:eastAsia="宋体" w:cs="Times New Roman"/>
          <w:sz w:val="24"/>
          <w:lang w:eastAsia="zh-CN"/>
        </w:rPr>
        <w:t>。</w:t>
      </w:r>
    </w:p>
    <w:p w14:paraId="548A0E3F">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连接确认功能：当检测到充电枪枪头与枪座正确连接后，充电机才允许启动充电</w:t>
      </w:r>
      <w:r>
        <w:rPr>
          <w:rFonts w:hint="eastAsia" w:ascii="Times New Roman" w:hAnsi="Times New Roman" w:eastAsia="宋体" w:cs="Times New Roman"/>
          <w:sz w:val="24"/>
          <w:lang w:eastAsia="zh-CN"/>
        </w:rPr>
        <w:t>。</w:t>
      </w:r>
    </w:p>
    <w:p w14:paraId="2352520E">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通信功能：充电机具有与电动汽车电池管理系统通信的功能，与BMS握手成功后，获得电动汽车电池系统充电参数和充电实时数据，并根据BMS实时需求动态调整输出</w:t>
      </w:r>
      <w:r>
        <w:rPr>
          <w:rFonts w:hint="eastAsia" w:ascii="Times New Roman" w:hAnsi="Times New Roman" w:eastAsia="宋体" w:cs="Times New Roman"/>
          <w:sz w:val="24"/>
          <w:lang w:eastAsia="zh-CN"/>
        </w:rPr>
        <w:t>。</w:t>
      </w:r>
    </w:p>
    <w:p w14:paraId="0A6203CF">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状态指示功能：在充电桩上端设置了白、红、黄绿双色三种状态指示，表示不同的工作状态。白灯是电源指示；双色灯是充电指示；红灯是故障指示</w:t>
      </w:r>
      <w:r>
        <w:rPr>
          <w:rFonts w:hint="eastAsia" w:ascii="Times New Roman" w:hAnsi="Times New Roman" w:eastAsia="宋体" w:cs="Times New Roman"/>
          <w:sz w:val="24"/>
          <w:lang w:eastAsia="zh-CN"/>
        </w:rPr>
        <w:t>。</w:t>
      </w:r>
    </w:p>
    <w:p w14:paraId="026D801B">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保护及报警功能：输入过压、欠压、短路、过温保护，输出过压、过流、短路保护，绝缘接地保护、软启动时间（3S</w:t>
      </w:r>
      <w:r>
        <w:rPr>
          <w:rFonts w:hint="eastAsia" w:ascii="Times New Roman" w:hAnsi="Times New Roman" w:eastAsia="宋体" w:cs="Times New Roman"/>
          <w:sz w:val="24"/>
          <w:lang w:eastAsia="zh-CN"/>
        </w:rPr>
        <w:t>～</w:t>
      </w:r>
      <w:r>
        <w:rPr>
          <w:rFonts w:ascii="Times New Roman" w:hAnsi="Times New Roman" w:eastAsia="宋体" w:cs="Times New Roman"/>
          <w:sz w:val="24"/>
        </w:rPr>
        <w:t>8S）、电池反接保护、连接异常保护、急停保护、报警及显示</w:t>
      </w:r>
      <w:r>
        <w:rPr>
          <w:rFonts w:hint="eastAsia" w:ascii="Times New Roman" w:hAnsi="Times New Roman" w:eastAsia="宋体" w:cs="Times New Roman"/>
          <w:sz w:val="24"/>
          <w:lang w:eastAsia="zh-CN"/>
        </w:rPr>
        <w:t>。</w:t>
      </w:r>
    </w:p>
    <w:p w14:paraId="56B4D348">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远程通讯：能通过以太网与后台监控通讯</w:t>
      </w:r>
      <w:r>
        <w:rPr>
          <w:rFonts w:hint="eastAsia" w:ascii="Times New Roman" w:hAnsi="Times New Roman" w:eastAsia="宋体" w:cs="Times New Roman"/>
          <w:sz w:val="24"/>
          <w:lang w:eastAsia="zh-CN"/>
        </w:rPr>
        <w:t>。</w:t>
      </w:r>
    </w:p>
    <w:p w14:paraId="77D0914F">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电气防护：直流桩设计符合GB/T 18487.1-2015电气防护所有要求，包括7.1一般要求模式4下，供电设备应具备供电回路接触器粘连监测和告警功能、7.2 直接接触防护、7.3 电容放电</w:t>
      </w:r>
      <w:r>
        <w:rPr>
          <w:rFonts w:hint="eastAsia" w:ascii="Times New Roman" w:hAnsi="Times New Roman" w:eastAsia="宋体" w:cs="Times New Roman"/>
          <w:sz w:val="24"/>
          <w:lang w:eastAsia="zh-CN"/>
        </w:rPr>
        <w:t>。</w:t>
      </w:r>
    </w:p>
    <w:p w14:paraId="7085A452">
      <w:pPr>
        <w:keepNext w:val="0"/>
        <w:keepLines w:val="0"/>
        <w:pageBreakBefore w:val="0"/>
        <w:widowControl w:val="0"/>
        <w:numPr>
          <w:ilvl w:val="0"/>
          <w:numId w:val="66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急停功能：设计有急停按钮，按下急停按钮充电桩整机断电</w:t>
      </w:r>
      <w:r>
        <w:rPr>
          <w:rFonts w:hint="eastAsia" w:ascii="Times New Roman" w:hAnsi="Times New Roman" w:eastAsia="宋体" w:cs="Times New Roman"/>
          <w:sz w:val="24"/>
          <w:lang w:eastAsia="zh-CN"/>
        </w:rPr>
        <w:t>。</w:t>
      </w:r>
    </w:p>
    <w:p w14:paraId="7E12FB14">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两级权限管理采用密码：</w:t>
      </w:r>
    </w:p>
    <w:p w14:paraId="22AD71E3">
      <w:pPr>
        <w:keepNext w:val="0"/>
        <w:keepLines w:val="0"/>
        <w:pageBreakBefore w:val="0"/>
        <w:widowControl w:val="0"/>
        <w:numPr>
          <w:ilvl w:val="0"/>
          <w:numId w:val="6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一级管理权限：用户通过按钮或刷卡、密码登录进行车辆充电，操作者用于充电数据查询。</w:t>
      </w:r>
    </w:p>
    <w:p w14:paraId="5CFC7E82">
      <w:pPr>
        <w:keepNext w:val="0"/>
        <w:keepLines w:val="0"/>
        <w:pageBreakBefore w:val="0"/>
        <w:widowControl w:val="0"/>
        <w:numPr>
          <w:ilvl w:val="0"/>
          <w:numId w:val="66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二级管理权限：供维修单位使用，可设置使用功能，界面操控及调试设备等功能。</w:t>
      </w:r>
    </w:p>
    <w:p w14:paraId="052B2427">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信息记录</w:t>
      </w:r>
      <w:r>
        <w:rPr>
          <w:rFonts w:hint="eastAsia" w:ascii="Times New Roman" w:hAnsi="Times New Roman" w:eastAsia="宋体" w:cs="Times New Roman"/>
          <w:sz w:val="24"/>
          <w:lang w:eastAsia="zh-CN"/>
        </w:rPr>
        <w:t>：</w:t>
      </w:r>
      <w:r>
        <w:rPr>
          <w:rFonts w:ascii="Times New Roman" w:hAnsi="Times New Roman" w:eastAsia="宋体" w:cs="Times New Roman"/>
          <w:sz w:val="24"/>
        </w:rPr>
        <w:t>充电桩自行记录数据同步至充电桩单个桩体系统上，充电电量，电池电压，充电电流，充电时间等信息。</w:t>
      </w:r>
    </w:p>
    <w:p w14:paraId="61DC66D3">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color w:val="000000"/>
          <w:sz w:val="24"/>
        </w:rPr>
      </w:pPr>
      <w:bookmarkStart w:id="366" w:name="_Toc448430662"/>
      <w:bookmarkStart w:id="367" w:name="_Toc448430611"/>
      <w:r>
        <w:rPr>
          <w:rFonts w:ascii="Times New Roman" w:hAnsi="Times New Roman" w:eastAsia="宋体" w:cs="Times New Roman"/>
          <w:color w:val="000000"/>
          <w:sz w:val="24"/>
        </w:rPr>
        <w:t>设备标识</w:t>
      </w:r>
      <w:bookmarkEnd w:id="366"/>
    </w:p>
    <w:p w14:paraId="3A887134">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每台充电桩应有一个永久固定的铭牌，其位置应清楚易见。铭牌应标出设备型号、制造厂家的名称、规格、主要技术参数、出厂日期等数据。为了工作人员操作的安全，应提供专门的标牌以表明主要的操作说明、注意事项或警告。</w:t>
      </w:r>
    </w:p>
    <w:p w14:paraId="54D00A1A">
      <w:pPr>
        <w:keepNext w:val="0"/>
        <w:keepLines w:val="0"/>
        <w:pageBreakBefore w:val="0"/>
        <w:widowControl w:val="0"/>
        <w:numPr>
          <w:ilvl w:val="0"/>
          <w:numId w:val="661"/>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bookmarkStart w:id="368" w:name="_Toc448430667"/>
      <w:r>
        <w:rPr>
          <w:rFonts w:ascii="Times New Roman" w:hAnsi="Times New Roman" w:eastAsia="宋体" w:cs="Times New Roman"/>
          <w:sz w:val="24"/>
        </w:rPr>
        <w:t>一般要求</w:t>
      </w:r>
      <w:bookmarkEnd w:id="368"/>
    </w:p>
    <w:p w14:paraId="335450C0">
      <w:pPr>
        <w:keepNext w:val="0"/>
        <w:keepLines w:val="0"/>
        <w:pageBreakBefore w:val="0"/>
        <w:widowControl w:val="0"/>
        <w:numPr>
          <w:ilvl w:val="0"/>
          <w:numId w:val="6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提供的图纸、资料、文件应使用国家法定单位制即国际单位制，语言为中文。</w:t>
      </w:r>
    </w:p>
    <w:p w14:paraId="04645F9C">
      <w:pPr>
        <w:keepNext w:val="0"/>
        <w:keepLines w:val="0"/>
        <w:pageBreakBefore w:val="0"/>
        <w:widowControl w:val="0"/>
        <w:numPr>
          <w:ilvl w:val="0"/>
          <w:numId w:val="6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资料的组织结构清晰、逻辑性强。资料内容要正确、准确、一致、清晰、完整，满足工程要求。</w:t>
      </w:r>
    </w:p>
    <w:p w14:paraId="73DA02BA">
      <w:pPr>
        <w:keepNext w:val="0"/>
        <w:keepLines w:val="0"/>
        <w:pageBreakBefore w:val="0"/>
        <w:widowControl w:val="0"/>
        <w:numPr>
          <w:ilvl w:val="0"/>
          <w:numId w:val="6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资料的提交及时充分，满足工程进度要求。</w:t>
      </w:r>
    </w:p>
    <w:p w14:paraId="078D6FA8">
      <w:pPr>
        <w:keepNext w:val="0"/>
        <w:keepLines w:val="0"/>
        <w:pageBreakBefore w:val="0"/>
        <w:widowControl w:val="0"/>
        <w:numPr>
          <w:ilvl w:val="0"/>
          <w:numId w:val="6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在安装过程中，如发现有质量问题，</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应及时解决，并提供配件，做好销售服务工作。</w:t>
      </w:r>
    </w:p>
    <w:p w14:paraId="6902D781">
      <w:pPr>
        <w:keepNext w:val="0"/>
        <w:keepLines w:val="0"/>
        <w:pageBreakBefore w:val="0"/>
        <w:widowControl w:val="0"/>
        <w:numPr>
          <w:ilvl w:val="0"/>
          <w:numId w:val="6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应选派有经验的技术人员，对安装和运行人员免费培训。</w:t>
      </w:r>
    </w:p>
    <w:p w14:paraId="183E5C53">
      <w:pPr>
        <w:keepNext w:val="0"/>
        <w:keepLines w:val="0"/>
        <w:pageBreakBefore w:val="0"/>
        <w:widowControl w:val="0"/>
        <w:numPr>
          <w:ilvl w:val="0"/>
          <w:numId w:val="66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应协助</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解决设备运行中出现的问题。</w:t>
      </w:r>
    </w:p>
    <w:p w14:paraId="68430D3E">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69" w:name="_Toc448430669"/>
      <w:r>
        <w:rPr>
          <w:rFonts w:ascii="Times New Roman" w:hAnsi="Times New Roman" w:eastAsia="宋体" w:cs="Times New Roman"/>
          <w:sz w:val="24"/>
        </w:rPr>
        <w:t>设计联络</w:t>
      </w:r>
      <w:bookmarkEnd w:id="369"/>
    </w:p>
    <w:p w14:paraId="11FBB1E8">
      <w:pPr>
        <w:keepNext w:val="0"/>
        <w:keepLines w:val="0"/>
        <w:pageBreakBefore w:val="0"/>
        <w:widowControl w:val="0"/>
        <w:numPr>
          <w:ilvl w:val="0"/>
          <w:numId w:val="6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应按设计需要开展设计联络工作，提供设计所需的相关资料，以保证</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工期要求。</w:t>
      </w:r>
    </w:p>
    <w:p w14:paraId="19020DBE">
      <w:pPr>
        <w:keepNext w:val="0"/>
        <w:keepLines w:val="0"/>
        <w:pageBreakBefore w:val="0"/>
        <w:widowControl w:val="0"/>
        <w:numPr>
          <w:ilvl w:val="0"/>
          <w:numId w:val="66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提供的图纸必须经</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代表确认。</w:t>
      </w:r>
    </w:p>
    <w:bookmarkEnd w:id="367"/>
    <w:p w14:paraId="404491EF">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0" w:name="_Toc448430614"/>
      <w:bookmarkStart w:id="371" w:name="_Toc439249943"/>
      <w:r>
        <w:rPr>
          <w:rFonts w:ascii="Times New Roman" w:hAnsi="Times New Roman" w:eastAsia="宋体" w:cs="Times New Roman"/>
          <w:sz w:val="24"/>
        </w:rPr>
        <w:t>设备组成</w:t>
      </w:r>
      <w:bookmarkEnd w:id="370"/>
    </w:p>
    <w:p w14:paraId="1CBB247A">
      <w:pPr>
        <w:keepNext w:val="0"/>
        <w:keepLines w:val="0"/>
        <w:pageBreakBefore w:val="0"/>
        <w:widowControl w:val="0"/>
        <w:numPr>
          <w:ilvl w:val="0"/>
          <w:numId w:val="66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体式充电桩全部构成元件安装在同一个柜体内。产品集功率转换、充电控制、人机交互、通讯、计量、计费等功能，并具有良好的防尘、防水、防风、防震功能，可在户外安全运行，充电桩遵循按功能独立模块化设计原则，以便出现故障时可以按功能模块进行检修或更换。</w:t>
      </w:r>
    </w:p>
    <w:p w14:paraId="258B76F7">
      <w:pPr>
        <w:keepNext w:val="0"/>
        <w:keepLines w:val="0"/>
        <w:pageBreakBefore w:val="0"/>
        <w:widowControl w:val="0"/>
        <w:numPr>
          <w:ilvl w:val="0"/>
          <w:numId w:val="66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一机双枪：一体式充电桩配置两个直流充电接口。</w:t>
      </w:r>
    </w:p>
    <w:bookmarkEnd w:id="371"/>
    <w:p w14:paraId="587C5D6E">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2" w:name="_Toc448430616"/>
      <w:r>
        <w:rPr>
          <w:rFonts w:ascii="Times New Roman" w:hAnsi="Times New Roman" w:eastAsia="宋体" w:cs="Times New Roman"/>
          <w:sz w:val="24"/>
        </w:rPr>
        <w:t>充电模式和连接方式</w:t>
      </w:r>
      <w:bookmarkEnd w:id="372"/>
    </w:p>
    <w:p w14:paraId="5BBE0D1D">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充电接口应满足GB/T 20234.1-2015和GB/T 20234.3-2015的规定</w:t>
      </w:r>
      <w:r>
        <w:rPr>
          <w:rFonts w:hint="eastAsia" w:ascii="Times New Roman" w:hAnsi="Times New Roman" w:eastAsia="宋体" w:cs="Times New Roman"/>
          <w:sz w:val="24"/>
          <w:lang w:eastAsia="zh-CN"/>
        </w:rPr>
        <w:t>，</w:t>
      </w:r>
      <w:r>
        <w:rPr>
          <w:rFonts w:ascii="Times New Roman" w:hAnsi="Times New Roman" w:eastAsia="宋体" w:cs="Times New Roman"/>
          <w:sz w:val="24"/>
        </w:rPr>
        <w:t>枪线需根据现场距离提供足够长度线缆。</w:t>
      </w:r>
    </w:p>
    <w:p w14:paraId="0289E056">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3" w:name="_Toc448430617"/>
      <w:bookmarkStart w:id="374" w:name="_Toc352274279"/>
      <w:r>
        <w:rPr>
          <w:rFonts w:ascii="Times New Roman" w:hAnsi="Times New Roman" w:eastAsia="宋体" w:cs="Times New Roman"/>
          <w:sz w:val="24"/>
        </w:rPr>
        <w:t>充电设定方式</w:t>
      </w:r>
      <w:bookmarkEnd w:id="373"/>
    </w:p>
    <w:p w14:paraId="76512FE1">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充电设定方式分为自动设定方式和手动设定方式两种</w:t>
      </w:r>
      <w:r>
        <w:rPr>
          <w:rFonts w:hint="eastAsia" w:ascii="Times New Roman" w:hAnsi="Times New Roman" w:eastAsia="宋体" w:cs="Times New Roman"/>
          <w:sz w:val="24"/>
          <w:lang w:eastAsia="zh-CN"/>
        </w:rPr>
        <w:t>：</w:t>
      </w:r>
    </w:p>
    <w:p w14:paraId="0858B5C6">
      <w:pPr>
        <w:keepNext w:val="0"/>
        <w:keepLines w:val="0"/>
        <w:pageBreakBefore w:val="0"/>
        <w:widowControl w:val="0"/>
        <w:numPr>
          <w:ilvl w:val="0"/>
          <w:numId w:val="6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自动设定方式：在充电过程中，充电桩应能依据蓄电池管理系统提供的数据动态调整充电参数，执行相应动作，完成充电过程。</w:t>
      </w:r>
    </w:p>
    <w:p w14:paraId="4FCD2D04">
      <w:pPr>
        <w:keepNext w:val="0"/>
        <w:keepLines w:val="0"/>
        <w:pageBreakBefore w:val="0"/>
        <w:widowControl w:val="0"/>
        <w:numPr>
          <w:ilvl w:val="0"/>
          <w:numId w:val="66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手动设定方式：由操作人员设置充电方式、充电电压、充电电流等参数，充电桩应能根据设定参数执行相应操作，完成充电过程。充电桩采用手动设定方式时，应具有明确的操作指示信息。手动充电方式仅限于设备调试和维修模式下使用。</w:t>
      </w:r>
    </w:p>
    <w:p w14:paraId="5ED0BE81">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5" w:name="_Toc448430619"/>
      <w:r>
        <w:rPr>
          <w:rFonts w:ascii="Times New Roman" w:hAnsi="Times New Roman" w:eastAsia="宋体" w:cs="Times New Roman"/>
          <w:sz w:val="24"/>
        </w:rPr>
        <w:t>显示功能</w:t>
      </w:r>
      <w:bookmarkEnd w:id="375"/>
    </w:p>
    <w:p w14:paraId="5B53C9B5">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一体式充电桩采用LCD触摸屏，显示字符应清晰、完整，没有缺损现象，不应依靠环境光源即可辨认。显示信息应包括以下内容：</w:t>
      </w:r>
    </w:p>
    <w:p w14:paraId="228E4170">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充电桩应显示的信息：</w:t>
      </w:r>
    </w:p>
    <w:p w14:paraId="65666DA2">
      <w:pPr>
        <w:keepNext w:val="0"/>
        <w:keepLines w:val="0"/>
        <w:pageBreakBefore w:val="0"/>
        <w:widowControl w:val="0"/>
        <w:numPr>
          <w:ilvl w:val="0"/>
          <w:numId w:val="6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电池类型、充电电压、充电电流、已充电时间、充电电量、计费信息</w:t>
      </w:r>
      <w:r>
        <w:rPr>
          <w:rFonts w:hint="eastAsia" w:ascii="Times New Roman" w:hAnsi="Times New Roman" w:eastAsia="宋体" w:cs="Times New Roman"/>
          <w:sz w:val="24"/>
          <w:lang w:eastAsia="zh-CN"/>
        </w:rPr>
        <w:t>。</w:t>
      </w:r>
    </w:p>
    <w:p w14:paraId="3CD6C0E1">
      <w:pPr>
        <w:keepNext w:val="0"/>
        <w:keepLines w:val="0"/>
        <w:pageBreakBefore w:val="0"/>
        <w:widowControl w:val="0"/>
        <w:numPr>
          <w:ilvl w:val="0"/>
          <w:numId w:val="6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电池单体最高/最低电压</w:t>
      </w:r>
      <w:r>
        <w:rPr>
          <w:rFonts w:hint="eastAsia" w:ascii="Times New Roman" w:hAnsi="Times New Roman" w:eastAsia="宋体" w:cs="Times New Roman"/>
          <w:sz w:val="24"/>
          <w:lang w:eastAsia="zh-CN"/>
        </w:rPr>
        <w:t>。</w:t>
      </w:r>
    </w:p>
    <w:p w14:paraId="34483EC0">
      <w:pPr>
        <w:keepNext w:val="0"/>
        <w:keepLines w:val="0"/>
        <w:pageBreakBefore w:val="0"/>
        <w:widowControl w:val="0"/>
        <w:numPr>
          <w:ilvl w:val="0"/>
          <w:numId w:val="6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故障及报警信息</w:t>
      </w:r>
      <w:r>
        <w:rPr>
          <w:rFonts w:hint="eastAsia" w:ascii="Times New Roman" w:hAnsi="Times New Roman" w:eastAsia="宋体" w:cs="Times New Roman"/>
          <w:sz w:val="24"/>
          <w:lang w:eastAsia="zh-CN"/>
        </w:rPr>
        <w:t>。</w:t>
      </w:r>
    </w:p>
    <w:p w14:paraId="2612FF3B">
      <w:pPr>
        <w:keepNext w:val="0"/>
        <w:keepLines w:val="0"/>
        <w:pageBreakBefore w:val="0"/>
        <w:widowControl w:val="0"/>
        <w:numPr>
          <w:ilvl w:val="0"/>
          <w:numId w:val="6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在手动设定过程中应显示人工输入信息。</w:t>
      </w:r>
    </w:p>
    <w:p w14:paraId="0CC517D8">
      <w:pPr>
        <w:keepNext w:val="0"/>
        <w:keepLines w:val="0"/>
        <w:pageBreakBefore w:val="0"/>
        <w:widowControl w:val="0"/>
        <w:numPr>
          <w:ilvl w:val="0"/>
          <w:numId w:val="66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充电桩可显示的信息：电池温度、设定参数、电池单体电压、预计剩余充电时间、荷电状态SOC值等。</w:t>
      </w:r>
    </w:p>
    <w:p w14:paraId="25C84208">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6" w:name="_Toc448430620"/>
      <w:r>
        <w:rPr>
          <w:rFonts w:ascii="Times New Roman" w:hAnsi="Times New Roman" w:eastAsia="宋体" w:cs="Times New Roman"/>
          <w:sz w:val="24"/>
        </w:rPr>
        <w:t>输入功能</w:t>
      </w:r>
      <w:bookmarkEnd w:id="376"/>
    </w:p>
    <w:p w14:paraId="3B8BC990">
      <w:pPr>
        <w:keepNext w:val="0"/>
        <w:keepLines w:val="0"/>
        <w:pageBreakBefore w:val="0"/>
        <w:widowControl w:val="0"/>
        <w:numPr>
          <w:ilvl w:val="0"/>
          <w:numId w:val="66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充电桩应具备手动输入和控制的功能。</w:t>
      </w:r>
    </w:p>
    <w:p w14:paraId="78D33ACD">
      <w:pPr>
        <w:keepNext w:val="0"/>
        <w:keepLines w:val="0"/>
        <w:pageBreakBefore w:val="0"/>
        <w:widowControl w:val="0"/>
        <w:numPr>
          <w:ilvl w:val="0"/>
          <w:numId w:val="66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充电桩应能通过显示屏设置设备的MAC地址、IP地址、子网掩码、默认网关、端口号，中心服务器的IP地址、端口号，充电桩编号，资产编号，充电配置参数等。</w:t>
      </w:r>
    </w:p>
    <w:p w14:paraId="3CE29B2E">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充电桩应提供以下4种充电方式供用户选择：</w:t>
      </w:r>
    </w:p>
    <w:p w14:paraId="0DD93F40">
      <w:pPr>
        <w:keepNext w:val="0"/>
        <w:keepLines w:val="0"/>
        <w:pageBreakBefore w:val="0"/>
        <w:widowControl w:val="0"/>
        <w:numPr>
          <w:ilvl w:val="0"/>
          <w:numId w:val="6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自动充满模式</w:t>
      </w:r>
    </w:p>
    <w:p w14:paraId="134A5638">
      <w:pPr>
        <w:keepNext w:val="0"/>
        <w:keepLines w:val="0"/>
        <w:pageBreakBefore w:val="0"/>
        <w:widowControl w:val="0"/>
        <w:numPr>
          <w:ilvl w:val="0"/>
          <w:numId w:val="6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设定金额模式</w:t>
      </w:r>
    </w:p>
    <w:p w14:paraId="4811F955">
      <w:pPr>
        <w:keepNext w:val="0"/>
        <w:keepLines w:val="0"/>
        <w:pageBreakBefore w:val="0"/>
        <w:widowControl w:val="0"/>
        <w:numPr>
          <w:ilvl w:val="0"/>
          <w:numId w:val="6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设定时长模式</w:t>
      </w:r>
    </w:p>
    <w:p w14:paraId="6C7CAF33">
      <w:pPr>
        <w:keepNext w:val="0"/>
        <w:keepLines w:val="0"/>
        <w:pageBreakBefore w:val="0"/>
        <w:widowControl w:val="0"/>
        <w:numPr>
          <w:ilvl w:val="0"/>
          <w:numId w:val="67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设定电量模式</w:t>
      </w:r>
    </w:p>
    <w:p w14:paraId="1F5E931D">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7" w:name="_Toc448430622"/>
      <w:r>
        <w:rPr>
          <w:rFonts w:ascii="Times New Roman" w:hAnsi="Times New Roman" w:eastAsia="宋体" w:cs="Times New Roman"/>
          <w:sz w:val="24"/>
        </w:rPr>
        <w:t>计量功能</w:t>
      </w:r>
      <w:bookmarkEnd w:id="377"/>
    </w:p>
    <w:p w14:paraId="53A3A12C">
      <w:pPr>
        <w:keepNext w:val="0"/>
        <w:keepLines w:val="0"/>
        <w:pageBreakBefore w:val="0"/>
        <w:widowControl w:val="0"/>
        <w:numPr>
          <w:ilvl w:val="0"/>
          <w:numId w:val="67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充电桩可按配置的参数实现准确计费，参数包括费率时段、计费费率等。</w:t>
      </w:r>
    </w:p>
    <w:p w14:paraId="4B6D2E69">
      <w:pPr>
        <w:keepNext w:val="0"/>
        <w:keepLines w:val="0"/>
        <w:pageBreakBefore w:val="0"/>
        <w:widowControl w:val="0"/>
        <w:numPr>
          <w:ilvl w:val="0"/>
          <w:numId w:val="67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充电桩支持刷卡、本地和VIN的计量计费方式。</w:t>
      </w:r>
    </w:p>
    <w:p w14:paraId="48BADB01">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8" w:name="_Toc448430624"/>
      <w:r>
        <w:rPr>
          <w:rFonts w:ascii="Times New Roman" w:hAnsi="Times New Roman" w:eastAsia="宋体" w:cs="Times New Roman"/>
          <w:sz w:val="24"/>
        </w:rPr>
        <w:t>本地数据存储功能</w:t>
      </w:r>
      <w:bookmarkEnd w:id="378"/>
    </w:p>
    <w:p w14:paraId="6B8368B9">
      <w:pPr>
        <w:keepNext w:val="0"/>
        <w:keepLines w:val="0"/>
        <w:pageBreakBefore w:val="0"/>
        <w:widowControl w:val="0"/>
        <w:numPr>
          <w:ilvl w:val="0"/>
          <w:numId w:val="6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交易数据应以记录形式保存在非易失性存储器内。</w:t>
      </w:r>
    </w:p>
    <w:p w14:paraId="2A2C2B86">
      <w:pPr>
        <w:keepNext w:val="0"/>
        <w:keepLines w:val="0"/>
        <w:pageBreakBefore w:val="0"/>
        <w:widowControl w:val="0"/>
        <w:numPr>
          <w:ilvl w:val="0"/>
          <w:numId w:val="6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应保证存储数据的正确、连续、完整、有效。</w:t>
      </w:r>
    </w:p>
    <w:p w14:paraId="0F6A0F81">
      <w:pPr>
        <w:keepNext w:val="0"/>
        <w:keepLines w:val="0"/>
        <w:pageBreakBefore w:val="0"/>
        <w:widowControl w:val="0"/>
        <w:numPr>
          <w:ilvl w:val="0"/>
          <w:numId w:val="67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储存充电记录应具有不少于 3000 条，故障记录应具有不少于1000条的记录空间。</w:t>
      </w:r>
    </w:p>
    <w:p w14:paraId="22C207B4">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79" w:name="_Toc448430625"/>
      <w:r>
        <w:rPr>
          <w:rFonts w:ascii="Times New Roman" w:hAnsi="Times New Roman" w:eastAsia="宋体" w:cs="Times New Roman"/>
          <w:sz w:val="24"/>
        </w:rPr>
        <w:t>自检功能</w:t>
      </w:r>
      <w:bookmarkEnd w:id="379"/>
    </w:p>
    <w:p w14:paraId="4780C2DB">
      <w:pPr>
        <w:keepNext w:val="0"/>
        <w:keepLines w:val="0"/>
        <w:pageBreakBefore w:val="0"/>
        <w:widowControl w:val="0"/>
        <w:numPr>
          <w:ilvl w:val="0"/>
          <w:numId w:val="6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上电操作时，充电桩应先进行自检，检查内容应包括时钟、供电情况、费率配置情况、存储空间等。</w:t>
      </w:r>
    </w:p>
    <w:p w14:paraId="43D3DD2D">
      <w:pPr>
        <w:keepNext w:val="0"/>
        <w:keepLines w:val="0"/>
        <w:pageBreakBefore w:val="0"/>
        <w:widowControl w:val="0"/>
        <w:numPr>
          <w:ilvl w:val="0"/>
          <w:numId w:val="6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应能通过状态指示灯或显示屏等方式显示故障信息，并形成故障情况信息记录。</w:t>
      </w:r>
    </w:p>
    <w:p w14:paraId="025AF543">
      <w:pPr>
        <w:keepNext w:val="0"/>
        <w:keepLines w:val="0"/>
        <w:pageBreakBefore w:val="0"/>
        <w:widowControl w:val="0"/>
        <w:numPr>
          <w:ilvl w:val="0"/>
          <w:numId w:val="67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80" w:name="_Toc448430627"/>
      <w:r>
        <w:rPr>
          <w:rFonts w:ascii="Times New Roman" w:hAnsi="Times New Roman" w:eastAsia="宋体" w:cs="Times New Roman"/>
          <w:sz w:val="24"/>
        </w:rPr>
        <w:t>与电池管理系统通信协议</w:t>
      </w:r>
      <w:bookmarkEnd w:id="380"/>
      <w:r>
        <w:rPr>
          <w:rFonts w:ascii="Times New Roman" w:hAnsi="Times New Roman" w:eastAsia="宋体" w:cs="Times New Roman"/>
          <w:sz w:val="24"/>
        </w:rPr>
        <w:t>：充电桩应具备与电动汽车蓄电池管理系统通信的功能，且能判断与电动汽车蓄电池管理系统是否正确连接。充电桩应能获得蓄电池管理系统充电参数和充电实时数据。</w:t>
      </w:r>
    </w:p>
    <w:p w14:paraId="46834E4A">
      <w:pPr>
        <w:keepNext w:val="0"/>
        <w:keepLines w:val="0"/>
        <w:pageBreakBefore w:val="0"/>
        <w:widowControl w:val="0"/>
        <w:numPr>
          <w:ilvl w:val="0"/>
          <w:numId w:val="661"/>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bookmarkStart w:id="381" w:name="_Toc448430628"/>
      <w:r>
        <w:rPr>
          <w:rFonts w:ascii="Times New Roman" w:hAnsi="Times New Roman" w:eastAsia="宋体" w:cs="Times New Roman"/>
          <w:sz w:val="24"/>
        </w:rPr>
        <w:t>急停</w:t>
      </w:r>
      <w:bookmarkEnd w:id="381"/>
    </w:p>
    <w:p w14:paraId="11816E61">
      <w:pPr>
        <w:keepNext w:val="0"/>
        <w:keepLines w:val="0"/>
        <w:pageBreakBefore w:val="0"/>
        <w:widowControl w:val="0"/>
        <w:numPr>
          <w:ilvl w:val="0"/>
          <w:numId w:val="6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充电桩应装设急停保护装置，即在紧急情况下，可从硬件上切断充电回路。</w:t>
      </w:r>
    </w:p>
    <w:p w14:paraId="1CD1050F">
      <w:pPr>
        <w:keepNext w:val="0"/>
        <w:keepLines w:val="0"/>
        <w:pageBreakBefore w:val="0"/>
        <w:widowControl w:val="0"/>
        <w:numPr>
          <w:ilvl w:val="0"/>
          <w:numId w:val="6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急停回路应设计在交流输入侧，急停装置应装设透明保护罩防止误操作，整体不应凸出。</w:t>
      </w:r>
    </w:p>
    <w:p w14:paraId="430DFF7F">
      <w:pPr>
        <w:keepNext w:val="0"/>
        <w:keepLines w:val="0"/>
        <w:pageBreakBefore w:val="0"/>
        <w:widowControl w:val="0"/>
        <w:numPr>
          <w:ilvl w:val="0"/>
          <w:numId w:val="67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充电桩急停后应能有效保存设备断电前的状态和计量计费信息。</w:t>
      </w:r>
    </w:p>
    <w:bookmarkEnd w:id="374"/>
    <w:p w14:paraId="4F5C4D52">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82" w:name="_Toc439249897"/>
      <w:bookmarkEnd w:id="382"/>
      <w:bookmarkStart w:id="383" w:name="_Toc439249958"/>
      <w:bookmarkEnd w:id="383"/>
      <w:bookmarkStart w:id="384" w:name="_Toc438963652"/>
      <w:bookmarkStart w:id="385" w:name="_Toc439249978"/>
      <w:bookmarkStart w:id="386" w:name="_Toc448430646"/>
      <w:bookmarkStart w:id="387" w:name="_Toc485917062"/>
      <w:r>
        <w:rPr>
          <w:rFonts w:ascii="Times New Roman" w:hAnsi="Times New Roman" w:eastAsia="宋体" w:cs="Times New Roman"/>
          <w:sz w:val="24"/>
        </w:rPr>
        <w:t>安全</w:t>
      </w:r>
      <w:bookmarkEnd w:id="384"/>
      <w:bookmarkEnd w:id="385"/>
      <w:bookmarkEnd w:id="386"/>
      <w:r>
        <w:rPr>
          <w:rFonts w:ascii="Times New Roman" w:hAnsi="Times New Roman" w:eastAsia="宋体" w:cs="Times New Roman"/>
          <w:sz w:val="24"/>
        </w:rPr>
        <w:t>要求</w:t>
      </w:r>
      <w:bookmarkEnd w:id="387"/>
    </w:p>
    <w:p w14:paraId="71545AFD">
      <w:pPr>
        <w:keepNext w:val="0"/>
        <w:keepLines w:val="0"/>
        <w:pageBreakBefore w:val="0"/>
        <w:widowControl w:val="0"/>
        <w:numPr>
          <w:ilvl w:val="0"/>
          <w:numId w:val="6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充电桩应具备电源输入侧的过压、欠压保护，并有告警提示。</w:t>
      </w:r>
    </w:p>
    <w:p w14:paraId="512E6650">
      <w:pPr>
        <w:keepNext w:val="0"/>
        <w:keepLines w:val="0"/>
        <w:pageBreakBefore w:val="0"/>
        <w:widowControl w:val="0"/>
        <w:numPr>
          <w:ilvl w:val="0"/>
          <w:numId w:val="6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充电桩应具备输出过压保护，并有告警提示。</w:t>
      </w:r>
    </w:p>
    <w:p w14:paraId="5FA4E0A6">
      <w:pPr>
        <w:keepNext w:val="0"/>
        <w:keepLines w:val="0"/>
        <w:pageBreakBefore w:val="0"/>
        <w:widowControl w:val="0"/>
        <w:numPr>
          <w:ilvl w:val="0"/>
          <w:numId w:val="6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充电桩应具备输出过电流和短路保护。</w:t>
      </w:r>
    </w:p>
    <w:p w14:paraId="060DDE4E">
      <w:pPr>
        <w:keepNext w:val="0"/>
        <w:keepLines w:val="0"/>
        <w:pageBreakBefore w:val="0"/>
        <w:widowControl w:val="0"/>
        <w:numPr>
          <w:ilvl w:val="0"/>
          <w:numId w:val="6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充电桩应具备内部过温保护，当内部温度达到保护值时，采取降功率或停止输出。</w:t>
      </w:r>
    </w:p>
    <w:p w14:paraId="2D5C82E2">
      <w:pPr>
        <w:keepNext w:val="0"/>
        <w:keepLines w:val="0"/>
        <w:pageBreakBefore w:val="0"/>
        <w:widowControl w:val="0"/>
        <w:numPr>
          <w:ilvl w:val="0"/>
          <w:numId w:val="67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充电桩应具有绝缘检测功能，绝缘检测功能应符合GB/T 18487.1—2015附录B的相关要求。</w:t>
      </w:r>
    </w:p>
    <w:p w14:paraId="6D4DC71F">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480" w:firstLineChars="200"/>
        <w:textAlignment w:val="auto"/>
        <w:rPr>
          <w:rFonts w:ascii="Times New Roman" w:hAnsi="Times New Roman" w:eastAsia="宋体" w:cs="Times New Roman"/>
          <w:sz w:val="24"/>
        </w:rPr>
      </w:pPr>
      <w:r>
        <w:rPr>
          <w:rFonts w:ascii="Times New Roman" w:hAnsi="Times New Roman" w:eastAsia="宋体" w:cs="Times New Roman"/>
          <w:sz w:val="24"/>
        </w:rPr>
        <w:t>充电过程中当发生下列情况时，充电桩应在50ms内将电流值降至5A或100ms 内断开直流输出接触器，且输出接口电压应在 1s 内下降至 60VDC 以下：</w:t>
      </w:r>
    </w:p>
    <w:p w14:paraId="27B5E533">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启动急停开关</w:t>
      </w:r>
      <w:r>
        <w:rPr>
          <w:rFonts w:hint="eastAsia" w:ascii="Times New Roman" w:hAnsi="Times New Roman" w:eastAsia="宋体" w:cs="Times New Roman"/>
          <w:sz w:val="24"/>
          <w:lang w:eastAsia="zh-CN"/>
        </w:rPr>
        <w:t>。</w:t>
      </w:r>
    </w:p>
    <w:p w14:paraId="0E3B4A8E">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充电桩与电动汽车间的保护接地线断开</w:t>
      </w:r>
      <w:r>
        <w:rPr>
          <w:rFonts w:hint="eastAsia" w:ascii="Times New Roman" w:hAnsi="Times New Roman" w:eastAsia="宋体" w:cs="Times New Roman"/>
          <w:sz w:val="24"/>
          <w:lang w:eastAsia="zh-CN"/>
        </w:rPr>
        <w:t>。</w:t>
      </w:r>
    </w:p>
    <w:p w14:paraId="65B3A412">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充电桩与电动汽车间的连接检测信号线断开</w:t>
      </w:r>
      <w:r>
        <w:rPr>
          <w:rFonts w:hint="eastAsia" w:ascii="Times New Roman" w:hAnsi="Times New Roman" w:eastAsia="宋体" w:cs="Times New Roman"/>
          <w:sz w:val="24"/>
          <w:lang w:eastAsia="zh-CN"/>
        </w:rPr>
        <w:t>。</w:t>
      </w:r>
    </w:p>
    <w:p w14:paraId="0FF08BEC">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控制导引故障</w:t>
      </w:r>
      <w:r>
        <w:rPr>
          <w:rFonts w:hint="eastAsia" w:ascii="Times New Roman" w:hAnsi="Times New Roman" w:eastAsia="宋体" w:cs="Times New Roman"/>
          <w:sz w:val="24"/>
          <w:lang w:eastAsia="zh-CN"/>
        </w:rPr>
        <w:t>。</w:t>
      </w:r>
    </w:p>
    <w:p w14:paraId="2AA42A09">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与蓄电池管理系统通信故障</w:t>
      </w:r>
      <w:r>
        <w:rPr>
          <w:rFonts w:hint="eastAsia" w:ascii="Times New Roman" w:hAnsi="Times New Roman" w:eastAsia="宋体" w:cs="Times New Roman"/>
          <w:sz w:val="24"/>
          <w:lang w:eastAsia="zh-CN"/>
        </w:rPr>
        <w:t>。</w:t>
      </w:r>
    </w:p>
    <w:p w14:paraId="0FAB6661">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充电桩在启动充电时应人工确认启动。</w:t>
      </w:r>
    </w:p>
    <w:p w14:paraId="4E933BDF">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充电桩应具备限制冲击电流功能，冲击电流不应超过额定输入电流的110%。</w:t>
      </w:r>
    </w:p>
    <w:p w14:paraId="4A0CF080">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充电桩在充电停止状态下，应保证直流输出回路处于断开状态。</w:t>
      </w:r>
    </w:p>
    <w:p w14:paraId="6F7EED5B">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 xml:space="preserve">充电桩输出接触器接通时发生的车辆到充电设备、或者充电设备到车辆的冲击电流（峰值）应控制在20A以下。 </w:t>
      </w:r>
    </w:p>
    <w:p w14:paraId="548B7B05">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充电桩输出应具备缓慢或阶梯上升的缓启动功能，直流输出上升时间为1s～8s。</w:t>
      </w:r>
    </w:p>
    <w:p w14:paraId="64C0FF16">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预充电功能。当充电桩检测到电动汽车直流接触器闭合后，充电桩应检测电池端电压；充电桩检测到电池端电压后需进行预充，将功率模块输出电压升到与电池端电压测量值之差小于10V后，方可闭合充电桩输出接触器。</w:t>
      </w:r>
    </w:p>
    <w:p w14:paraId="1114BEDD">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充电桩必须保证充电桩输出接触器闭合发生在车辆直流充电接触器闭合之后，其时间间隔不得低于500ms。</w:t>
      </w:r>
    </w:p>
    <w:p w14:paraId="0BFB6B25">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充电过程中，充电桩应保证蓄电池的充电电压和充电电流不超过允许值。</w:t>
      </w:r>
    </w:p>
    <w:p w14:paraId="3DBA7544">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充电桩应具备蓄电池反接保护功能。</w:t>
      </w:r>
    </w:p>
    <w:p w14:paraId="3BF89A54">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充电桩在每个充电周期内进行接触器触点烧结检测。当检测到接触器触点出现粘连的情况后，充电桩不得继续工作。</w:t>
      </w:r>
    </w:p>
    <w:p w14:paraId="730EDE2C">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充电过程中，充电桩应具有明显的状态指示和文字提示，防止人员误操作。</w:t>
      </w:r>
    </w:p>
    <w:p w14:paraId="0DB8B7EE">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充电过程中，当充电设备门打开造成带电部位露出时，要切断对电动汽车的供电，但控制导引电路可以保持在带电状态。</w:t>
      </w:r>
    </w:p>
    <w:p w14:paraId="6CCE208E">
      <w:pPr>
        <w:keepNext w:val="0"/>
        <w:keepLines w:val="0"/>
        <w:pageBreakBefore w:val="0"/>
        <w:widowControl w:val="0"/>
        <w:numPr>
          <w:ilvl w:val="0"/>
          <w:numId w:val="67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充电桩断电后1s内，在其输出端子的电源线之间或电源线和保护接地导体之间测量的电压值，应小于或等于60V DC，或等效存储电能小于或等于0.2J。</w:t>
      </w:r>
    </w:p>
    <w:p w14:paraId="33F9FC1A">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88" w:name="_Toc438963649"/>
      <w:bookmarkStart w:id="389" w:name="_Toc485917063"/>
      <w:bookmarkStart w:id="390" w:name="_Toc439249979"/>
      <w:bookmarkStart w:id="391" w:name="_Toc448430647"/>
      <w:r>
        <w:rPr>
          <w:rFonts w:ascii="Times New Roman" w:hAnsi="Times New Roman" w:eastAsia="宋体" w:cs="Times New Roman"/>
          <w:sz w:val="24"/>
        </w:rPr>
        <w:t>耐气候环境要求</w:t>
      </w:r>
      <w:bookmarkEnd w:id="388"/>
      <w:bookmarkEnd w:id="389"/>
      <w:bookmarkEnd w:id="390"/>
      <w:bookmarkEnd w:id="391"/>
    </w:p>
    <w:p w14:paraId="513E94BC">
      <w:pPr>
        <w:keepNext w:val="0"/>
        <w:keepLines w:val="0"/>
        <w:pageBreakBefore w:val="0"/>
        <w:widowControl w:val="0"/>
        <w:numPr>
          <w:ilvl w:val="0"/>
          <w:numId w:val="6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92" w:name="_Toc439249980"/>
      <w:r>
        <w:rPr>
          <w:rFonts w:ascii="Times New Roman" w:hAnsi="Times New Roman" w:eastAsia="宋体" w:cs="Times New Roman"/>
          <w:sz w:val="24"/>
        </w:rPr>
        <w:t>防护等级：一体式充电桩的外壳防护等级应不低于GB 4208—2008中的IP54。</w:t>
      </w:r>
    </w:p>
    <w:p w14:paraId="255DE165">
      <w:pPr>
        <w:keepNext w:val="0"/>
        <w:keepLines w:val="0"/>
        <w:pageBreakBefore w:val="0"/>
        <w:widowControl w:val="0"/>
        <w:numPr>
          <w:ilvl w:val="0"/>
          <w:numId w:val="6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三防</w:t>
      </w:r>
      <w:r>
        <w:rPr>
          <w:rFonts w:hint="eastAsia" w:ascii="Times New Roman" w:hAnsi="Times New Roman" w:eastAsia="宋体" w:cs="Times New Roman"/>
          <w:sz w:val="24"/>
          <w:lang w:eastAsia="zh-CN"/>
        </w:rPr>
        <w:t>（</w:t>
      </w:r>
      <w:r>
        <w:rPr>
          <w:rFonts w:ascii="Times New Roman" w:hAnsi="Times New Roman" w:eastAsia="宋体" w:cs="Times New Roman"/>
          <w:sz w:val="24"/>
        </w:rPr>
        <w:t>防潮湿，防霉变，防盐雾</w:t>
      </w:r>
      <w:r>
        <w:rPr>
          <w:rFonts w:hint="eastAsia" w:ascii="Times New Roman" w:hAnsi="Times New Roman" w:eastAsia="宋体" w:cs="Times New Roman"/>
          <w:sz w:val="24"/>
          <w:lang w:eastAsia="zh-CN"/>
        </w:rPr>
        <w:t>）</w:t>
      </w:r>
      <w:r>
        <w:rPr>
          <w:rFonts w:ascii="Times New Roman" w:hAnsi="Times New Roman" w:eastAsia="宋体" w:cs="Times New Roman"/>
          <w:sz w:val="24"/>
        </w:rPr>
        <w:t>保护：充电桩内印刷线路板、接插件等电路应进行防潮湿、防霉变、防盐雾处理。</w:t>
      </w:r>
    </w:p>
    <w:p w14:paraId="2DA93B1B">
      <w:pPr>
        <w:keepNext w:val="0"/>
        <w:keepLines w:val="0"/>
        <w:pageBreakBefore w:val="0"/>
        <w:widowControl w:val="0"/>
        <w:numPr>
          <w:ilvl w:val="0"/>
          <w:numId w:val="6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防锈</w:t>
      </w:r>
      <w:r>
        <w:rPr>
          <w:rFonts w:hint="eastAsia" w:ascii="Times New Roman" w:hAnsi="Times New Roman" w:eastAsia="宋体" w:cs="Times New Roman"/>
          <w:sz w:val="24"/>
          <w:lang w:eastAsia="zh-CN"/>
        </w:rPr>
        <w:t>（</w:t>
      </w:r>
      <w:r>
        <w:rPr>
          <w:rFonts w:ascii="Times New Roman" w:hAnsi="Times New Roman" w:eastAsia="宋体" w:cs="Times New Roman"/>
          <w:sz w:val="24"/>
        </w:rPr>
        <w:t>防氧化</w:t>
      </w:r>
      <w:r>
        <w:rPr>
          <w:rFonts w:hint="eastAsia" w:ascii="Times New Roman" w:hAnsi="Times New Roman" w:eastAsia="宋体" w:cs="Times New Roman"/>
          <w:sz w:val="24"/>
          <w:lang w:eastAsia="zh-CN"/>
        </w:rPr>
        <w:t>）</w:t>
      </w:r>
      <w:r>
        <w:rPr>
          <w:rFonts w:ascii="Times New Roman" w:hAnsi="Times New Roman" w:eastAsia="宋体" w:cs="Times New Roman"/>
          <w:sz w:val="24"/>
        </w:rPr>
        <w:t>保护：充电桩铁质外壳和暴露在外的铁质支架、零件应采取双层防锈措施，非铁质的金属外壳也应具有防氧化保护膜或进行防氧化处理。</w:t>
      </w:r>
    </w:p>
    <w:p w14:paraId="5072F24D">
      <w:pPr>
        <w:keepNext w:val="0"/>
        <w:keepLines w:val="0"/>
        <w:pageBreakBefore w:val="0"/>
        <w:widowControl w:val="0"/>
        <w:numPr>
          <w:ilvl w:val="0"/>
          <w:numId w:val="6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防风保护：户外安装的充电桩应能承受GB/T 4797.5—2008中表NA.2和表3规定的不同地区、不同高度最大风速的侵袭。</w:t>
      </w:r>
    </w:p>
    <w:p w14:paraId="28D7BC04">
      <w:pPr>
        <w:keepNext w:val="0"/>
        <w:keepLines w:val="0"/>
        <w:pageBreakBefore w:val="0"/>
        <w:widowControl w:val="0"/>
        <w:numPr>
          <w:ilvl w:val="0"/>
          <w:numId w:val="67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防盗保护：用于室外运行的充电桩应具有必要的防盗措施。</w:t>
      </w:r>
    </w:p>
    <w:p w14:paraId="34588FD6">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93" w:name="_Toc448430649"/>
      <w:bookmarkStart w:id="394" w:name="_Toc485917065"/>
      <w:r>
        <w:rPr>
          <w:rFonts w:ascii="Times New Roman" w:hAnsi="Times New Roman" w:eastAsia="宋体" w:cs="Times New Roman"/>
          <w:sz w:val="24"/>
        </w:rPr>
        <w:t>接地要求</w:t>
      </w:r>
      <w:bookmarkEnd w:id="393"/>
      <w:bookmarkEnd w:id="394"/>
    </w:p>
    <w:p w14:paraId="66891E92">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充电桩的接地要求满足以下规定：</w:t>
      </w:r>
    </w:p>
    <w:p w14:paraId="7E50CEC2">
      <w:pPr>
        <w:keepNext w:val="0"/>
        <w:keepLines w:val="0"/>
        <w:pageBreakBefore w:val="0"/>
        <w:widowControl w:val="0"/>
        <w:numPr>
          <w:ilvl w:val="0"/>
          <w:numId w:val="6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充电桩金属壳体应设置接地螺栓，其直径不得小于6mm，并应有接地标志</w:t>
      </w:r>
      <w:r>
        <w:rPr>
          <w:rFonts w:hint="eastAsia" w:ascii="Times New Roman" w:hAnsi="Times New Roman" w:eastAsia="宋体" w:cs="Times New Roman"/>
          <w:sz w:val="24"/>
          <w:lang w:eastAsia="zh-CN"/>
        </w:rPr>
        <w:t>。</w:t>
      </w:r>
    </w:p>
    <w:p w14:paraId="048C9C25">
      <w:pPr>
        <w:keepNext w:val="0"/>
        <w:keepLines w:val="0"/>
        <w:pageBreakBefore w:val="0"/>
        <w:widowControl w:val="0"/>
        <w:numPr>
          <w:ilvl w:val="0"/>
          <w:numId w:val="6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所有作为隔离带电导体的金属隔板、电气元件的金属外壳以及金属手柄等均应有效接地，连续性电阻不应大于0.1Ω</w:t>
      </w:r>
      <w:r>
        <w:rPr>
          <w:rFonts w:hint="eastAsia" w:ascii="Times New Roman" w:hAnsi="Times New Roman" w:eastAsia="宋体" w:cs="Times New Roman"/>
          <w:sz w:val="24"/>
          <w:lang w:eastAsia="zh-CN"/>
        </w:rPr>
        <w:t>。</w:t>
      </w:r>
    </w:p>
    <w:p w14:paraId="01DC2685">
      <w:pPr>
        <w:keepNext w:val="0"/>
        <w:keepLines w:val="0"/>
        <w:pageBreakBefore w:val="0"/>
        <w:widowControl w:val="0"/>
        <w:numPr>
          <w:ilvl w:val="0"/>
          <w:numId w:val="6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充电桩的门、盖板、覆板和类似部件，应采用保护导体将这些部件和充电桩主体框架连接，此保护导体的截面积不得小于2.5mm</w:t>
      </w:r>
      <w:r>
        <w:rPr>
          <w:rFonts w:hint="eastAsia" w:ascii="Times New Roman" w:hAnsi="Times New Roman" w:eastAsia="宋体" w:cs="Times New Roman"/>
          <w:sz w:val="24"/>
          <w:lang w:eastAsia="zh-CN"/>
        </w:rPr>
        <w:t>。</w:t>
      </w:r>
    </w:p>
    <w:p w14:paraId="54A6A6EE">
      <w:pPr>
        <w:keepNext w:val="0"/>
        <w:keepLines w:val="0"/>
        <w:pageBreakBefore w:val="0"/>
        <w:widowControl w:val="0"/>
        <w:numPr>
          <w:ilvl w:val="0"/>
          <w:numId w:val="67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接地母线和柜体之间的所有连接应避开（或穿透绝缘层）喷漆层，以保证有效的电气连接。</w:t>
      </w:r>
    </w:p>
    <w:bookmarkEnd w:id="392"/>
    <w:p w14:paraId="168F1371">
      <w:pPr>
        <w:keepNext w:val="0"/>
        <w:keepLines w:val="0"/>
        <w:pageBreakBefore w:val="0"/>
        <w:widowControl w:val="0"/>
        <w:numPr>
          <w:ilvl w:val="0"/>
          <w:numId w:val="66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bookmarkStart w:id="395" w:name="_Toc402276238"/>
      <w:bookmarkEnd w:id="395"/>
      <w:bookmarkStart w:id="396" w:name="_Toc372723710"/>
      <w:bookmarkEnd w:id="396"/>
      <w:bookmarkStart w:id="397" w:name="_Toc402276237"/>
      <w:bookmarkEnd w:id="397"/>
      <w:bookmarkStart w:id="398" w:name="_Toc372729497"/>
      <w:bookmarkEnd w:id="398"/>
      <w:bookmarkStart w:id="399" w:name="_Toc485917068"/>
      <w:bookmarkStart w:id="400" w:name="_Toc438963661"/>
      <w:bookmarkStart w:id="401" w:name="_Toc439249984"/>
      <w:bookmarkStart w:id="402" w:name="_Toc448430652"/>
      <w:r>
        <w:rPr>
          <w:rFonts w:ascii="Times New Roman" w:hAnsi="Times New Roman" w:eastAsia="宋体" w:cs="Times New Roman"/>
          <w:sz w:val="24"/>
        </w:rPr>
        <w:t>强度</w:t>
      </w:r>
      <w:bookmarkEnd w:id="399"/>
      <w:bookmarkEnd w:id="400"/>
      <w:bookmarkEnd w:id="401"/>
      <w:bookmarkEnd w:id="402"/>
    </w:p>
    <w:p w14:paraId="2B200D21">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充电桩应有足够的机械强度，能承受GB/T 2423.55—2006规定的机械冲击测试，剧烈冲击能量为20J（5kg，0.4m）。试验后性能不应降低，防护等级不受影响，门的操作和锁止点不受损坏，不会因变形而使带电部分和外壳相接触。</w:t>
      </w:r>
    </w:p>
    <w:p w14:paraId="7DF197C3">
      <w:pPr>
        <w:keepNext w:val="0"/>
        <w:keepLines w:val="0"/>
        <w:pageBreakBefore w:val="0"/>
        <w:widowControl w:val="0"/>
        <w:numPr>
          <w:ilvl w:val="0"/>
          <w:numId w:val="0"/>
        </w:numPr>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b w:val="0"/>
          <w:sz w:val="24"/>
        </w:rPr>
      </w:pPr>
      <w:bookmarkStart w:id="403" w:name="_Toc485917069"/>
      <w:r>
        <w:rPr>
          <w:rFonts w:hint="eastAsia" w:ascii="Times New Roman" w:hAnsi="Times New Roman" w:eastAsia="宋体" w:cs="Times New Roman"/>
          <w:sz w:val="24"/>
          <w:lang w:val="en-US" w:eastAsia="zh-CN"/>
        </w:rPr>
        <w:t>3.19.3.22</w:t>
      </w:r>
      <w:r>
        <w:rPr>
          <w:rFonts w:ascii="Times New Roman" w:hAnsi="Times New Roman" w:eastAsia="宋体" w:cs="Times New Roman"/>
          <w:sz w:val="24"/>
        </w:rPr>
        <w:t>充电桩柜体（桩体）要求</w:t>
      </w:r>
      <w:bookmarkEnd w:id="403"/>
    </w:p>
    <w:p w14:paraId="0646C898">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充电桩桩体应采用抗冲击性强、抗老化、耐腐蚀的材质。</w:t>
      </w:r>
    </w:p>
    <w:p w14:paraId="1E64A22D">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充电桩柜体（桩体）应外观线条流畅、整体紧凑、简洁时尚，与安装地点周边环境相协调。</w:t>
      </w:r>
    </w:p>
    <w:p w14:paraId="1F00722D">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充电桩柜体（桩体）应具备安装4G/3G/2G通信模块天线的位置，并确保壳体不对通信模块接收信号产生负面影响。</w:t>
      </w:r>
    </w:p>
    <w:p w14:paraId="729C3682">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充电桩柜体（桩体）的非接触充电卡片刷卡区域，应具有承载设计，以便于放置非接触充电卡片。</w:t>
      </w:r>
    </w:p>
    <w:p w14:paraId="231CE6C3">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充电桩柜体（桩体）内部线束，应排布整齐、规整，标识清楚，捆扎牢固。</w:t>
      </w:r>
    </w:p>
    <w:p w14:paraId="1D2AD29A">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充电桩柜体（桩体）内元器件应布局合理，易耗易损元件方便更换。</w:t>
      </w:r>
    </w:p>
    <w:p w14:paraId="3F6F0819">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充电桩柜体（桩体）安装于户外时，应便于特殊天气条件下的日常维护。</w:t>
      </w:r>
    </w:p>
    <w:p w14:paraId="74B540B7">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充电桩柜体（桩体）表面涂覆色泽层应均匀光洁，不起泡、不龟裂、不脱落。</w:t>
      </w:r>
    </w:p>
    <w:p w14:paraId="3E1A1CBD">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非绝缘材料外壳应可靠接地，结构上应防止操作人员触及带电部件。</w:t>
      </w:r>
    </w:p>
    <w:p w14:paraId="22A9C2B6">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人机交互的操作按键和显示界面应设置在便于人操作和查看的位置。</w:t>
      </w:r>
    </w:p>
    <w:p w14:paraId="77C656B9">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充电桩柜体（桩体）应有明显的发光指示，确保夜间便于查找和辨别。</w:t>
      </w:r>
    </w:p>
    <w:p w14:paraId="61A132BE">
      <w:pPr>
        <w:keepNext w:val="0"/>
        <w:keepLines w:val="0"/>
        <w:pageBreakBefore w:val="0"/>
        <w:widowControl w:val="0"/>
        <w:numPr>
          <w:ilvl w:val="0"/>
          <w:numId w:val="67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充电桩输出电压：充电桩根据BMS通信请求，确定其瞬时输出的电压值。</w:t>
      </w:r>
    </w:p>
    <w:p w14:paraId="206C276D">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加热箱</w:t>
      </w:r>
    </w:p>
    <w:p w14:paraId="4EE5E40E">
      <w:pPr>
        <w:keepNext w:val="0"/>
        <w:keepLines w:val="0"/>
        <w:pageBreakBefore w:val="0"/>
        <w:widowControl w:val="0"/>
        <w:numPr>
          <w:ilvl w:val="0"/>
          <w:numId w:val="68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供货范围</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2303"/>
        <w:gridCol w:w="1232"/>
        <w:gridCol w:w="4887"/>
      </w:tblGrid>
      <w:tr w14:paraId="08AC4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0864F5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序号</w:t>
            </w:r>
          </w:p>
        </w:tc>
        <w:tc>
          <w:tcPr>
            <w:tcW w:w="1193" w:type="pct"/>
            <w:vAlign w:val="center"/>
          </w:tcPr>
          <w:p w14:paraId="2F06E25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名称</w:t>
            </w:r>
          </w:p>
        </w:tc>
        <w:tc>
          <w:tcPr>
            <w:tcW w:w="638" w:type="pct"/>
            <w:vAlign w:val="center"/>
          </w:tcPr>
          <w:p w14:paraId="23E0760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数量</w:t>
            </w:r>
          </w:p>
        </w:tc>
        <w:tc>
          <w:tcPr>
            <w:tcW w:w="2531" w:type="pct"/>
            <w:vAlign w:val="center"/>
          </w:tcPr>
          <w:p w14:paraId="05BC615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备注</w:t>
            </w:r>
          </w:p>
        </w:tc>
      </w:tr>
      <w:tr w14:paraId="3EDA7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19800CC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1</w:t>
            </w:r>
          </w:p>
        </w:tc>
        <w:tc>
          <w:tcPr>
            <w:tcW w:w="1193" w:type="pct"/>
            <w:vAlign w:val="center"/>
          </w:tcPr>
          <w:p w14:paraId="1EBF24F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大加热箱</w:t>
            </w:r>
          </w:p>
        </w:tc>
        <w:tc>
          <w:tcPr>
            <w:tcW w:w="638" w:type="pct"/>
            <w:vAlign w:val="center"/>
          </w:tcPr>
          <w:p w14:paraId="5E755CA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1台</w:t>
            </w:r>
          </w:p>
        </w:tc>
        <w:tc>
          <w:tcPr>
            <w:tcW w:w="2531" w:type="pct"/>
            <w:vAlign w:val="center"/>
          </w:tcPr>
          <w:p w14:paraId="5774040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用于密封条加热</w:t>
            </w:r>
          </w:p>
        </w:tc>
      </w:tr>
      <w:tr w14:paraId="4301C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6" w:type="pct"/>
            <w:vAlign w:val="center"/>
          </w:tcPr>
          <w:p w14:paraId="4A64765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2</w:t>
            </w:r>
          </w:p>
        </w:tc>
        <w:tc>
          <w:tcPr>
            <w:tcW w:w="1193" w:type="pct"/>
            <w:vAlign w:val="center"/>
          </w:tcPr>
          <w:p w14:paraId="5E74342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hint="eastAsia" w:ascii="宋体" w:hAnsi="宋体" w:eastAsia="宋体" w:cs="Arial"/>
                <w:sz w:val="24"/>
                <w:szCs w:val="24"/>
              </w:rPr>
              <w:t>小加热箱</w:t>
            </w:r>
          </w:p>
        </w:tc>
        <w:tc>
          <w:tcPr>
            <w:tcW w:w="638" w:type="pct"/>
            <w:vAlign w:val="center"/>
          </w:tcPr>
          <w:p w14:paraId="7E7E0F8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1</w:t>
            </w:r>
            <w:r>
              <w:rPr>
                <w:rFonts w:hint="eastAsia" w:ascii="宋体" w:hAnsi="宋体" w:eastAsia="宋体" w:cs="Arial"/>
                <w:sz w:val="24"/>
                <w:szCs w:val="24"/>
              </w:rPr>
              <w:t>台</w:t>
            </w:r>
          </w:p>
        </w:tc>
        <w:tc>
          <w:tcPr>
            <w:tcW w:w="2531" w:type="pct"/>
            <w:vAlign w:val="center"/>
          </w:tcPr>
          <w:p w14:paraId="1CC007D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Arial"/>
                <w:sz w:val="24"/>
                <w:szCs w:val="24"/>
              </w:rPr>
            </w:pPr>
            <w:r>
              <w:rPr>
                <w:rFonts w:ascii="宋体" w:hAnsi="宋体" w:eastAsia="宋体" w:cs="Arial"/>
                <w:sz w:val="24"/>
                <w:szCs w:val="24"/>
              </w:rPr>
              <w:t>用于字标等小件加热</w:t>
            </w:r>
          </w:p>
        </w:tc>
      </w:tr>
    </w:tbl>
    <w:p w14:paraId="64366AB3">
      <w:pPr>
        <w:keepNext w:val="0"/>
        <w:keepLines w:val="0"/>
        <w:pageBreakBefore w:val="0"/>
        <w:widowControl w:val="0"/>
        <w:kinsoku/>
        <w:overflowPunct/>
        <w:topLinePunct w:val="0"/>
        <w:bidi w:val="0"/>
        <w:adjustRightInd w:val="0"/>
        <w:snapToGrid w:val="0"/>
        <w:spacing w:afterAutospacing="0" w:line="360" w:lineRule="auto"/>
        <w:ind w:left="360" w:firstLine="0" w:firstLineChars="0"/>
        <w:jc w:val="both"/>
        <w:rPr>
          <w:rFonts w:ascii="宋体" w:hAnsi="宋体" w:eastAsia="宋体" w:cs="Times New Roman"/>
          <w:kern w:val="2"/>
          <w:sz w:val="21"/>
          <w:szCs w:val="21"/>
          <w:lang w:val="en-US" w:eastAsia="zh-CN" w:bidi="ar-SA"/>
        </w:rPr>
      </w:pPr>
    </w:p>
    <w:p w14:paraId="60DE0699">
      <w:pPr>
        <w:keepNext w:val="0"/>
        <w:keepLines w:val="0"/>
        <w:pageBreakBefore w:val="0"/>
        <w:widowControl w:val="0"/>
        <w:numPr>
          <w:ilvl w:val="0"/>
          <w:numId w:val="68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工艺要求</w:t>
      </w:r>
    </w:p>
    <w:p w14:paraId="787D9584">
      <w:pPr>
        <w:keepNext w:val="0"/>
        <w:keepLines w:val="0"/>
        <w:pageBreakBefore w:val="0"/>
        <w:widowControl w:val="0"/>
        <w:numPr>
          <w:ilvl w:val="0"/>
          <w:numId w:val="681"/>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工位布置：</w:t>
      </w:r>
    </w:p>
    <w:p w14:paraId="52A0D5DE">
      <w:pPr>
        <w:keepNext w:val="0"/>
        <w:keepLines w:val="0"/>
        <w:pageBreakBefore w:val="0"/>
        <w:widowControl w:val="0"/>
        <w:kinsoku/>
        <w:overflowPunct/>
        <w:topLinePunct w:val="0"/>
        <w:bidi w:val="0"/>
        <w:adjustRightInd w:val="0"/>
        <w:snapToGrid w:val="0"/>
        <w:spacing w:afterAutospacing="0"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布置在内饰线，工位</w:t>
      </w:r>
      <w:r>
        <w:rPr>
          <w:rFonts w:hint="eastAsia" w:cs="Times New Roman"/>
          <w:sz w:val="24"/>
          <w:lang w:val="en-US" w:eastAsia="zh-CN"/>
        </w:rPr>
        <w:t>间</w:t>
      </w:r>
      <w:r>
        <w:rPr>
          <w:rFonts w:ascii="Times New Roman" w:hAnsi="Times New Roman" w:eastAsia="宋体" w:cs="Times New Roman"/>
          <w:sz w:val="24"/>
        </w:rPr>
        <w:t>距7200</w:t>
      </w:r>
      <w:r>
        <w:rPr>
          <w:rFonts w:hint="eastAsia" w:ascii="Times New Roman" w:hAnsi="Times New Roman" w:eastAsia="宋体" w:cs="Times New Roman"/>
          <w:sz w:val="24"/>
          <w:lang w:eastAsia="zh-CN"/>
        </w:rPr>
        <w:t>。</w:t>
      </w:r>
    </w:p>
    <w:p w14:paraId="6A6E0D89">
      <w:pPr>
        <w:keepNext w:val="0"/>
        <w:keepLines w:val="0"/>
        <w:pageBreakBefore w:val="0"/>
        <w:widowControl w:val="0"/>
        <w:numPr>
          <w:ilvl w:val="0"/>
          <w:numId w:val="681"/>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技术参数：</w:t>
      </w:r>
    </w:p>
    <w:p w14:paraId="60BB842D">
      <w:pPr>
        <w:keepNext w:val="0"/>
        <w:keepLines w:val="0"/>
        <w:pageBreakBefore w:val="0"/>
        <w:widowControl w:val="0"/>
        <w:kinsoku/>
        <w:overflowPunct/>
        <w:topLinePunct w:val="0"/>
        <w:bidi w:val="0"/>
        <w:adjustRightInd w:val="0"/>
        <w:snapToGrid w:val="0"/>
        <w:spacing w:afterAutospacing="0"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温控仪表精度：≤±1℃</w:t>
      </w:r>
      <w:r>
        <w:rPr>
          <w:rFonts w:hint="eastAsia" w:ascii="Times New Roman" w:hAnsi="Times New Roman" w:eastAsia="宋体" w:cs="Times New Roman"/>
          <w:sz w:val="24"/>
          <w:lang w:eastAsia="zh-CN"/>
        </w:rPr>
        <w:t>。</w:t>
      </w:r>
    </w:p>
    <w:p w14:paraId="2670097E">
      <w:pPr>
        <w:keepNext w:val="0"/>
        <w:keepLines w:val="0"/>
        <w:pageBreakBefore w:val="0"/>
        <w:widowControl w:val="0"/>
        <w:kinsoku/>
        <w:overflowPunct/>
        <w:topLinePunct w:val="0"/>
        <w:bidi w:val="0"/>
        <w:adjustRightInd w:val="0"/>
        <w:snapToGrid w:val="0"/>
        <w:spacing w:afterAutospacing="0" w:line="360" w:lineRule="auto"/>
        <w:rPr>
          <w:rFonts w:ascii="Times New Roman" w:hAnsi="Times New Roman" w:eastAsia="宋体" w:cs="Times New Roman"/>
          <w:sz w:val="24"/>
        </w:rPr>
      </w:pPr>
      <w:r>
        <w:rPr>
          <w:rFonts w:ascii="Times New Roman" w:hAnsi="Times New Roman" w:eastAsia="宋体" w:cs="Times New Roman"/>
          <w:sz w:val="24"/>
        </w:rPr>
        <w:t>注：以上仅作参考，具体以设计会签为准。</w:t>
      </w:r>
    </w:p>
    <w:p w14:paraId="196E1704">
      <w:pPr>
        <w:keepNext w:val="0"/>
        <w:keepLines w:val="0"/>
        <w:pageBreakBefore w:val="0"/>
        <w:widowControl w:val="0"/>
        <w:numPr>
          <w:ilvl w:val="0"/>
          <w:numId w:val="680"/>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设备主要构成及要求</w:t>
      </w:r>
    </w:p>
    <w:p w14:paraId="763B0C5B">
      <w:pPr>
        <w:keepNext w:val="0"/>
        <w:keepLines w:val="0"/>
        <w:pageBreakBefore w:val="0"/>
        <w:widowControl w:val="0"/>
        <w:numPr>
          <w:ilvl w:val="0"/>
          <w:numId w:val="682"/>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箱体要求</w:t>
      </w:r>
    </w:p>
    <w:p w14:paraId="6249D835">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恒温箱箱体具备绝缘、保温隔热功能，保温箱外要有防止触电、注意烫伤等符合国家标准的安全警示标识</w:t>
      </w:r>
      <w:r>
        <w:rPr>
          <w:rFonts w:hint="eastAsia" w:ascii="Times New Roman" w:hAnsi="Times New Roman" w:eastAsia="宋体" w:cs="Times New Roman"/>
          <w:sz w:val="24"/>
          <w:lang w:eastAsia="zh-CN"/>
        </w:rPr>
        <w:t>。</w:t>
      </w:r>
    </w:p>
    <w:p w14:paraId="2B8DA419">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恒温箱开口处要便于操作，非开口处密封保温性良好，防止内腔热量流失；密封条保温箱前、后部应设有单独取料门和进料门，采用磁吸式门帘结构，也</w:t>
      </w:r>
      <w:r>
        <w:rPr>
          <w:rFonts w:hint="eastAsia" w:cs="Times New Roman"/>
          <w:sz w:val="24"/>
          <w:lang w:val="en-US" w:eastAsia="zh-CN"/>
        </w:rPr>
        <w:t>可</w:t>
      </w:r>
      <w:r>
        <w:rPr>
          <w:rFonts w:ascii="Times New Roman" w:hAnsi="Times New Roman" w:eastAsia="宋体" w:cs="Times New Roman"/>
          <w:sz w:val="24"/>
        </w:rPr>
        <w:t>采用其它形式，以会签为准，后门为物流人员送料门，要求全封闭且开闭操作简单。</w:t>
      </w:r>
    </w:p>
    <w:p w14:paraId="549D0D7B">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大加热箱箱体外部尺寸：长度≥2000mm，宽度≥800mm，高度≥1900（数量1个），箱内部有效容积为</w:t>
      </w:r>
      <w:r>
        <w:rPr>
          <w:rFonts w:hint="eastAsia" w:ascii="Times New Roman" w:hAnsi="Times New Roman" w:eastAsia="宋体" w:cs="Times New Roman"/>
          <w:sz w:val="24"/>
          <w:lang w:eastAsia="zh-CN"/>
        </w:rPr>
        <w:t>：</w:t>
      </w:r>
      <w:r>
        <w:rPr>
          <w:rFonts w:ascii="Times New Roman" w:hAnsi="Times New Roman" w:eastAsia="宋体" w:cs="Times New Roman"/>
          <w:sz w:val="24"/>
        </w:rPr>
        <w:t>1600mmx800mmx1500mm，储件层净高度≥1400mm，底上有四个3档可调升降支撑立柱和可分3档调整倾斜最大0--20度角的不锈钢挂件托板。具体尺寸以会签图纸时确定。</w:t>
      </w:r>
    </w:p>
    <w:p w14:paraId="049B160B">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小加热箱箱体外部尺寸：长度≥1000mm，宽度≥400mm，高度≥1000，箱内部有效容积为</w:t>
      </w:r>
      <w:r>
        <w:rPr>
          <w:rFonts w:hint="eastAsia" w:ascii="Times New Roman" w:hAnsi="Times New Roman" w:eastAsia="宋体" w:cs="Times New Roman"/>
          <w:sz w:val="24"/>
          <w:lang w:eastAsia="zh-CN"/>
        </w:rPr>
        <w:t>：</w:t>
      </w:r>
      <w:r>
        <w:rPr>
          <w:rFonts w:ascii="Times New Roman" w:hAnsi="Times New Roman" w:eastAsia="宋体" w:cs="Times New Roman"/>
          <w:sz w:val="24"/>
        </w:rPr>
        <w:t>600mmx400mmx600mm；恒温箱内部横向料架分层设计，层数可以调整及锁止，具体尺寸以会签图纸时确定。</w:t>
      </w:r>
    </w:p>
    <w:p w14:paraId="56832AE6">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箱内分加热吹风设备层和储件内腔。均与保温箱一体</w:t>
      </w:r>
      <w:r>
        <w:rPr>
          <w:rFonts w:hint="eastAsia" w:ascii="Times New Roman" w:hAnsi="Times New Roman" w:eastAsia="宋体" w:cs="Times New Roman"/>
          <w:sz w:val="24"/>
          <w:lang w:eastAsia="zh-CN"/>
        </w:rPr>
        <w:t>。</w:t>
      </w:r>
    </w:p>
    <w:p w14:paraId="32911F49">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箱体框架材料采用型钢框架制作，外表面为钢板静电喷涂或烤漆，内层为不锈钢</w:t>
      </w:r>
      <w:r>
        <w:rPr>
          <w:rFonts w:hint="eastAsia" w:ascii="Times New Roman" w:hAnsi="Times New Roman" w:eastAsia="宋体" w:cs="Times New Roman"/>
          <w:sz w:val="24"/>
          <w:lang w:eastAsia="zh-CN"/>
        </w:rPr>
        <w:t>。</w:t>
      </w:r>
    </w:p>
    <w:p w14:paraId="63B4EDEF">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保温层采用能够阻燃的保温棉，保温层厚度满足使用要求。</w:t>
      </w:r>
    </w:p>
    <w:p w14:paraId="46B68D81">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零件放置料架采用耐热材料（耐热温度不小于60℃），不得划伤零件。</w:t>
      </w:r>
    </w:p>
    <w:p w14:paraId="6EB1C534">
      <w:pPr>
        <w:keepNext w:val="0"/>
        <w:keepLines w:val="0"/>
        <w:pageBreakBefore w:val="0"/>
        <w:widowControl w:val="0"/>
        <w:numPr>
          <w:ilvl w:val="0"/>
          <w:numId w:val="683"/>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箱体采用全封闭式，取件侧为开放式，方便货物进出。</w:t>
      </w:r>
    </w:p>
    <w:p w14:paraId="7D1BBE4F">
      <w:pPr>
        <w:keepNext w:val="0"/>
        <w:keepLines w:val="0"/>
        <w:pageBreakBefore w:val="0"/>
        <w:widowControl w:val="0"/>
        <w:numPr>
          <w:ilvl w:val="0"/>
          <w:numId w:val="6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加热送风要求</w:t>
      </w:r>
    </w:p>
    <w:p w14:paraId="4B79B1E4">
      <w:pPr>
        <w:keepNext w:val="0"/>
        <w:keepLines w:val="0"/>
        <w:pageBreakBefore w:val="0"/>
        <w:widowControl w:val="0"/>
        <w:numPr>
          <w:ilvl w:val="0"/>
          <w:numId w:val="6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鼓风方式：强压式水平循环送风</w:t>
      </w:r>
      <w:r>
        <w:rPr>
          <w:rFonts w:hint="eastAsia" w:ascii="Times New Roman" w:hAnsi="Times New Roman" w:eastAsia="宋体" w:cs="Times New Roman"/>
          <w:sz w:val="24"/>
          <w:lang w:eastAsia="zh-CN"/>
        </w:rPr>
        <w:t>。</w:t>
      </w:r>
    </w:p>
    <w:p w14:paraId="1849D26F">
      <w:pPr>
        <w:keepNext w:val="0"/>
        <w:keepLines w:val="0"/>
        <w:pageBreakBefore w:val="0"/>
        <w:widowControl w:val="0"/>
        <w:numPr>
          <w:ilvl w:val="0"/>
          <w:numId w:val="6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风轮材料：不锈钢离心风轮</w:t>
      </w:r>
      <w:r>
        <w:rPr>
          <w:rFonts w:hint="eastAsia" w:ascii="Times New Roman" w:hAnsi="Times New Roman" w:eastAsia="宋体" w:cs="Times New Roman"/>
          <w:sz w:val="24"/>
          <w:lang w:eastAsia="zh-CN"/>
        </w:rPr>
        <w:t>。</w:t>
      </w:r>
    </w:p>
    <w:p w14:paraId="2ADA2818">
      <w:pPr>
        <w:keepNext w:val="0"/>
        <w:keepLines w:val="0"/>
        <w:pageBreakBefore w:val="0"/>
        <w:widowControl w:val="0"/>
        <w:numPr>
          <w:ilvl w:val="0"/>
          <w:numId w:val="6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加热元件：不锈钢加热管</w:t>
      </w:r>
      <w:r>
        <w:rPr>
          <w:rFonts w:hint="eastAsia" w:ascii="Times New Roman" w:hAnsi="Times New Roman" w:eastAsia="宋体" w:cs="Times New Roman"/>
          <w:sz w:val="24"/>
          <w:lang w:eastAsia="zh-CN"/>
        </w:rPr>
        <w:t>。</w:t>
      </w:r>
    </w:p>
    <w:p w14:paraId="623EC2D5">
      <w:pPr>
        <w:keepNext w:val="0"/>
        <w:keepLines w:val="0"/>
        <w:pageBreakBefore w:val="0"/>
        <w:widowControl w:val="0"/>
        <w:numPr>
          <w:ilvl w:val="0"/>
          <w:numId w:val="68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升温时间：不低于2-3 度/分钟</w:t>
      </w:r>
      <w:r>
        <w:rPr>
          <w:rFonts w:hint="eastAsia" w:ascii="Times New Roman" w:hAnsi="Times New Roman" w:eastAsia="宋体" w:cs="Times New Roman"/>
          <w:sz w:val="24"/>
          <w:lang w:eastAsia="zh-CN"/>
        </w:rPr>
        <w:t>。</w:t>
      </w:r>
    </w:p>
    <w:p w14:paraId="183E685F">
      <w:pPr>
        <w:keepNext w:val="0"/>
        <w:keepLines w:val="0"/>
        <w:pageBreakBefore w:val="0"/>
        <w:widowControl w:val="0"/>
        <w:numPr>
          <w:ilvl w:val="0"/>
          <w:numId w:val="684"/>
        </w:numPr>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测试要求：测试点应距离内壁材料至少 150 毫米，距离门至少 180 毫米。测试时间应在到达温度 （恒温状态）后至少 30 分钟。</w:t>
      </w:r>
    </w:p>
    <w:p w14:paraId="7928A7BB">
      <w:pPr>
        <w:keepNext w:val="0"/>
        <w:keepLines w:val="0"/>
        <w:pageBreakBefore w:val="0"/>
        <w:widowControl w:val="0"/>
        <w:numPr>
          <w:ilvl w:val="0"/>
          <w:numId w:val="6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电器配置要求：</w:t>
      </w:r>
    </w:p>
    <w:p w14:paraId="4D5BC8F9">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温控仪：智能温控仪表控温，自动控温，控温精度 0.5℃, 自动恒温，带 PID 调节。</w:t>
      </w:r>
    </w:p>
    <w:p w14:paraId="5DA7E5CB">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时间设定装置：定时装置，可人工/自动开关，当温度到达所设定温度时即开始计时，当时间到达所设定范围后即切断加热电源。</w:t>
      </w:r>
    </w:p>
    <w:p w14:paraId="7F96B956">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时间报警装置：声光报警装置，结束报警提示。</w:t>
      </w:r>
    </w:p>
    <w:p w14:paraId="7EC98C1D">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测温装置：测温精确。</w:t>
      </w:r>
    </w:p>
    <w:p w14:paraId="0FDC40A2">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保护系统：漏电保护，超温保护，线路保护，断路保护。</w:t>
      </w:r>
    </w:p>
    <w:p w14:paraId="7562FBD3">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断路器启动：带漏电保护的断路器启动，有效保护所有电器元件。</w:t>
      </w:r>
    </w:p>
    <w:p w14:paraId="6CA5264E">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接触器：采用固态继电器，控制加热输出。</w:t>
      </w:r>
    </w:p>
    <w:p w14:paraId="148F08D1">
      <w:pPr>
        <w:keepNext w:val="0"/>
        <w:keepLines w:val="0"/>
        <w:pageBreakBefore w:val="0"/>
        <w:widowControl w:val="0"/>
        <w:numPr>
          <w:ilvl w:val="0"/>
          <w:numId w:val="685"/>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电器元件：满足相关要求品牌</w:t>
      </w:r>
      <w:r>
        <w:rPr>
          <w:rFonts w:hint="eastAsia" w:ascii="Times New Roman" w:hAnsi="Times New Roman" w:eastAsia="宋体" w:cs="Times New Roman"/>
          <w:sz w:val="24"/>
          <w:lang w:eastAsia="zh-CN"/>
        </w:rPr>
        <w:t>电器</w:t>
      </w:r>
      <w:r>
        <w:rPr>
          <w:rFonts w:ascii="Times New Roman" w:hAnsi="Times New Roman" w:eastAsia="宋体" w:cs="Times New Roman"/>
          <w:sz w:val="24"/>
        </w:rPr>
        <w:t>，不易损坏。</w:t>
      </w:r>
    </w:p>
    <w:p w14:paraId="0A1603C1">
      <w:pPr>
        <w:keepNext w:val="0"/>
        <w:keepLines w:val="0"/>
        <w:pageBreakBefore w:val="0"/>
        <w:widowControl w:val="0"/>
        <w:numPr>
          <w:ilvl w:val="0"/>
          <w:numId w:val="682"/>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其它要求</w:t>
      </w:r>
    </w:p>
    <w:p w14:paraId="70EEF79A">
      <w:pPr>
        <w:keepNext w:val="0"/>
        <w:keepLines w:val="0"/>
        <w:pageBreakBefore w:val="0"/>
        <w:widowControl w:val="0"/>
        <w:numPr>
          <w:ilvl w:val="0"/>
          <w:numId w:val="6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鼓风机采用噪音等级：≤65dB</w:t>
      </w:r>
      <w:r>
        <w:rPr>
          <w:rFonts w:hint="eastAsia" w:ascii="Times New Roman" w:hAnsi="Times New Roman" w:eastAsia="宋体" w:cs="Times New Roman"/>
          <w:sz w:val="24"/>
          <w:lang w:eastAsia="zh-CN"/>
        </w:rPr>
        <w:t>。</w:t>
      </w:r>
    </w:p>
    <w:p w14:paraId="6179518D">
      <w:pPr>
        <w:keepNext w:val="0"/>
        <w:keepLines w:val="0"/>
        <w:pageBreakBefore w:val="0"/>
        <w:widowControl w:val="0"/>
        <w:numPr>
          <w:ilvl w:val="0"/>
          <w:numId w:val="6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设备必须满足国家安全防火要求</w:t>
      </w:r>
      <w:r>
        <w:rPr>
          <w:rFonts w:hint="eastAsia" w:ascii="Times New Roman" w:hAnsi="Times New Roman" w:eastAsia="宋体" w:cs="Times New Roman"/>
          <w:sz w:val="24"/>
          <w:lang w:eastAsia="zh-CN"/>
        </w:rPr>
        <w:t>。</w:t>
      </w:r>
    </w:p>
    <w:p w14:paraId="488BD3A2">
      <w:pPr>
        <w:keepNext w:val="0"/>
        <w:keepLines w:val="0"/>
        <w:pageBreakBefore w:val="0"/>
        <w:widowControl w:val="0"/>
        <w:numPr>
          <w:ilvl w:val="0"/>
          <w:numId w:val="6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系统发热元件有过热保护功能，当元件过热时加热系统自动关闭并报警；</w:t>
      </w:r>
    </w:p>
    <w:p w14:paraId="6ED6E3A8">
      <w:pPr>
        <w:keepNext w:val="0"/>
        <w:keepLines w:val="0"/>
        <w:pageBreakBefore w:val="0"/>
        <w:widowControl w:val="0"/>
        <w:numPr>
          <w:ilvl w:val="0"/>
          <w:numId w:val="6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要求电控系统在加热箱体外，维修操作方便</w:t>
      </w:r>
      <w:r>
        <w:rPr>
          <w:rFonts w:hint="eastAsia" w:ascii="Times New Roman" w:hAnsi="Times New Roman" w:eastAsia="宋体" w:cs="Times New Roman"/>
          <w:sz w:val="24"/>
          <w:lang w:eastAsia="zh-CN"/>
        </w:rPr>
        <w:t>。</w:t>
      </w:r>
    </w:p>
    <w:p w14:paraId="5D993AC3">
      <w:pPr>
        <w:keepNext w:val="0"/>
        <w:keepLines w:val="0"/>
        <w:pageBreakBefore w:val="0"/>
        <w:widowControl w:val="0"/>
        <w:numPr>
          <w:ilvl w:val="0"/>
          <w:numId w:val="6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电气系统所有与加热环境接触的电缆、元件，必须使用耐热阻燃材质（如阻燃线），不因温度过高而影响使用性能，导致加速老化</w:t>
      </w:r>
      <w:r>
        <w:rPr>
          <w:rFonts w:hint="eastAsia" w:ascii="Times New Roman" w:hAnsi="Times New Roman" w:eastAsia="宋体" w:cs="Times New Roman"/>
          <w:sz w:val="24"/>
          <w:lang w:eastAsia="zh-CN"/>
        </w:rPr>
        <w:t>。</w:t>
      </w:r>
    </w:p>
    <w:p w14:paraId="52AA9D33">
      <w:pPr>
        <w:keepNext w:val="0"/>
        <w:keepLines w:val="0"/>
        <w:pageBreakBefore w:val="0"/>
        <w:widowControl w:val="0"/>
        <w:numPr>
          <w:ilvl w:val="0"/>
          <w:numId w:val="68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可靠的接地措施及漏电保护装置</w:t>
      </w:r>
      <w:r>
        <w:rPr>
          <w:rFonts w:hint="eastAsia" w:ascii="Times New Roman" w:hAnsi="Times New Roman" w:eastAsia="宋体" w:cs="Times New Roman"/>
          <w:sz w:val="24"/>
          <w:lang w:eastAsia="zh-CN"/>
        </w:rPr>
        <w:t>。</w:t>
      </w:r>
    </w:p>
    <w:p w14:paraId="13F03DF5">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KBK设备技术要求</w:t>
      </w:r>
    </w:p>
    <w:p w14:paraId="6B3DD1CC">
      <w:pPr>
        <w:keepNext w:val="0"/>
        <w:keepLines w:val="0"/>
        <w:pageBreakBefore w:val="0"/>
        <w:widowControl w:val="0"/>
        <w:numPr>
          <w:ilvl w:val="0"/>
          <w:numId w:val="687"/>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概述</w:t>
      </w:r>
    </w:p>
    <w:p w14:paraId="5DF418A8">
      <w:pPr>
        <w:keepNext w:val="0"/>
        <w:keepLines w:val="0"/>
        <w:pageBreakBefore w:val="0"/>
        <w:widowControl w:val="0"/>
        <w:kinsoku/>
        <w:overflowPunct/>
        <w:topLinePunct w:val="0"/>
        <w:bidi w:val="0"/>
        <w:adjustRightInd w:val="0"/>
        <w:snapToGrid w:val="0"/>
        <w:spacing w:afterAutospacing="0"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KBK是主要由钢结构、轨道、小车、轨道端头阻挡、扁平电缆、电缆小车、电动葫芦、吊具组成的柔性悬挂起重设备。在本项目中KBK布置于各工艺段。根据线体要求，其钢结构立柱及跨距有所不同。</w:t>
      </w:r>
    </w:p>
    <w:p w14:paraId="3B3C9630">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宋体"/>
          <w:sz w:val="24"/>
          <w:szCs w:val="24"/>
        </w:rPr>
      </w:pPr>
      <w:r>
        <w:rPr>
          <w:rFonts w:ascii="宋体" w:hAnsi="宋体" w:eastAsia="宋体" w:cs="宋体"/>
          <w:sz w:val="24"/>
          <w:szCs w:val="24"/>
        </w:rPr>
        <w:drawing>
          <wp:inline distT="0" distB="0" distL="114300" distR="114300">
            <wp:extent cx="4439285" cy="2664460"/>
            <wp:effectExtent l="0" t="0" r="10795" b="2540"/>
            <wp:docPr id="10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3"/>
                    <pic:cNvPicPr>
                      <a:picLocks noChangeAspect="1"/>
                    </pic:cNvPicPr>
                  </pic:nvPicPr>
                  <pic:blipFill>
                    <a:blip r:embed="rId71"/>
                    <a:stretch>
                      <a:fillRect/>
                    </a:stretch>
                  </pic:blipFill>
                  <pic:spPr>
                    <a:xfrm>
                      <a:off x="0" y="0"/>
                      <a:ext cx="4439285" cy="2664460"/>
                    </a:xfrm>
                    <a:prstGeom prst="rect">
                      <a:avLst/>
                    </a:prstGeom>
                    <a:noFill/>
                    <a:ln>
                      <a:noFill/>
                    </a:ln>
                  </pic:spPr>
                </pic:pic>
              </a:graphicData>
            </a:graphic>
          </wp:inline>
        </w:drawing>
      </w:r>
    </w:p>
    <w:p w14:paraId="1BE8902A">
      <w:pPr>
        <w:keepNext w:val="0"/>
        <w:keepLines w:val="0"/>
        <w:pageBreakBefore w:val="0"/>
        <w:widowControl w:val="0"/>
        <w:numPr>
          <w:ilvl w:val="0"/>
          <w:numId w:val="687"/>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 xml:space="preserve">主要设备构成 </w:t>
      </w:r>
    </w:p>
    <w:tbl>
      <w:tblPr>
        <w:tblStyle w:val="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6"/>
        <w:gridCol w:w="2492"/>
        <w:gridCol w:w="2724"/>
        <w:gridCol w:w="824"/>
        <w:gridCol w:w="811"/>
        <w:gridCol w:w="1973"/>
      </w:tblGrid>
      <w:tr w14:paraId="4BF6B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8" w:type="pct"/>
            <w:vAlign w:val="center"/>
          </w:tcPr>
          <w:p w14:paraId="566C9FE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序号</w:t>
            </w:r>
          </w:p>
        </w:tc>
        <w:tc>
          <w:tcPr>
            <w:tcW w:w="1291" w:type="pct"/>
            <w:vAlign w:val="center"/>
          </w:tcPr>
          <w:p w14:paraId="41522DF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设备名称</w:t>
            </w:r>
          </w:p>
        </w:tc>
        <w:tc>
          <w:tcPr>
            <w:tcW w:w="1411" w:type="pct"/>
            <w:vAlign w:val="center"/>
          </w:tcPr>
          <w:p w14:paraId="04B7240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技术参数</w:t>
            </w:r>
          </w:p>
        </w:tc>
        <w:tc>
          <w:tcPr>
            <w:tcW w:w="427" w:type="pct"/>
            <w:vAlign w:val="center"/>
          </w:tcPr>
          <w:p w14:paraId="4E98B1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数量</w:t>
            </w:r>
          </w:p>
        </w:tc>
        <w:tc>
          <w:tcPr>
            <w:tcW w:w="420" w:type="pct"/>
            <w:vAlign w:val="center"/>
          </w:tcPr>
          <w:p w14:paraId="7A72BB0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单位</w:t>
            </w:r>
          </w:p>
        </w:tc>
        <w:tc>
          <w:tcPr>
            <w:tcW w:w="1022" w:type="pct"/>
            <w:vAlign w:val="center"/>
          </w:tcPr>
          <w:p w14:paraId="54CDBEF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备注</w:t>
            </w:r>
          </w:p>
        </w:tc>
      </w:tr>
      <w:tr w14:paraId="264AB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exact"/>
        </w:trPr>
        <w:tc>
          <w:tcPr>
            <w:tcW w:w="428" w:type="pct"/>
            <w:vAlign w:val="center"/>
          </w:tcPr>
          <w:p w14:paraId="33C09D7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1</w:t>
            </w:r>
          </w:p>
        </w:tc>
        <w:tc>
          <w:tcPr>
            <w:tcW w:w="1291" w:type="pct"/>
            <w:vAlign w:val="center"/>
          </w:tcPr>
          <w:p w14:paraId="0F64512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KBK</w:t>
            </w:r>
          </w:p>
        </w:tc>
        <w:tc>
          <w:tcPr>
            <w:tcW w:w="1411" w:type="pct"/>
            <w:vAlign w:val="center"/>
          </w:tcPr>
          <w:p w14:paraId="7B93CF6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7.2mx6m</w:t>
            </w:r>
          </w:p>
          <w:p w14:paraId="3637650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载荷</w:t>
            </w:r>
            <w:r>
              <w:rPr>
                <w:rFonts w:ascii="宋体" w:hAnsi="宋体" w:eastAsia="宋体" w:cs="宋体"/>
                <w:kern w:val="0"/>
                <w:sz w:val="24"/>
                <w:szCs w:val="24"/>
              </w:rPr>
              <w:t>500kg</w:t>
            </w:r>
          </w:p>
        </w:tc>
        <w:tc>
          <w:tcPr>
            <w:tcW w:w="427" w:type="pct"/>
            <w:vAlign w:val="center"/>
          </w:tcPr>
          <w:p w14:paraId="6634E7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ascii="宋体" w:hAnsi="宋体" w:eastAsia="宋体" w:cs="宋体"/>
                <w:kern w:val="0"/>
                <w:sz w:val="24"/>
                <w:szCs w:val="24"/>
              </w:rPr>
              <w:t>8</w:t>
            </w:r>
          </w:p>
        </w:tc>
        <w:tc>
          <w:tcPr>
            <w:tcW w:w="420" w:type="pct"/>
            <w:vAlign w:val="center"/>
          </w:tcPr>
          <w:p w14:paraId="59C0860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套</w:t>
            </w:r>
          </w:p>
        </w:tc>
        <w:tc>
          <w:tcPr>
            <w:tcW w:w="1022" w:type="pct"/>
            <w:vAlign w:val="center"/>
          </w:tcPr>
          <w:p w14:paraId="01DB490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kern w:val="0"/>
                <w:sz w:val="24"/>
                <w:szCs w:val="24"/>
              </w:rPr>
            </w:pPr>
            <w:r>
              <w:rPr>
                <w:rFonts w:hint="eastAsia" w:ascii="宋体" w:hAnsi="宋体" w:eastAsia="宋体" w:cs="宋体"/>
                <w:kern w:val="0"/>
                <w:sz w:val="24"/>
                <w:szCs w:val="24"/>
              </w:rPr>
              <w:t>含手动吊具</w:t>
            </w:r>
          </w:p>
        </w:tc>
      </w:tr>
    </w:tbl>
    <w:p w14:paraId="6C698605">
      <w:pPr>
        <w:keepNext w:val="0"/>
        <w:keepLines w:val="0"/>
        <w:pageBreakBefore w:val="0"/>
        <w:widowControl w:val="0"/>
        <w:numPr>
          <w:ilvl w:val="0"/>
          <w:numId w:val="687"/>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设备详细技术说明</w:t>
      </w:r>
    </w:p>
    <w:p w14:paraId="73FF0538">
      <w:pPr>
        <w:keepNext w:val="0"/>
        <w:keepLines w:val="0"/>
        <w:pageBreakBefore w:val="0"/>
        <w:widowControl w:val="0"/>
        <w:numPr>
          <w:ilvl w:val="0"/>
          <w:numId w:val="6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KBK系统的钢结构由立柱和辅梁组成，立柱在地面使用化学螺栓固定，立柱顶端使用压板放置辅梁。根据承载的要求不同，立柱和辅梁的规格和高度、长度会有不同的变化。</w:t>
      </w:r>
    </w:p>
    <w:p w14:paraId="64E78789">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Arial"/>
          <w:sz w:val="24"/>
          <w:szCs w:val="20"/>
        </w:rPr>
      </w:pPr>
      <w:r>
        <w:rPr>
          <w:rFonts w:ascii="宋体" w:hAnsi="宋体" w:eastAsia="宋体" w:cs="Times New Roman"/>
          <w:sz w:val="24"/>
          <w:szCs w:val="20"/>
        </w:rPr>
        <w:drawing>
          <wp:inline distT="0" distB="0" distL="114300" distR="114300">
            <wp:extent cx="2438400" cy="2195830"/>
            <wp:effectExtent l="0" t="0" r="0" b="13970"/>
            <wp:docPr id="10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
                    <pic:cNvPicPr>
                      <a:picLocks noChangeAspect="1"/>
                    </pic:cNvPicPr>
                  </pic:nvPicPr>
                  <pic:blipFill>
                    <a:blip r:embed="rId72"/>
                    <a:stretch>
                      <a:fillRect/>
                    </a:stretch>
                  </pic:blipFill>
                  <pic:spPr>
                    <a:xfrm>
                      <a:off x="0" y="0"/>
                      <a:ext cx="2460085" cy="2215579"/>
                    </a:xfrm>
                    <a:prstGeom prst="rect">
                      <a:avLst/>
                    </a:prstGeom>
                    <a:noFill/>
                    <a:ln>
                      <a:noFill/>
                    </a:ln>
                  </pic:spPr>
                </pic:pic>
              </a:graphicData>
            </a:graphic>
          </wp:inline>
        </w:drawing>
      </w:r>
    </w:p>
    <w:p w14:paraId="0ED4EA41">
      <w:pPr>
        <w:keepNext w:val="0"/>
        <w:keepLines w:val="0"/>
        <w:pageBreakBefore w:val="0"/>
        <w:widowControl w:val="0"/>
        <w:numPr>
          <w:ilvl w:val="0"/>
          <w:numId w:val="6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 xml:space="preserve">KBK轨道吊挂于钢结构立柱间的辅梁上，使用专用的轨道挂件挂于辅梁底下，并通过相应的调节螺杆调整轨道水平。小车于轨道内侧滑行，两侧有端头盖板限位。在轨道和辅梁之间，使用钢丝绳作二次保护，以最大限度的保障人员和设备的安全。 </w:t>
      </w:r>
    </w:p>
    <w:p w14:paraId="1E8E444B">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sz w:val="24"/>
          <w:szCs w:val="20"/>
        </w:rPr>
      </w:pPr>
      <w:r>
        <w:rPr>
          <w:rFonts w:ascii="宋体" w:hAnsi="宋体" w:eastAsia="宋体" w:cs="Times New Roman"/>
          <w:sz w:val="24"/>
          <w:szCs w:val="20"/>
        </w:rPr>
        <w:drawing>
          <wp:inline distT="0" distB="0" distL="114300" distR="114300">
            <wp:extent cx="3483610" cy="2068195"/>
            <wp:effectExtent l="0" t="0" r="6350" b="4445"/>
            <wp:docPr id="1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
                    <pic:cNvPicPr>
                      <a:picLocks noChangeAspect="1"/>
                    </pic:cNvPicPr>
                  </pic:nvPicPr>
                  <pic:blipFill>
                    <a:blip r:embed="rId73"/>
                    <a:stretch>
                      <a:fillRect/>
                    </a:stretch>
                  </pic:blipFill>
                  <pic:spPr>
                    <a:xfrm>
                      <a:off x="0" y="0"/>
                      <a:ext cx="3483610" cy="2068195"/>
                    </a:xfrm>
                    <a:prstGeom prst="rect">
                      <a:avLst/>
                    </a:prstGeom>
                    <a:noFill/>
                    <a:ln>
                      <a:noFill/>
                    </a:ln>
                  </pic:spPr>
                </pic:pic>
              </a:graphicData>
            </a:graphic>
          </wp:inline>
        </w:drawing>
      </w:r>
    </w:p>
    <w:p w14:paraId="47912DFA">
      <w:pPr>
        <w:keepNext w:val="0"/>
        <w:keepLines w:val="0"/>
        <w:pageBreakBefore w:val="0"/>
        <w:widowControl w:val="0"/>
        <w:numPr>
          <w:ilvl w:val="0"/>
          <w:numId w:val="6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电动葫芦通过吊耳与小车联接，葫芦挂钩位置放置不同类型的手动吊具。上升下降通过葫芦的手电门进行控制。小车和轨道的位置通过人工拖拽进行移动</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lang w:val="en-US" w:eastAsia="zh-CN"/>
        </w:rPr>
        <w:t>轨道两端带有限位装置</w:t>
      </w:r>
      <w:r>
        <w:rPr>
          <w:rFonts w:ascii="Times New Roman" w:hAnsi="Times New Roman" w:eastAsia="宋体" w:cs="Times New Roman"/>
          <w:sz w:val="24"/>
        </w:rPr>
        <w:t>。</w:t>
      </w:r>
    </w:p>
    <w:p w14:paraId="28FE6F14">
      <w:pPr>
        <w:keepNext w:val="0"/>
        <w:keepLines w:val="0"/>
        <w:pageBreakBefore w:val="0"/>
        <w:widowControl w:val="0"/>
        <w:numPr>
          <w:ilvl w:val="0"/>
          <w:numId w:val="68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葫芦通过电缆滑车、扁平电缆和电缆夹进行供电，使整个KBK覆盖的范围均可以控制葫芦的升降作业。</w:t>
      </w:r>
    </w:p>
    <w:p w14:paraId="73B4177F">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生产辅助工具及设备技术要求</w:t>
      </w:r>
    </w:p>
    <w:p w14:paraId="5DD45E25">
      <w:pPr>
        <w:keepNext w:val="0"/>
        <w:keepLines w:val="0"/>
        <w:pageBreakBefore w:val="0"/>
        <w:widowControl w:val="0"/>
        <w:numPr>
          <w:ilvl w:val="0"/>
          <w:numId w:val="689"/>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bCs/>
          <w:sz w:val="24"/>
        </w:rPr>
      </w:pPr>
      <w:r>
        <w:rPr>
          <w:rFonts w:ascii="Times New Roman" w:hAnsi="Times New Roman" w:eastAsia="宋体" w:cs="Times New Roman"/>
          <w:b/>
          <w:bCs/>
          <w:sz w:val="24"/>
        </w:rPr>
        <w:t>货物需求表</w:t>
      </w:r>
    </w:p>
    <w:tbl>
      <w:tblPr>
        <w:tblStyle w:val="4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2147"/>
        <w:gridCol w:w="866"/>
        <w:gridCol w:w="907"/>
        <w:gridCol w:w="2773"/>
        <w:gridCol w:w="1356"/>
      </w:tblGrid>
      <w:tr w14:paraId="397E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3EC7372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2147" w:type="dxa"/>
            <w:shd w:val="clear" w:color="auto" w:fill="auto"/>
            <w:vAlign w:val="center"/>
          </w:tcPr>
          <w:p w14:paraId="0571F87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866" w:type="dxa"/>
            <w:shd w:val="clear" w:color="auto" w:fill="auto"/>
            <w:vAlign w:val="center"/>
          </w:tcPr>
          <w:p w14:paraId="6AA796F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907" w:type="dxa"/>
            <w:shd w:val="clear" w:color="auto" w:fill="auto"/>
            <w:vAlign w:val="center"/>
          </w:tcPr>
          <w:p w14:paraId="11056ED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2773" w:type="dxa"/>
            <w:shd w:val="clear" w:color="auto" w:fill="auto"/>
            <w:vAlign w:val="center"/>
          </w:tcPr>
          <w:p w14:paraId="7F8BBA6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规格</w:t>
            </w:r>
          </w:p>
        </w:tc>
        <w:tc>
          <w:tcPr>
            <w:tcW w:w="1356" w:type="dxa"/>
            <w:shd w:val="clear" w:color="auto" w:fill="auto"/>
            <w:vAlign w:val="center"/>
          </w:tcPr>
          <w:p w14:paraId="67C3B3A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2857A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2C80F0C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2147" w:type="dxa"/>
            <w:shd w:val="clear" w:color="auto" w:fill="auto"/>
            <w:vAlign w:val="center"/>
          </w:tcPr>
          <w:p w14:paraId="288DB1E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电池冲击工具</w:t>
            </w:r>
          </w:p>
        </w:tc>
        <w:tc>
          <w:tcPr>
            <w:tcW w:w="866" w:type="dxa"/>
            <w:shd w:val="clear" w:color="auto" w:fill="auto"/>
            <w:vAlign w:val="center"/>
          </w:tcPr>
          <w:p w14:paraId="57601B7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50</w:t>
            </w:r>
          </w:p>
        </w:tc>
        <w:tc>
          <w:tcPr>
            <w:tcW w:w="907" w:type="dxa"/>
            <w:shd w:val="clear" w:color="auto" w:fill="auto"/>
            <w:vAlign w:val="center"/>
          </w:tcPr>
          <w:p w14:paraId="6845975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2773" w:type="dxa"/>
            <w:shd w:val="clear" w:color="auto" w:fill="auto"/>
            <w:vAlign w:val="center"/>
          </w:tcPr>
          <w:p w14:paraId="28EDFB2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锂电池两电一充</w:t>
            </w:r>
          </w:p>
        </w:tc>
        <w:tc>
          <w:tcPr>
            <w:tcW w:w="1356" w:type="dxa"/>
            <w:shd w:val="clear" w:color="auto" w:fill="auto"/>
            <w:vAlign w:val="center"/>
          </w:tcPr>
          <w:p w14:paraId="6B6B6FD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0A75A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49628D1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2147" w:type="dxa"/>
            <w:shd w:val="clear" w:color="auto" w:fill="auto"/>
            <w:vAlign w:val="center"/>
          </w:tcPr>
          <w:p w14:paraId="6F223F5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扭力扳手</w:t>
            </w:r>
          </w:p>
        </w:tc>
        <w:tc>
          <w:tcPr>
            <w:tcW w:w="866" w:type="dxa"/>
            <w:shd w:val="clear" w:color="auto" w:fill="auto"/>
            <w:vAlign w:val="center"/>
          </w:tcPr>
          <w:p w14:paraId="700C80B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20</w:t>
            </w:r>
          </w:p>
        </w:tc>
        <w:tc>
          <w:tcPr>
            <w:tcW w:w="907" w:type="dxa"/>
            <w:shd w:val="clear" w:color="auto" w:fill="auto"/>
            <w:vAlign w:val="center"/>
          </w:tcPr>
          <w:p w14:paraId="720E555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7E74014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锂电池两电一充</w:t>
            </w:r>
          </w:p>
        </w:tc>
        <w:tc>
          <w:tcPr>
            <w:tcW w:w="1356" w:type="dxa"/>
            <w:shd w:val="clear" w:color="auto" w:fill="auto"/>
            <w:vAlign w:val="center"/>
          </w:tcPr>
          <w:p w14:paraId="785F06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DB5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04B69F0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2147" w:type="dxa"/>
            <w:shd w:val="clear" w:color="auto" w:fill="auto"/>
            <w:vAlign w:val="center"/>
          </w:tcPr>
          <w:p w14:paraId="16B1E72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无线数显扭力扳手</w:t>
            </w:r>
          </w:p>
        </w:tc>
        <w:tc>
          <w:tcPr>
            <w:tcW w:w="866" w:type="dxa"/>
            <w:shd w:val="clear" w:color="auto" w:fill="auto"/>
            <w:vAlign w:val="center"/>
          </w:tcPr>
          <w:p w14:paraId="46DCD33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907" w:type="dxa"/>
            <w:shd w:val="clear" w:color="auto" w:fill="auto"/>
            <w:vAlign w:val="center"/>
          </w:tcPr>
          <w:p w14:paraId="333D29A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把</w:t>
            </w:r>
          </w:p>
        </w:tc>
        <w:tc>
          <w:tcPr>
            <w:tcW w:w="2773" w:type="dxa"/>
            <w:shd w:val="clear" w:color="auto" w:fill="auto"/>
            <w:vAlign w:val="center"/>
          </w:tcPr>
          <w:p w14:paraId="513216F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356" w:type="dxa"/>
            <w:shd w:val="clear" w:color="auto" w:fill="auto"/>
            <w:vAlign w:val="center"/>
          </w:tcPr>
          <w:p w14:paraId="3A7ACC6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1F996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56196A6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2147" w:type="dxa"/>
            <w:shd w:val="clear" w:color="auto" w:fill="auto"/>
            <w:vAlign w:val="center"/>
          </w:tcPr>
          <w:p w14:paraId="31A21AB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套筒</w:t>
            </w:r>
          </w:p>
        </w:tc>
        <w:tc>
          <w:tcPr>
            <w:tcW w:w="866" w:type="dxa"/>
            <w:shd w:val="clear" w:color="auto" w:fill="auto"/>
            <w:vAlign w:val="center"/>
          </w:tcPr>
          <w:p w14:paraId="5978D5D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150</w:t>
            </w:r>
          </w:p>
        </w:tc>
        <w:tc>
          <w:tcPr>
            <w:tcW w:w="907" w:type="dxa"/>
            <w:shd w:val="clear" w:color="auto" w:fill="auto"/>
            <w:vAlign w:val="center"/>
          </w:tcPr>
          <w:p w14:paraId="7353374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3014FFA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356" w:type="dxa"/>
            <w:shd w:val="clear" w:color="auto" w:fill="auto"/>
            <w:vAlign w:val="center"/>
          </w:tcPr>
          <w:p w14:paraId="6343198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6C0B4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7D59DF9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2147" w:type="dxa"/>
            <w:shd w:val="clear" w:color="auto" w:fill="auto"/>
            <w:vAlign w:val="center"/>
          </w:tcPr>
          <w:p w14:paraId="6B9AADD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踏台</w:t>
            </w:r>
          </w:p>
        </w:tc>
        <w:tc>
          <w:tcPr>
            <w:tcW w:w="866" w:type="dxa"/>
            <w:shd w:val="clear" w:color="auto" w:fill="auto"/>
            <w:vAlign w:val="center"/>
          </w:tcPr>
          <w:p w14:paraId="4BE905EE">
            <w:pPr>
              <w:keepNext w:val="0"/>
              <w:keepLines w:val="0"/>
              <w:pageBreakBefore w:val="0"/>
              <w:kinsoku/>
              <w:overflowPunct/>
              <w:topLinePunct w:val="0"/>
              <w:bidi w:val="0"/>
              <w:adjustRightInd w:val="0"/>
              <w:snapToGrid w:val="0"/>
              <w:spacing w:afterAutospacing="0" w:line="24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40</w:t>
            </w:r>
          </w:p>
        </w:tc>
        <w:tc>
          <w:tcPr>
            <w:tcW w:w="907" w:type="dxa"/>
            <w:shd w:val="clear" w:color="auto" w:fill="auto"/>
            <w:vAlign w:val="center"/>
          </w:tcPr>
          <w:p w14:paraId="2D50DAB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米</w:t>
            </w:r>
          </w:p>
        </w:tc>
        <w:tc>
          <w:tcPr>
            <w:tcW w:w="2773" w:type="dxa"/>
            <w:shd w:val="clear" w:color="auto" w:fill="auto"/>
            <w:vAlign w:val="center"/>
          </w:tcPr>
          <w:p w14:paraId="51F9F51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非标</w:t>
            </w:r>
          </w:p>
        </w:tc>
        <w:tc>
          <w:tcPr>
            <w:tcW w:w="1356" w:type="dxa"/>
            <w:shd w:val="clear" w:color="auto" w:fill="auto"/>
            <w:vAlign w:val="center"/>
          </w:tcPr>
          <w:p w14:paraId="7B31B04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21EAA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135504D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6</w:t>
            </w:r>
          </w:p>
        </w:tc>
        <w:tc>
          <w:tcPr>
            <w:tcW w:w="2147" w:type="dxa"/>
            <w:shd w:val="clear" w:color="auto" w:fill="auto"/>
            <w:vAlign w:val="center"/>
          </w:tcPr>
          <w:p w14:paraId="02CF90B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分装台</w:t>
            </w:r>
          </w:p>
        </w:tc>
        <w:tc>
          <w:tcPr>
            <w:tcW w:w="866" w:type="dxa"/>
            <w:shd w:val="clear" w:color="auto" w:fill="auto"/>
            <w:vAlign w:val="center"/>
          </w:tcPr>
          <w:p w14:paraId="4C9BE9F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20</w:t>
            </w:r>
          </w:p>
        </w:tc>
        <w:tc>
          <w:tcPr>
            <w:tcW w:w="907" w:type="dxa"/>
            <w:shd w:val="clear" w:color="auto" w:fill="auto"/>
            <w:vAlign w:val="center"/>
          </w:tcPr>
          <w:p w14:paraId="105B780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1A9C002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非标</w:t>
            </w:r>
          </w:p>
        </w:tc>
        <w:tc>
          <w:tcPr>
            <w:tcW w:w="1356" w:type="dxa"/>
            <w:shd w:val="clear" w:color="auto" w:fill="auto"/>
            <w:vAlign w:val="center"/>
          </w:tcPr>
          <w:p w14:paraId="162F927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1928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18710E4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7</w:t>
            </w:r>
          </w:p>
        </w:tc>
        <w:tc>
          <w:tcPr>
            <w:tcW w:w="2147" w:type="dxa"/>
            <w:shd w:val="clear" w:color="auto" w:fill="auto"/>
            <w:vAlign w:val="center"/>
          </w:tcPr>
          <w:p w14:paraId="0833D35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轮胎动平衡机</w:t>
            </w:r>
          </w:p>
        </w:tc>
        <w:tc>
          <w:tcPr>
            <w:tcW w:w="866" w:type="dxa"/>
            <w:shd w:val="clear" w:color="auto" w:fill="auto"/>
            <w:vAlign w:val="center"/>
          </w:tcPr>
          <w:p w14:paraId="763F2D5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907" w:type="dxa"/>
            <w:shd w:val="clear" w:color="auto" w:fill="auto"/>
            <w:vAlign w:val="center"/>
          </w:tcPr>
          <w:p w14:paraId="4D2EC86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69E44D5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356" w:type="dxa"/>
            <w:shd w:val="clear" w:color="auto" w:fill="auto"/>
            <w:vAlign w:val="center"/>
          </w:tcPr>
          <w:p w14:paraId="721B57E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74EE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4364B24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8</w:t>
            </w:r>
          </w:p>
        </w:tc>
        <w:tc>
          <w:tcPr>
            <w:tcW w:w="2147" w:type="dxa"/>
            <w:shd w:val="clear" w:color="auto" w:fill="auto"/>
            <w:vAlign w:val="center"/>
          </w:tcPr>
          <w:p w14:paraId="6ED96B2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轮胎拆装机</w:t>
            </w:r>
          </w:p>
        </w:tc>
        <w:tc>
          <w:tcPr>
            <w:tcW w:w="866" w:type="dxa"/>
            <w:shd w:val="clear" w:color="auto" w:fill="auto"/>
            <w:vAlign w:val="center"/>
          </w:tcPr>
          <w:p w14:paraId="1F87F93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907" w:type="dxa"/>
            <w:shd w:val="clear" w:color="auto" w:fill="auto"/>
            <w:vAlign w:val="center"/>
          </w:tcPr>
          <w:p w14:paraId="066DF41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59FF383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c>
          <w:tcPr>
            <w:tcW w:w="1356" w:type="dxa"/>
            <w:shd w:val="clear" w:color="auto" w:fill="auto"/>
            <w:vAlign w:val="center"/>
          </w:tcPr>
          <w:p w14:paraId="5CA2168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31033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46AE866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9</w:t>
            </w:r>
          </w:p>
        </w:tc>
        <w:tc>
          <w:tcPr>
            <w:tcW w:w="2147" w:type="dxa"/>
            <w:shd w:val="clear" w:color="auto" w:fill="auto"/>
            <w:vAlign w:val="center"/>
          </w:tcPr>
          <w:p w14:paraId="20849E0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手动升降台车</w:t>
            </w:r>
          </w:p>
        </w:tc>
        <w:tc>
          <w:tcPr>
            <w:tcW w:w="866" w:type="dxa"/>
            <w:shd w:val="clear" w:color="auto" w:fill="auto"/>
            <w:vAlign w:val="center"/>
          </w:tcPr>
          <w:p w14:paraId="47A8BB5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907" w:type="dxa"/>
            <w:shd w:val="clear" w:color="auto" w:fill="auto"/>
            <w:vAlign w:val="center"/>
          </w:tcPr>
          <w:p w14:paraId="08437687">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0697439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2m</w:t>
            </w:r>
            <w:r>
              <w:rPr>
                <w:rFonts w:hint="eastAsia" w:ascii="宋体" w:hAnsi="宋体" w:eastAsia="宋体" w:cs="宋体"/>
                <w:sz w:val="24"/>
                <w:szCs w:val="24"/>
              </w:rPr>
              <w:t>举升行程；电动升降</w:t>
            </w:r>
          </w:p>
        </w:tc>
        <w:tc>
          <w:tcPr>
            <w:tcW w:w="1356" w:type="dxa"/>
            <w:shd w:val="clear" w:color="auto" w:fill="auto"/>
            <w:vAlign w:val="center"/>
          </w:tcPr>
          <w:p w14:paraId="3D00E95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r w14:paraId="4772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5" w:type="dxa"/>
            <w:shd w:val="clear" w:color="auto" w:fill="auto"/>
            <w:vAlign w:val="center"/>
          </w:tcPr>
          <w:p w14:paraId="4EE7F08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10</w:t>
            </w:r>
          </w:p>
        </w:tc>
        <w:tc>
          <w:tcPr>
            <w:tcW w:w="2147" w:type="dxa"/>
            <w:shd w:val="clear" w:color="auto" w:fill="auto"/>
            <w:vAlign w:val="center"/>
          </w:tcPr>
          <w:p w14:paraId="282308E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电动牵引车</w:t>
            </w:r>
          </w:p>
        </w:tc>
        <w:tc>
          <w:tcPr>
            <w:tcW w:w="866" w:type="dxa"/>
            <w:shd w:val="clear" w:color="auto" w:fill="auto"/>
            <w:vAlign w:val="center"/>
          </w:tcPr>
          <w:p w14:paraId="2D0F6BB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907" w:type="dxa"/>
            <w:shd w:val="clear" w:color="auto" w:fill="auto"/>
            <w:vAlign w:val="center"/>
          </w:tcPr>
          <w:p w14:paraId="43A4DBE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个</w:t>
            </w:r>
          </w:p>
        </w:tc>
        <w:tc>
          <w:tcPr>
            <w:tcW w:w="2773" w:type="dxa"/>
            <w:shd w:val="clear" w:color="auto" w:fill="auto"/>
            <w:vAlign w:val="center"/>
          </w:tcPr>
          <w:p w14:paraId="29553CC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2T</w:t>
            </w:r>
          </w:p>
        </w:tc>
        <w:tc>
          <w:tcPr>
            <w:tcW w:w="1356" w:type="dxa"/>
            <w:shd w:val="clear" w:color="auto" w:fill="auto"/>
            <w:vAlign w:val="center"/>
          </w:tcPr>
          <w:p w14:paraId="0AA2075A">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p>
        </w:tc>
      </w:tr>
    </w:tbl>
    <w:p w14:paraId="723358BE">
      <w:pPr>
        <w:keepNext w:val="0"/>
        <w:keepLines w:val="0"/>
        <w:pageBreakBefore w:val="0"/>
        <w:widowControl w:val="0"/>
        <w:numPr>
          <w:ilvl w:val="0"/>
          <w:numId w:val="689"/>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bCs/>
          <w:sz w:val="24"/>
        </w:rPr>
      </w:pPr>
      <w:r>
        <w:rPr>
          <w:rFonts w:ascii="Times New Roman" w:hAnsi="Times New Roman" w:eastAsia="宋体" w:cs="Times New Roman"/>
          <w:b/>
          <w:bCs/>
          <w:sz w:val="24"/>
        </w:rPr>
        <w:t>技术要求</w:t>
      </w:r>
    </w:p>
    <w:p w14:paraId="092424D9">
      <w:pPr>
        <w:keepNext w:val="0"/>
        <w:keepLines w:val="0"/>
        <w:pageBreakBefore w:val="0"/>
        <w:widowControl w:val="0"/>
        <w:numPr>
          <w:ilvl w:val="0"/>
          <w:numId w:val="690"/>
        </w:numPr>
        <w:kinsoku/>
        <w:overflowPunct/>
        <w:topLinePunct w:val="0"/>
        <w:bidi w:val="0"/>
        <w:adjustRightInd w:val="0"/>
        <w:snapToGrid w:val="0"/>
        <w:spacing w:afterAutospacing="0" w:line="360" w:lineRule="auto"/>
        <w:ind w:left="0" w:leftChars="0" w:firstLine="0" w:firstLineChars="0"/>
        <w:rPr>
          <w:rFonts w:ascii="Times New Roman" w:hAnsi="Times New Roman" w:eastAsia="宋体" w:cs="Times New Roman"/>
          <w:b w:val="0"/>
          <w:sz w:val="24"/>
        </w:rPr>
      </w:pPr>
      <w:r>
        <w:rPr>
          <w:rFonts w:ascii="Times New Roman" w:hAnsi="Times New Roman" w:eastAsia="宋体" w:cs="Times New Roman"/>
          <w:b w:val="0"/>
          <w:sz w:val="24"/>
        </w:rPr>
        <w:t>踏台技术要求</w:t>
      </w:r>
    </w:p>
    <w:p w14:paraId="1440264A">
      <w:pPr>
        <w:keepNext w:val="0"/>
        <w:keepLines w:val="0"/>
        <w:pageBreakBefore w:val="0"/>
        <w:widowControl w:val="0"/>
        <w:numPr>
          <w:ilvl w:val="0"/>
          <w:numId w:val="6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踏台载荷为100kg/m</w:t>
      </w:r>
      <w:r>
        <w:rPr>
          <w:rFonts w:ascii="Times New Roman" w:hAnsi="Times New Roman" w:eastAsia="宋体" w:cs="Times New Roman"/>
          <w:sz w:val="24"/>
          <w:vertAlign w:val="superscript"/>
        </w:rPr>
        <w:t>2</w:t>
      </w:r>
      <w:r>
        <w:rPr>
          <w:rFonts w:ascii="Times New Roman" w:hAnsi="Times New Roman" w:eastAsia="宋体" w:cs="Times New Roman"/>
          <w:sz w:val="24"/>
        </w:rPr>
        <w:t>、上表面采用花纹钢板形式。</w:t>
      </w:r>
    </w:p>
    <w:p w14:paraId="5644DD4B">
      <w:pPr>
        <w:keepNext w:val="0"/>
        <w:keepLines w:val="0"/>
        <w:pageBreakBefore w:val="0"/>
        <w:widowControl w:val="0"/>
        <w:numPr>
          <w:ilvl w:val="0"/>
          <w:numId w:val="6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总长度</w:t>
      </w:r>
      <w:r>
        <w:rPr>
          <w:rFonts w:hint="eastAsia" w:ascii="Times New Roman" w:hAnsi="Times New Roman" w:eastAsia="宋体" w:cs="Times New Roman"/>
          <w:sz w:val="24"/>
          <w:lang w:val="en-US" w:eastAsia="zh-CN"/>
        </w:rPr>
        <w:t>4</w:t>
      </w:r>
      <w:r>
        <w:rPr>
          <w:rFonts w:ascii="Times New Roman" w:hAnsi="Times New Roman" w:eastAsia="宋体" w:cs="Times New Roman"/>
          <w:sz w:val="24"/>
        </w:rPr>
        <w:t>0米，单个踏台尺寸会签时决定。</w:t>
      </w:r>
    </w:p>
    <w:p w14:paraId="5CED4CA5">
      <w:pPr>
        <w:keepNext w:val="0"/>
        <w:keepLines w:val="0"/>
        <w:pageBreakBefore w:val="0"/>
        <w:widowControl w:val="0"/>
        <w:numPr>
          <w:ilvl w:val="0"/>
          <w:numId w:val="69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所有钢材器具必须采用静电喷涂，喷涂前要进行静电喷涂预处理，彻底清除构件表面的锈蚀和油污。要求喷涂表面厚度均匀，厚度为50-120μm。面漆整体色泽、光亮度保持一致，喷涂颜色以实际要求为准。</w:t>
      </w:r>
    </w:p>
    <w:p w14:paraId="0F83C75C">
      <w:pPr>
        <w:keepNext w:val="0"/>
        <w:keepLines w:val="0"/>
        <w:pageBreakBefore w:val="0"/>
        <w:widowControl w:val="0"/>
        <w:numPr>
          <w:ilvl w:val="0"/>
          <w:numId w:val="69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b w:val="0"/>
          <w:sz w:val="24"/>
        </w:rPr>
        <w:t>分装台技术要求</w:t>
      </w:r>
    </w:p>
    <w:p w14:paraId="0FBDA548">
      <w:pPr>
        <w:keepNext w:val="0"/>
        <w:keepLines w:val="0"/>
        <w:pageBreakBefore w:val="0"/>
        <w:widowControl w:val="0"/>
        <w:numPr>
          <w:ilvl w:val="0"/>
          <w:numId w:val="6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夹具框架采用40*40方钢或铝合金型材。</w:t>
      </w:r>
    </w:p>
    <w:p w14:paraId="7A7D42C7">
      <w:pPr>
        <w:keepNext w:val="0"/>
        <w:keepLines w:val="0"/>
        <w:pageBreakBefore w:val="0"/>
        <w:widowControl w:val="0"/>
        <w:numPr>
          <w:ilvl w:val="0"/>
          <w:numId w:val="6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与零部件接触部分采用软质材料，防止划伤、磕伤零部件。</w:t>
      </w:r>
    </w:p>
    <w:p w14:paraId="16C542F0">
      <w:pPr>
        <w:keepNext w:val="0"/>
        <w:keepLines w:val="0"/>
        <w:pageBreakBefore w:val="0"/>
        <w:widowControl w:val="0"/>
        <w:numPr>
          <w:ilvl w:val="0"/>
          <w:numId w:val="6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分装台定位牢固、操作简便。</w:t>
      </w:r>
    </w:p>
    <w:p w14:paraId="32267BB2">
      <w:pPr>
        <w:keepNext w:val="0"/>
        <w:keepLines w:val="0"/>
        <w:pageBreakBefore w:val="0"/>
        <w:widowControl w:val="0"/>
        <w:numPr>
          <w:ilvl w:val="0"/>
          <w:numId w:val="692"/>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所有钢材器具必须采用静电喷涂，喷涂前要进行静电喷涂预处理，彻底清除构件表面的锈蚀和油污。要求喷涂表面厚度均匀，厚度为50-120μm。面漆整体色泽、光亮度保持一致，喷涂颜色以实际要求为准。</w:t>
      </w:r>
    </w:p>
    <w:p w14:paraId="118ACE87">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具体分装台形式及使用用途以后续工装图纸会签为准</w:t>
      </w:r>
    </w:p>
    <w:p w14:paraId="4CF2BDE6">
      <w:pPr>
        <w:keepNext w:val="0"/>
        <w:keepLines w:val="0"/>
        <w:pageBreakBefore w:val="0"/>
        <w:widowControl w:val="0"/>
        <w:numPr>
          <w:ilvl w:val="0"/>
          <w:numId w:val="451"/>
        </w:numPr>
        <w:kinsoku/>
        <w:overflowPunct/>
        <w:topLinePunct w:val="0"/>
        <w:bidi w:val="0"/>
        <w:adjustRightInd w:val="0"/>
        <w:snapToGrid w:val="0"/>
        <w:spacing w:beforeAutospacing="0" w:afterAutospacing="0" w:line="360" w:lineRule="auto"/>
        <w:ind w:left="0" w:leftChars="0" w:firstLine="0" w:firstLineChars="0"/>
        <w:jc w:val="left"/>
        <w:outlineLvl w:val="2"/>
        <w:rPr>
          <w:rFonts w:ascii="Times New Roman" w:hAnsi="Times New Roman" w:eastAsia="宋体" w:cs="Times New Roman"/>
          <w:b/>
          <w:sz w:val="24"/>
        </w:rPr>
      </w:pPr>
      <w:r>
        <w:rPr>
          <w:rFonts w:ascii="Times New Roman" w:hAnsi="Times New Roman" w:eastAsia="宋体" w:cs="Times New Roman"/>
          <w:b/>
          <w:sz w:val="24"/>
        </w:rPr>
        <w:t>钢结构及支管线设备技术要求</w:t>
      </w:r>
    </w:p>
    <w:p w14:paraId="16270025">
      <w:pPr>
        <w:keepNext w:val="0"/>
        <w:keepLines w:val="0"/>
        <w:pageBreakBefore w:val="0"/>
        <w:widowControl w:val="0"/>
        <w:numPr>
          <w:ilvl w:val="0"/>
          <w:numId w:val="69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货物需求表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8"/>
        <w:gridCol w:w="2118"/>
        <w:gridCol w:w="905"/>
        <w:gridCol w:w="903"/>
        <w:gridCol w:w="4836"/>
      </w:tblGrid>
      <w:tr w14:paraId="41DBB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60" w:type="pct"/>
            <w:shd w:val="clear" w:color="auto" w:fill="auto"/>
            <w:vAlign w:val="center"/>
          </w:tcPr>
          <w:p w14:paraId="68C1A101">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序号</w:t>
            </w:r>
          </w:p>
        </w:tc>
        <w:tc>
          <w:tcPr>
            <w:tcW w:w="1097" w:type="pct"/>
            <w:shd w:val="clear" w:color="auto" w:fill="auto"/>
            <w:vAlign w:val="center"/>
          </w:tcPr>
          <w:p w14:paraId="066B955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设备名称</w:t>
            </w:r>
          </w:p>
        </w:tc>
        <w:tc>
          <w:tcPr>
            <w:tcW w:w="469" w:type="pct"/>
            <w:shd w:val="clear" w:color="auto" w:fill="auto"/>
            <w:vAlign w:val="center"/>
          </w:tcPr>
          <w:p w14:paraId="7217D06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数量</w:t>
            </w:r>
          </w:p>
        </w:tc>
        <w:tc>
          <w:tcPr>
            <w:tcW w:w="468" w:type="pct"/>
            <w:shd w:val="clear" w:color="auto" w:fill="auto"/>
            <w:vAlign w:val="center"/>
          </w:tcPr>
          <w:p w14:paraId="5F48B1D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单位</w:t>
            </w:r>
          </w:p>
        </w:tc>
        <w:tc>
          <w:tcPr>
            <w:tcW w:w="2505" w:type="pct"/>
            <w:shd w:val="clear" w:color="auto" w:fill="auto"/>
            <w:vAlign w:val="center"/>
          </w:tcPr>
          <w:p w14:paraId="766E675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备注</w:t>
            </w:r>
          </w:p>
        </w:tc>
      </w:tr>
      <w:tr w14:paraId="68F9F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4340AE2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1097" w:type="pct"/>
            <w:shd w:val="clear" w:color="auto" w:fill="auto"/>
            <w:vAlign w:val="center"/>
          </w:tcPr>
          <w:p w14:paraId="6517E36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钢结构</w:t>
            </w:r>
          </w:p>
        </w:tc>
        <w:tc>
          <w:tcPr>
            <w:tcW w:w="469" w:type="pct"/>
            <w:shd w:val="clear" w:color="auto" w:fill="auto"/>
            <w:vAlign w:val="center"/>
          </w:tcPr>
          <w:p w14:paraId="56DF46C4">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68" w:type="pct"/>
            <w:shd w:val="clear" w:color="auto" w:fill="auto"/>
            <w:vAlign w:val="center"/>
          </w:tcPr>
          <w:p w14:paraId="7595CD1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2505" w:type="pct"/>
            <w:shd w:val="clear" w:color="auto" w:fill="auto"/>
            <w:vAlign w:val="center"/>
          </w:tcPr>
          <w:p w14:paraId="4272088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利旧原厂钢结构</w:t>
            </w:r>
          </w:p>
        </w:tc>
      </w:tr>
      <w:tr w14:paraId="72A2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0E7FA1E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2</w:t>
            </w:r>
          </w:p>
        </w:tc>
        <w:tc>
          <w:tcPr>
            <w:tcW w:w="1097" w:type="pct"/>
            <w:shd w:val="clear" w:color="auto" w:fill="auto"/>
            <w:vAlign w:val="center"/>
          </w:tcPr>
          <w:p w14:paraId="69AAE49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支管线</w:t>
            </w:r>
          </w:p>
        </w:tc>
        <w:tc>
          <w:tcPr>
            <w:tcW w:w="469" w:type="pct"/>
            <w:shd w:val="clear" w:color="auto" w:fill="auto"/>
            <w:vAlign w:val="center"/>
          </w:tcPr>
          <w:p w14:paraId="3D6F0FA6">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68" w:type="pct"/>
            <w:shd w:val="clear" w:color="auto" w:fill="auto"/>
            <w:vAlign w:val="center"/>
          </w:tcPr>
          <w:p w14:paraId="1724B64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2505" w:type="pct"/>
            <w:shd w:val="clear" w:color="auto" w:fill="auto"/>
            <w:vAlign w:val="center"/>
          </w:tcPr>
          <w:p w14:paraId="69CD0F4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含设备接电、接气、线旁照明及线旁风扇；利旧原有设备</w:t>
            </w:r>
          </w:p>
        </w:tc>
      </w:tr>
      <w:tr w14:paraId="0C7B6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3BA1BE2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p>
        </w:tc>
        <w:tc>
          <w:tcPr>
            <w:tcW w:w="1097" w:type="pct"/>
            <w:shd w:val="clear" w:color="auto" w:fill="auto"/>
            <w:vAlign w:val="center"/>
          </w:tcPr>
          <w:p w14:paraId="476FEEC9">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完成线灯廊</w:t>
            </w:r>
          </w:p>
        </w:tc>
        <w:tc>
          <w:tcPr>
            <w:tcW w:w="469" w:type="pct"/>
            <w:shd w:val="clear" w:color="auto" w:fill="auto"/>
            <w:vAlign w:val="center"/>
          </w:tcPr>
          <w:p w14:paraId="7C8C57FE">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68" w:type="pct"/>
            <w:shd w:val="clear" w:color="auto" w:fill="auto"/>
            <w:vAlign w:val="center"/>
          </w:tcPr>
          <w:p w14:paraId="71B363CF">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2505" w:type="pct"/>
            <w:shd w:val="clear" w:color="auto" w:fill="auto"/>
            <w:vAlign w:val="center"/>
          </w:tcPr>
          <w:p w14:paraId="290B3963">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工位长度</w:t>
            </w:r>
          </w:p>
        </w:tc>
      </w:tr>
      <w:tr w14:paraId="4DEB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044AC9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4</w:t>
            </w:r>
          </w:p>
        </w:tc>
        <w:tc>
          <w:tcPr>
            <w:tcW w:w="1097" w:type="pct"/>
            <w:shd w:val="clear" w:color="auto" w:fill="auto"/>
            <w:vAlign w:val="center"/>
          </w:tcPr>
          <w:p w14:paraId="050001DC">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质保评审灯廊</w:t>
            </w:r>
          </w:p>
        </w:tc>
        <w:tc>
          <w:tcPr>
            <w:tcW w:w="469" w:type="pct"/>
            <w:shd w:val="clear" w:color="auto" w:fill="auto"/>
            <w:vAlign w:val="center"/>
          </w:tcPr>
          <w:p w14:paraId="1D8BE4B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2</w:t>
            </w:r>
          </w:p>
        </w:tc>
        <w:tc>
          <w:tcPr>
            <w:tcW w:w="468" w:type="pct"/>
            <w:shd w:val="clear" w:color="auto" w:fill="auto"/>
            <w:vAlign w:val="center"/>
          </w:tcPr>
          <w:p w14:paraId="59AE887D">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2505" w:type="pct"/>
            <w:shd w:val="clear" w:color="auto" w:fill="auto"/>
            <w:vAlign w:val="center"/>
          </w:tcPr>
          <w:p w14:paraId="5705441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工位长度</w:t>
            </w:r>
          </w:p>
        </w:tc>
      </w:tr>
      <w:tr w14:paraId="26EC8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 w:type="pct"/>
            <w:shd w:val="clear" w:color="auto" w:fill="auto"/>
            <w:vAlign w:val="center"/>
          </w:tcPr>
          <w:p w14:paraId="6781F8D2">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5</w:t>
            </w:r>
          </w:p>
        </w:tc>
        <w:tc>
          <w:tcPr>
            <w:tcW w:w="1097" w:type="pct"/>
            <w:shd w:val="clear" w:color="auto" w:fill="auto"/>
            <w:vAlign w:val="center"/>
          </w:tcPr>
          <w:p w14:paraId="7E989538">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交检间灯廊</w:t>
            </w:r>
          </w:p>
        </w:tc>
        <w:tc>
          <w:tcPr>
            <w:tcW w:w="469" w:type="pct"/>
            <w:shd w:val="clear" w:color="auto" w:fill="auto"/>
            <w:vAlign w:val="center"/>
          </w:tcPr>
          <w:p w14:paraId="7466F5C0">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1</w:t>
            </w:r>
          </w:p>
        </w:tc>
        <w:tc>
          <w:tcPr>
            <w:tcW w:w="468" w:type="pct"/>
            <w:shd w:val="clear" w:color="auto" w:fill="auto"/>
            <w:vAlign w:val="center"/>
          </w:tcPr>
          <w:p w14:paraId="1DB2E8BB">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hint="eastAsia" w:ascii="宋体" w:hAnsi="宋体" w:eastAsia="宋体" w:cs="宋体"/>
                <w:sz w:val="24"/>
                <w:szCs w:val="24"/>
              </w:rPr>
              <w:t>套</w:t>
            </w:r>
          </w:p>
        </w:tc>
        <w:tc>
          <w:tcPr>
            <w:tcW w:w="2505" w:type="pct"/>
            <w:shd w:val="clear" w:color="auto" w:fill="auto"/>
            <w:vAlign w:val="center"/>
          </w:tcPr>
          <w:p w14:paraId="2C9AAFB5">
            <w:pPr>
              <w:keepNext w:val="0"/>
              <w:keepLines w:val="0"/>
              <w:pageBreakBefore w:val="0"/>
              <w:kinsoku/>
              <w:overflowPunct/>
              <w:topLinePunct w:val="0"/>
              <w:bidi w:val="0"/>
              <w:adjustRightInd w:val="0"/>
              <w:snapToGrid w:val="0"/>
              <w:spacing w:afterAutospacing="0" w:line="240" w:lineRule="auto"/>
              <w:jc w:val="center"/>
              <w:rPr>
                <w:rFonts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工位长度</w:t>
            </w:r>
          </w:p>
        </w:tc>
      </w:tr>
    </w:tbl>
    <w:p w14:paraId="407260EB">
      <w:pPr>
        <w:keepNext w:val="0"/>
        <w:keepLines w:val="0"/>
        <w:pageBreakBefore w:val="0"/>
        <w:widowControl w:val="0"/>
        <w:numPr>
          <w:ilvl w:val="0"/>
          <w:numId w:val="693"/>
        </w:numPr>
        <w:kinsoku/>
        <w:overflowPunct/>
        <w:topLinePunct w:val="0"/>
        <w:bidi w:val="0"/>
        <w:adjustRightInd w:val="0"/>
        <w:snapToGrid w:val="0"/>
        <w:spacing w:beforeAutospacing="0" w:afterAutospacing="0" w:line="360" w:lineRule="auto"/>
        <w:ind w:left="0" w:leftChars="0" w:firstLine="0" w:firstLineChars="0"/>
        <w:outlineLvl w:val="3"/>
        <w:rPr>
          <w:rFonts w:ascii="Times New Roman" w:hAnsi="Times New Roman" w:eastAsia="宋体" w:cs="Times New Roman"/>
          <w:b/>
          <w:sz w:val="24"/>
        </w:rPr>
      </w:pPr>
      <w:r>
        <w:rPr>
          <w:rFonts w:ascii="Times New Roman" w:hAnsi="Times New Roman" w:eastAsia="宋体" w:cs="Times New Roman"/>
          <w:b/>
          <w:sz w:val="24"/>
        </w:rPr>
        <w:t>钢结构技术要求</w:t>
      </w:r>
    </w:p>
    <w:p w14:paraId="6C49A8F1">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钢结构包括立柱，一次辅梁、二次辅梁、吊杆、吊架、斜支撑等设施，具体为保证设备、平台、安全网吊挂需要的设施。</w:t>
      </w:r>
    </w:p>
    <w:p w14:paraId="6274DD24">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钢结构采用螺栓</w:t>
      </w:r>
      <w:r>
        <w:rPr>
          <w:rFonts w:hint="eastAsia" w:ascii="Times New Roman" w:hAnsi="Times New Roman" w:eastAsia="宋体" w:cs="Times New Roman"/>
          <w:sz w:val="24"/>
          <w:lang w:eastAsia="zh-CN"/>
        </w:rPr>
        <w:t>连接</w:t>
      </w:r>
      <w:r>
        <w:rPr>
          <w:rFonts w:ascii="Times New Roman" w:hAnsi="Times New Roman" w:eastAsia="宋体" w:cs="Times New Roman"/>
          <w:sz w:val="24"/>
        </w:rPr>
        <w:t>，螺栓拧紧后有色标标识。</w:t>
      </w:r>
    </w:p>
    <w:p w14:paraId="6620D532">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所有钢结构必须保证足够的刚性和稳定性，要求采用不小于8.8级高强度螺栓</w:t>
      </w:r>
      <w:r>
        <w:rPr>
          <w:rFonts w:hint="eastAsia" w:ascii="Times New Roman" w:hAnsi="Times New Roman" w:eastAsia="宋体" w:cs="Times New Roman"/>
          <w:sz w:val="24"/>
          <w:lang w:eastAsia="zh-CN"/>
        </w:rPr>
        <w:t>连接</w:t>
      </w:r>
      <w:r>
        <w:rPr>
          <w:rFonts w:ascii="Times New Roman" w:hAnsi="Times New Roman" w:eastAsia="宋体" w:cs="Times New Roman"/>
          <w:sz w:val="24"/>
        </w:rPr>
        <w:t>，必要时可增加支撑构件。采用双螺母拧紧，且螺栓要出头不小于</w:t>
      </w:r>
      <w:r>
        <w:rPr>
          <w:rFonts w:ascii="Times New Roman" w:hAnsi="Times New Roman" w:eastAsia="宋体" w:cs="Times New Roman"/>
          <w:color w:val="000000"/>
          <w:sz w:val="24"/>
        </w:rPr>
        <w:t>5mm。</w:t>
      </w:r>
    </w:p>
    <w:p w14:paraId="5D245A4A">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必须保证所购材料的质量满足其机械性能；并在钢材进料后及时向</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提供质量保证书，不允许钢材有明显的锈蚀现象。</w:t>
      </w:r>
    </w:p>
    <w:p w14:paraId="5517FA25">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底盘装配线轨道吊架设置斜支撑，具体支撑位置由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计算设计确认。工艺段设有保护轨。</w:t>
      </w:r>
    </w:p>
    <w:p w14:paraId="79D8A8F3">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所有螺栓安装孔直径不允许大于螺杆直径的1.1倍，螺栓连接紧固后要在1～48小时进行复检。</w:t>
      </w:r>
    </w:p>
    <w:p w14:paraId="7569FCFF">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钢结构选型时需考虑在该工艺段所需公用设施的管线、照明、工具和相关生产线工艺设备安装吊挂用载荷。</w:t>
      </w:r>
    </w:p>
    <w:p w14:paraId="02C70BBB">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输送线二层平台采用钢制骨架与安全网块的模块化设计。网块采用方管骨架，上方铺设不小于4mm厚度钢板网，维修位铺设不小于5mm厚度的花纹钢板。平台、安全网两边有防护栏杆，下部有踢脚板，防护护栏高度为1200mm，带有100mm高的踢脚板</w:t>
      </w:r>
      <w:r>
        <w:rPr>
          <w:rFonts w:hint="eastAsia" w:ascii="Times New Roman" w:hAnsi="Times New Roman" w:eastAsia="宋体" w:cs="Times New Roman"/>
          <w:sz w:val="24"/>
          <w:lang w:eastAsia="zh-CN"/>
        </w:rPr>
        <w:t>，</w:t>
      </w:r>
      <w:r>
        <w:rPr>
          <w:rFonts w:ascii="Times New Roman" w:hAnsi="Times New Roman" w:eastAsia="宋体" w:cs="Times New Roman"/>
          <w:sz w:val="24"/>
        </w:rPr>
        <w:t>安全网下部有班组园地位置应设置钢板进行防护，具体数量、结构和位置图纸会签时确认。</w:t>
      </w:r>
    </w:p>
    <w:p w14:paraId="34DCC00C">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在平台、安全网处设有一定数量的斜梯和直梯，具体数量、结构和位置图纸会签时确认。 为确保安全，在斜梯直梯入口处设有保护门。</w:t>
      </w:r>
    </w:p>
    <w:p w14:paraId="312F85BF">
      <w:pPr>
        <w:keepNext w:val="0"/>
        <w:keepLines w:val="0"/>
        <w:pageBreakBefore w:val="0"/>
        <w:widowControl w:val="0"/>
        <w:numPr>
          <w:ilvl w:val="0"/>
          <w:numId w:val="694"/>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对钢结构制造、安装和验收按国家《钢结构工程施工质量验收规范》所列内容进行。</w:t>
      </w:r>
    </w:p>
    <w:p w14:paraId="3E592721">
      <w:pPr>
        <w:keepNext w:val="0"/>
        <w:keepLines w:val="0"/>
        <w:pageBreakBefore w:val="0"/>
        <w:widowControl w:val="0"/>
        <w:numPr>
          <w:ilvl w:val="0"/>
          <w:numId w:val="693"/>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outlineLvl w:val="3"/>
        <w:rPr>
          <w:rFonts w:ascii="Times New Roman" w:hAnsi="Times New Roman" w:eastAsia="宋体" w:cs="Times New Roman"/>
          <w:b/>
          <w:sz w:val="24"/>
        </w:rPr>
      </w:pPr>
      <w:r>
        <w:rPr>
          <w:rFonts w:ascii="Times New Roman" w:hAnsi="Times New Roman" w:eastAsia="宋体" w:cs="Times New Roman"/>
          <w:b/>
          <w:sz w:val="24"/>
        </w:rPr>
        <w:t>支管线设备技术要求</w:t>
      </w:r>
    </w:p>
    <w:p w14:paraId="628F36B1">
      <w:pPr>
        <w:keepNext w:val="0"/>
        <w:keepLines w:val="0"/>
        <w:pageBreakBefore w:val="0"/>
        <w:widowControl w:val="0"/>
        <w:numPr>
          <w:ilvl w:val="0"/>
          <w:numId w:val="695"/>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4"/>
        <w:rPr>
          <w:rFonts w:ascii="Times New Roman" w:hAnsi="Times New Roman" w:eastAsia="宋体" w:cs="Times New Roman"/>
          <w:b w:val="0"/>
          <w:sz w:val="24"/>
        </w:rPr>
      </w:pPr>
      <w:r>
        <w:rPr>
          <w:rFonts w:ascii="Times New Roman" w:hAnsi="Times New Roman" w:eastAsia="宋体" w:cs="Times New Roman"/>
          <w:sz w:val="24"/>
        </w:rPr>
        <w:t>支管线钢结构</w:t>
      </w:r>
    </w:p>
    <w:p w14:paraId="4AF304C4">
      <w:pPr>
        <w:keepNext w:val="0"/>
        <w:keepLines w:val="0"/>
        <w:pageBreakBefore w:val="0"/>
        <w:widowControl w:val="0"/>
        <w:kinsoku/>
        <w:wordWrap/>
        <w:overflowPunct/>
        <w:topLinePunct w:val="0"/>
        <w:autoSpaceDE/>
        <w:autoSpaceDN/>
        <w:bidi w:val="0"/>
        <w:adjustRightInd w:val="0"/>
        <w:snapToGrid w:val="0"/>
        <w:spacing w:afterAutospacing="0" w:line="360" w:lineRule="auto"/>
        <w:ind w:firstLine="0" w:firstLineChars="0"/>
        <w:textAlignment w:val="auto"/>
        <w:rPr>
          <w:rFonts w:ascii="宋体" w:hAnsi="宋体" w:eastAsia="宋体" w:cs="Times New Roman"/>
          <w:bCs/>
          <w:sz w:val="24"/>
          <w:szCs w:val="24"/>
        </w:rPr>
      </w:pPr>
      <w:r>
        <w:rPr>
          <w:rFonts w:ascii="Times New Roman" w:hAnsi="Times New Roman" w:eastAsia="宋体" w:cs="Times New Roman"/>
          <w:sz w:val="24"/>
        </w:rPr>
        <w:t>由于原厂房包含部分线体支管线钢结构。所以本项目需根据实际情况对线体已有支管线钢结构中的二次侧钢结构进行改造。部分新线体支管线钢结构一次侧以及二次侧钢结构需新增制作。改造后满足电气桥架、动力、暖通、线边机构等设备的承载与安装</w:t>
      </w:r>
      <w:r>
        <w:rPr>
          <w:rFonts w:hint="eastAsia" w:ascii="Times New Roman" w:hAnsi="Times New Roman" w:eastAsia="宋体" w:cs="Times New Roman"/>
          <w:sz w:val="24"/>
          <w:lang w:eastAsia="zh-CN"/>
        </w:rPr>
        <w:t>。</w:t>
      </w:r>
    </w:p>
    <w:p w14:paraId="75528F2B">
      <w:pPr>
        <w:keepNext w:val="0"/>
        <w:keepLines w:val="0"/>
        <w:pageBreakBefore w:val="0"/>
        <w:kinsoku/>
        <w:overflowPunct/>
        <w:topLinePunct w:val="0"/>
        <w:bidi w:val="0"/>
        <w:adjustRightInd w:val="0"/>
        <w:snapToGrid w:val="0"/>
        <w:spacing w:afterAutospacing="0" w:line="360" w:lineRule="auto"/>
        <w:ind w:firstLine="480" w:firstLineChars="200"/>
        <w:jc w:val="center"/>
        <w:rPr>
          <w:rFonts w:ascii="宋体" w:hAnsi="宋体" w:eastAsia="宋体" w:cs="Times New Roman"/>
          <w:bCs/>
          <w:sz w:val="24"/>
          <w:szCs w:val="24"/>
        </w:rPr>
      </w:pPr>
      <w:r>
        <w:rPr>
          <w:rFonts w:hint="eastAsia" w:ascii="宋体" w:hAnsi="宋体" w:eastAsia="宋体" w:cs="Times New Roman"/>
          <w:bCs/>
          <w:sz w:val="24"/>
          <w:szCs w:val="24"/>
        </w:rPr>
        <w:drawing>
          <wp:inline distT="0" distB="0" distL="0" distR="0">
            <wp:extent cx="5409565" cy="2849880"/>
            <wp:effectExtent l="0" t="0" r="635" b="7620"/>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0"/>
                      <a:ext cx="5409565" cy="2849880"/>
                    </a:xfrm>
                    <a:prstGeom prst="rect">
                      <a:avLst/>
                    </a:prstGeom>
                  </pic:spPr>
                </pic:pic>
              </a:graphicData>
            </a:graphic>
          </wp:inline>
        </w:drawing>
      </w:r>
    </w:p>
    <w:p w14:paraId="7CE1EDEF">
      <w:pPr>
        <w:keepNext w:val="0"/>
        <w:keepLines w:val="0"/>
        <w:pageBreakBefore w:val="0"/>
        <w:widowControl w:val="0"/>
        <w:numPr>
          <w:ilvl w:val="0"/>
          <w:numId w:val="6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支管线钢结构位置改动。根据新布局图线体位置对现有二次侧钢结构位置以及高度等改动。满足新线体的工位间距以及高度需求。</w:t>
      </w:r>
    </w:p>
    <w:p w14:paraId="181A347A">
      <w:pPr>
        <w:keepNext w:val="0"/>
        <w:keepLines w:val="0"/>
        <w:pageBreakBefore w:val="0"/>
        <w:widowControl w:val="0"/>
        <w:numPr>
          <w:ilvl w:val="0"/>
          <w:numId w:val="6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专机吊挂钢结构的位置改动以及新增。如拧紧机，加注机，机械手等。若原有专机轨道吊挂钢结构满足承载，覆盖范围等使用要求则对其进行位置高度等改动。若原有钢结构不能满足使用要求，则需对部分专机吊挂钢结构进行延长或者新增。</w:t>
      </w:r>
    </w:p>
    <w:p w14:paraId="7E121A17">
      <w:pPr>
        <w:keepNext w:val="0"/>
        <w:keepLines w:val="0"/>
        <w:pageBreakBefore w:val="0"/>
        <w:widowControl w:val="0"/>
        <w:numPr>
          <w:ilvl w:val="0"/>
          <w:numId w:val="6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支管线钢结构需满足照明，送风，线边按钮盒，插座箱，气管路，线边专机等设备的吊挂安装。</w:t>
      </w:r>
    </w:p>
    <w:p w14:paraId="5AABFBF9">
      <w:pPr>
        <w:keepNext w:val="0"/>
        <w:keepLines w:val="0"/>
        <w:pageBreakBefore w:val="0"/>
        <w:widowControl w:val="0"/>
        <w:numPr>
          <w:ilvl w:val="0"/>
          <w:numId w:val="6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支管线钢结构片架安装与主线钢结构或二层平台下方。无主线钢结构区域以及新线体区域需考虑立柱承载。</w:t>
      </w:r>
    </w:p>
    <w:p w14:paraId="3118B18B">
      <w:pPr>
        <w:keepNext w:val="0"/>
        <w:keepLines w:val="0"/>
        <w:pageBreakBefore w:val="0"/>
        <w:widowControl w:val="0"/>
        <w:numPr>
          <w:ilvl w:val="0"/>
          <w:numId w:val="696"/>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支管线钢结构需保证强度以及刚度，满足线体风扇以及专机设备使用情况下无明显抖动。</w:t>
      </w:r>
    </w:p>
    <w:p w14:paraId="0ACF76F0">
      <w:pPr>
        <w:keepNext w:val="0"/>
        <w:keepLines w:val="0"/>
        <w:pageBreakBefore w:val="0"/>
        <w:widowControl w:val="0"/>
        <w:numPr>
          <w:ilvl w:val="0"/>
          <w:numId w:val="695"/>
        </w:numPr>
        <w:kinsoku/>
        <w:overflowPunct/>
        <w:topLinePunct w:val="0"/>
        <w:bidi w:val="0"/>
        <w:adjustRightInd w:val="0"/>
        <w:snapToGrid w:val="0"/>
        <w:spacing w:beforeAutospacing="0" w:afterAutospacing="0" w:line="360" w:lineRule="auto"/>
        <w:ind w:left="0" w:leftChars="0" w:firstLine="0" w:firstLineChars="0"/>
        <w:jc w:val="left"/>
        <w:outlineLvl w:val="4"/>
        <w:rPr>
          <w:rFonts w:ascii="Times New Roman" w:hAnsi="Times New Roman" w:eastAsia="宋体" w:cs="Times New Roman"/>
          <w:b w:val="0"/>
          <w:sz w:val="24"/>
        </w:rPr>
      </w:pPr>
      <w:r>
        <w:rPr>
          <w:rFonts w:ascii="Times New Roman" w:hAnsi="Times New Roman" w:eastAsia="宋体" w:cs="Times New Roman"/>
          <w:sz w:val="24"/>
        </w:rPr>
        <w:t>支管线设备</w:t>
      </w:r>
    </w:p>
    <w:p w14:paraId="28204754">
      <w:pPr>
        <w:keepNext w:val="0"/>
        <w:keepLines w:val="0"/>
        <w:pageBreakBefore w:val="0"/>
        <w:kinsoku/>
        <w:overflowPunct/>
        <w:topLinePunct w:val="0"/>
        <w:bidi w:val="0"/>
        <w:adjustRightInd w:val="0"/>
        <w:snapToGrid w:val="0"/>
        <w:spacing w:afterAutospacing="0" w:line="360" w:lineRule="auto"/>
        <w:jc w:val="center"/>
        <w:rPr>
          <w:rFonts w:ascii="宋体" w:hAnsi="宋体" w:eastAsia="宋体" w:cs="Times New Roman"/>
          <w:bCs/>
          <w:sz w:val="24"/>
          <w:szCs w:val="24"/>
        </w:rPr>
      </w:pPr>
      <w:r>
        <w:rPr>
          <w:rFonts w:hint="eastAsia" w:ascii="宋体" w:hAnsi="宋体" w:eastAsia="宋体" w:cs="Times New Roman"/>
          <w:bCs/>
          <w:sz w:val="24"/>
          <w:szCs w:val="24"/>
        </w:rPr>
        <w:drawing>
          <wp:inline distT="0" distB="0" distL="0" distR="0">
            <wp:extent cx="2476500" cy="2392680"/>
            <wp:effectExtent l="0" t="0" r="762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476500" cy="2392680"/>
                    </a:xfrm>
                    <a:prstGeom prst="rect">
                      <a:avLst/>
                    </a:prstGeom>
                  </pic:spPr>
                </pic:pic>
              </a:graphicData>
            </a:graphic>
          </wp:inline>
        </w:drawing>
      </w:r>
      <w:r>
        <w:rPr>
          <w:rFonts w:hint="eastAsia" w:ascii="宋体" w:hAnsi="宋体" w:eastAsia="宋体" w:cs="Times New Roman"/>
          <w:bCs/>
          <w:sz w:val="24"/>
          <w:szCs w:val="24"/>
        </w:rPr>
        <w:drawing>
          <wp:inline distT="0" distB="0" distL="0" distR="0">
            <wp:extent cx="2484120" cy="2407920"/>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484120" cy="2407920"/>
                    </a:xfrm>
                    <a:prstGeom prst="rect">
                      <a:avLst/>
                    </a:prstGeom>
                  </pic:spPr>
                </pic:pic>
              </a:graphicData>
            </a:graphic>
          </wp:inline>
        </w:drawing>
      </w:r>
    </w:p>
    <w:p w14:paraId="0A7DBBD8">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风扇</w:t>
      </w:r>
      <w:r>
        <w:rPr>
          <w:rFonts w:hint="eastAsia" w:cs="Times New Roman"/>
          <w:sz w:val="24"/>
          <w:lang w:eastAsia="zh-CN"/>
        </w:rPr>
        <w:t>：</w:t>
      </w:r>
    </w:p>
    <w:p w14:paraId="2A0E6063">
      <w:pPr>
        <w:keepNext w:val="0"/>
        <w:keepLines w:val="0"/>
        <w:pageBreakBefore w:val="0"/>
        <w:widowControl w:val="0"/>
        <w:numPr>
          <w:ilvl w:val="0"/>
          <w:numId w:val="69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风扇系统用于总装车间工艺主线的送风。根据车型以及作业高度调整利旧风扇的高度以及角度，保证工位上送风速度均匀及风量。若利旧风扇有损坏则需按现有品牌规格换新。风扇安装支架根据需求可重新设计制作。新线体以及无原有支管线覆盖区域的风扇需新增，新增风扇需按现有品牌规格购买。</w:t>
      </w:r>
    </w:p>
    <w:p w14:paraId="3D4C6E1B">
      <w:pPr>
        <w:keepNext w:val="0"/>
        <w:keepLines w:val="0"/>
        <w:pageBreakBefore w:val="0"/>
        <w:widowControl w:val="0"/>
        <w:numPr>
          <w:ilvl w:val="0"/>
          <w:numId w:val="69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每条线体的风扇系统要有总开关， 还应进行分段控制，分段控制箱上注明控制区域。</w:t>
      </w:r>
    </w:p>
    <w:p w14:paraId="7F9E51CB">
      <w:pPr>
        <w:keepNext w:val="0"/>
        <w:keepLines w:val="0"/>
        <w:pageBreakBefore w:val="0"/>
        <w:widowControl w:val="0"/>
        <w:numPr>
          <w:ilvl w:val="0"/>
          <w:numId w:val="697"/>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主线区域（内饰，底盘，外饰）每个操作工位配左右各一共2台风扇。分装线区域每两个工位左右交叉布置</w:t>
      </w:r>
      <w:r>
        <w:rPr>
          <w:rFonts w:hint="eastAsia" w:ascii="Times New Roman" w:hAnsi="Times New Roman" w:eastAsia="宋体" w:cs="Times New Roman"/>
          <w:sz w:val="24"/>
          <w:lang w:eastAsia="zh-CN"/>
        </w:rPr>
        <w:t>（</w:t>
      </w:r>
      <w:r>
        <w:rPr>
          <w:rFonts w:ascii="Times New Roman" w:hAnsi="Times New Roman" w:eastAsia="宋体" w:cs="Times New Roman"/>
          <w:sz w:val="24"/>
        </w:rPr>
        <w:t>即每工位1台风扇</w:t>
      </w:r>
      <w:r>
        <w:rPr>
          <w:rFonts w:hint="eastAsia" w:ascii="Times New Roman" w:hAnsi="Times New Roman" w:eastAsia="宋体" w:cs="Times New Roman"/>
          <w:sz w:val="24"/>
          <w:lang w:eastAsia="zh-CN"/>
        </w:rPr>
        <w:t>）</w:t>
      </w:r>
      <w:r>
        <w:rPr>
          <w:rFonts w:ascii="Times New Roman" w:hAnsi="Times New Roman" w:eastAsia="宋体" w:cs="Times New Roman"/>
          <w:sz w:val="24"/>
        </w:rPr>
        <w:t>。</w:t>
      </w:r>
    </w:p>
    <w:p w14:paraId="388D1EBC">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hint="eastAsia" w:ascii="Times New Roman" w:hAnsi="Times New Roman" w:eastAsia="宋体" w:cs="Times New Roman"/>
          <w:sz w:val="24"/>
          <w:lang w:eastAsia="zh-CN"/>
        </w:rPr>
      </w:pPr>
      <w:r>
        <w:rPr>
          <w:rFonts w:ascii="Times New Roman" w:hAnsi="Times New Roman" w:eastAsia="宋体" w:cs="Times New Roman"/>
          <w:sz w:val="24"/>
        </w:rPr>
        <w:t>工艺照明</w:t>
      </w:r>
      <w:r>
        <w:rPr>
          <w:rFonts w:hint="eastAsia" w:cs="Times New Roman"/>
          <w:sz w:val="24"/>
          <w:lang w:eastAsia="zh-CN"/>
        </w:rPr>
        <w:t>：</w:t>
      </w:r>
    </w:p>
    <w:p w14:paraId="780D57EF">
      <w:pPr>
        <w:keepNext w:val="0"/>
        <w:keepLines w:val="0"/>
        <w:pageBreakBefore w:val="0"/>
        <w:widowControl w:val="0"/>
        <w:numPr>
          <w:ilvl w:val="0"/>
          <w:numId w:val="69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工艺照明系统用于总装车间工作区域生产线工位、分装区域等照明。照明灯箱分别布置与线体两侧。根据作业高度调整利旧照明灯箱高度以及位置角度，保证工位上照度要求。主线以及分装线区域（内饰，底盘，外饰，前后桥分装，仪表分装</w:t>
      </w:r>
      <w:r>
        <w:rPr>
          <w:rFonts w:hint="eastAsia" w:ascii="Times New Roman" w:hAnsi="Times New Roman" w:eastAsia="宋体" w:cs="Times New Roman"/>
          <w:sz w:val="24"/>
          <w:lang w:eastAsia="zh-CN"/>
        </w:rPr>
        <w:t>，轮胎分装</w:t>
      </w:r>
      <w:r>
        <w:rPr>
          <w:rFonts w:ascii="Times New Roman" w:hAnsi="Times New Roman" w:eastAsia="宋体" w:cs="Times New Roman"/>
          <w:sz w:val="24"/>
        </w:rPr>
        <w:t>等）照度不小于500LX</w:t>
      </w:r>
      <w:r>
        <w:rPr>
          <w:rFonts w:hint="eastAsia" w:ascii="Times New Roman" w:hAnsi="Times New Roman" w:eastAsia="宋体" w:cs="Times New Roman"/>
          <w:sz w:val="24"/>
          <w:lang w:eastAsia="zh-CN"/>
        </w:rPr>
        <w:t>。</w:t>
      </w:r>
    </w:p>
    <w:p w14:paraId="3530980A">
      <w:pPr>
        <w:keepNext w:val="0"/>
        <w:keepLines w:val="0"/>
        <w:pageBreakBefore w:val="0"/>
        <w:widowControl w:val="0"/>
        <w:numPr>
          <w:ilvl w:val="0"/>
          <w:numId w:val="69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若利旧灯箱有损坏则需按现有品牌规格换新。灯箱安装支架根据需求可重新设计制作。新线体以及无原有支管线覆盖区域的灯箱需新增，新增灯箱需按现有品牌规格购买。</w:t>
      </w:r>
    </w:p>
    <w:p w14:paraId="6C911AF5">
      <w:pPr>
        <w:keepNext w:val="0"/>
        <w:keepLines w:val="0"/>
        <w:pageBreakBefore w:val="0"/>
        <w:widowControl w:val="0"/>
        <w:numPr>
          <w:ilvl w:val="0"/>
          <w:numId w:val="698"/>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每条线体的照明系统要有总开关，还应进行分段控制，分段控制箱上注明控制区域。</w:t>
      </w:r>
    </w:p>
    <w:p w14:paraId="61280A40">
      <w:pPr>
        <w:keepNext w:val="0"/>
        <w:keepLines w:val="0"/>
        <w:pageBreakBefore w:val="0"/>
        <w:widowControl/>
        <w:kinsoku/>
        <w:wordWrap/>
        <w:overflowPunct/>
        <w:topLinePunct w:val="0"/>
        <w:autoSpaceDE/>
        <w:autoSpaceDN/>
        <w:bidi w:val="0"/>
        <w:adjustRightInd w:val="0"/>
        <w:snapToGrid w:val="0"/>
        <w:spacing w:afterAutospacing="0" w:line="360" w:lineRule="auto"/>
        <w:ind w:firstLine="0" w:firstLineChars="0"/>
        <w:textAlignment w:val="auto"/>
        <w:rPr>
          <w:rFonts w:ascii="Times New Roman" w:hAnsi="Times New Roman" w:eastAsia="宋体" w:cs="Times New Roman"/>
          <w:sz w:val="24"/>
        </w:rPr>
      </w:pPr>
      <w:r>
        <w:rPr>
          <w:rFonts w:ascii="Times New Roman" w:hAnsi="Times New Roman" w:eastAsia="宋体" w:cs="Times New Roman"/>
          <w:sz w:val="24"/>
        </w:rPr>
        <w:t>动力</w:t>
      </w:r>
    </w:p>
    <w:p w14:paraId="1107EF8D">
      <w:pPr>
        <w:keepNext w:val="0"/>
        <w:keepLines w:val="0"/>
        <w:pageBreakBefore w:val="0"/>
        <w:widowControl w:val="0"/>
        <w:kinsoku/>
        <w:overflowPunct/>
        <w:topLinePunct w:val="0"/>
        <w:bidi w:val="0"/>
        <w:adjustRightInd w:val="0"/>
        <w:snapToGrid w:val="0"/>
        <w:spacing w:afterAutospacing="0" w:line="360" w:lineRule="auto"/>
        <w:ind w:left="360" w:firstLine="0" w:firstLineChars="0"/>
        <w:jc w:val="both"/>
        <w:rPr>
          <w:rFonts w:ascii="宋体" w:hAnsi="宋体" w:eastAsia="宋体" w:cs="Times New Roman"/>
          <w:bCs/>
          <w:kern w:val="2"/>
          <w:sz w:val="24"/>
          <w:szCs w:val="24"/>
          <w:lang w:val="en-US" w:eastAsia="zh-CN" w:bidi="ar-SA"/>
        </w:rPr>
      </w:pPr>
      <w:r>
        <w:rPr>
          <w:rFonts w:hint="eastAsia" w:ascii="宋体" w:hAnsi="宋体" w:eastAsia="宋体" w:cs="Times New Roman"/>
          <w:bCs/>
          <w:kern w:val="2"/>
          <w:sz w:val="24"/>
          <w:szCs w:val="24"/>
          <w:lang w:val="en-US" w:eastAsia="zh-CN" w:bidi="ar-SA"/>
        </w:rPr>
        <w:drawing>
          <wp:inline distT="0" distB="0" distL="0" distR="0">
            <wp:extent cx="4366260" cy="2301240"/>
            <wp:effectExtent l="0" t="0" r="7620"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4366260" cy="2301240"/>
                    </a:xfrm>
                    <a:prstGeom prst="rect">
                      <a:avLst/>
                    </a:prstGeom>
                  </pic:spPr>
                </pic:pic>
              </a:graphicData>
            </a:graphic>
          </wp:inline>
        </w:drawing>
      </w:r>
    </w:p>
    <w:p w14:paraId="710B816C">
      <w:pPr>
        <w:keepNext w:val="0"/>
        <w:keepLines w:val="0"/>
        <w:pageBreakBefore w:val="0"/>
        <w:widowControl w:val="0"/>
        <w:numPr>
          <w:ilvl w:val="0"/>
          <w:numId w:val="6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总装动力主要为压缩空气，中标方主要负责从一次侧压缩空气管预留的接口上接上压缩空气管，最后引出工艺用气点，通过三联件，设备从中取气。</w:t>
      </w:r>
    </w:p>
    <w:p w14:paraId="72A63351">
      <w:pPr>
        <w:keepNext w:val="0"/>
        <w:keepLines w:val="0"/>
        <w:pageBreakBefore w:val="0"/>
        <w:widowControl w:val="0"/>
        <w:numPr>
          <w:ilvl w:val="0"/>
          <w:numId w:val="6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根据作业高度调整利旧气管路以及三联件的位置。主线区域（内饰，底盘，外饰）每个操作工位配左右各一共2个三联件。分装线区域每两个工位左右交叉布置</w:t>
      </w:r>
      <w:r>
        <w:rPr>
          <w:rFonts w:hint="eastAsia" w:ascii="Times New Roman" w:hAnsi="Times New Roman" w:eastAsia="宋体" w:cs="Times New Roman"/>
          <w:sz w:val="24"/>
          <w:lang w:eastAsia="zh-CN"/>
        </w:rPr>
        <w:t>（</w:t>
      </w:r>
      <w:r>
        <w:rPr>
          <w:rFonts w:ascii="Times New Roman" w:hAnsi="Times New Roman" w:eastAsia="宋体" w:cs="Times New Roman"/>
          <w:sz w:val="24"/>
        </w:rPr>
        <w:t>即每工位1个三联件</w:t>
      </w:r>
      <w:r>
        <w:rPr>
          <w:rFonts w:hint="eastAsia" w:ascii="Times New Roman" w:hAnsi="Times New Roman" w:eastAsia="宋体" w:cs="Times New Roman"/>
          <w:sz w:val="24"/>
          <w:lang w:eastAsia="zh-CN"/>
        </w:rPr>
        <w:t>）</w:t>
      </w:r>
      <w:r>
        <w:rPr>
          <w:rFonts w:ascii="Times New Roman" w:hAnsi="Times New Roman" w:eastAsia="宋体" w:cs="Times New Roman"/>
          <w:sz w:val="24"/>
        </w:rPr>
        <w:t>。每个三联件配2根6m长的螺旋气管。</w:t>
      </w:r>
    </w:p>
    <w:p w14:paraId="567BA34F">
      <w:pPr>
        <w:keepNext w:val="0"/>
        <w:keepLines w:val="0"/>
        <w:pageBreakBefore w:val="0"/>
        <w:widowControl w:val="0"/>
        <w:numPr>
          <w:ilvl w:val="0"/>
          <w:numId w:val="699"/>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若利旧气路元件有损坏则需按现有品牌规格换新。新线体以及无原有支管线覆盖区域的气路系统需新增，新增气路元件需按现有品牌规格购买。</w:t>
      </w:r>
    </w:p>
    <w:p w14:paraId="28F11DA3">
      <w:pPr>
        <w:keepNext w:val="0"/>
        <w:keepLines w:val="0"/>
        <w:pageBreakBefore w:val="0"/>
        <w:widowControl w:val="0"/>
        <w:numPr>
          <w:ilvl w:val="0"/>
          <w:numId w:val="451"/>
        </w:numPr>
        <w:kinsoku/>
        <w:wordWrap/>
        <w:overflowPunct/>
        <w:topLinePunct w:val="0"/>
        <w:autoSpaceDE/>
        <w:autoSpaceDN/>
        <w:bidi w:val="0"/>
        <w:adjustRightInd w:val="0"/>
        <w:snapToGrid w:val="0"/>
        <w:spacing w:beforeAutospacing="0" w:afterAutospacing="0" w:line="360" w:lineRule="auto"/>
        <w:ind w:left="0" w:leftChars="0" w:firstLine="0" w:firstLineChars="0"/>
        <w:jc w:val="left"/>
        <w:textAlignment w:val="auto"/>
        <w:outlineLvl w:val="2"/>
        <w:rPr>
          <w:rFonts w:ascii="Times New Roman" w:hAnsi="Times New Roman" w:eastAsia="宋体" w:cs="Times New Roman"/>
          <w:b/>
          <w:sz w:val="24"/>
        </w:rPr>
      </w:pPr>
      <w:r>
        <w:rPr>
          <w:rFonts w:ascii="Times New Roman" w:hAnsi="Times New Roman" w:eastAsia="宋体" w:cs="Times New Roman"/>
          <w:b/>
          <w:sz w:val="24"/>
        </w:rPr>
        <w:t>灯廊技术要求</w:t>
      </w:r>
    </w:p>
    <w:p w14:paraId="5B230FEE">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灯光隧道：长×宽×高：约6m×5m×5m（最终以图纸会签为准）。</w:t>
      </w:r>
    </w:p>
    <w:p w14:paraId="6108B697">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灯廊分别位于外饰线3个工位，交检线3个工位，总装、焊装质保评审间2个工位。</w:t>
      </w:r>
    </w:p>
    <w:p w14:paraId="5C788B9D">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灯廊照明系统要有总开关，还应进行分段控制，分段控制箱上注明控制区域。</w:t>
      </w:r>
    </w:p>
    <w:p w14:paraId="23664254">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外饰线灯廊以及检测线灯廊照度不小于800LX。</w:t>
      </w:r>
    </w:p>
    <w:p w14:paraId="468EDCBB">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灯廊照明光源为冷暖双色光源。</w:t>
      </w:r>
    </w:p>
    <w:p w14:paraId="0B414088">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灯廊框架为钢制框架，表面进行喷砂处理，底漆两层，面漆两层。</w:t>
      </w:r>
    </w:p>
    <w:p w14:paraId="1854E752">
      <w:pPr>
        <w:keepNext w:val="0"/>
        <w:keepLines w:val="0"/>
        <w:pageBreakBefore w:val="0"/>
        <w:widowControl w:val="0"/>
        <w:numPr>
          <w:ilvl w:val="0"/>
          <w:numId w:val="700"/>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照明灯具选用优质品牌。钢材选用国产优质钢材。</w:t>
      </w:r>
    </w:p>
    <w:p w14:paraId="11E02175">
      <w:pPr>
        <w:keepNext w:val="0"/>
        <w:keepLines w:val="0"/>
        <w:pageBreakBefore w:val="0"/>
        <w:kinsoku/>
        <w:overflowPunct/>
        <w:topLinePunct w:val="0"/>
        <w:bidi w:val="0"/>
        <w:adjustRightInd w:val="0"/>
        <w:snapToGrid w:val="0"/>
        <w:spacing w:afterAutospacing="0" w:line="360" w:lineRule="auto"/>
        <w:ind w:firstLine="480" w:firstLineChars="200"/>
        <w:rPr>
          <w:rFonts w:hint="eastAsia" w:ascii="宋体" w:hAnsi="宋体" w:eastAsia="宋体" w:cs="宋体"/>
          <w:b/>
          <w:bCs/>
          <w:color w:val="000000"/>
          <w:sz w:val="30"/>
          <w:szCs w:val="30"/>
          <w:lang w:val="en-US" w:eastAsia="zh-CN"/>
        </w:rPr>
      </w:pPr>
      <w:r>
        <w:rPr>
          <w:rFonts w:hint="eastAsia" w:ascii="宋体" w:hAnsi="宋体" w:eastAsia="宋体" w:cs="Times New Roman"/>
          <w:bCs/>
          <w:sz w:val="24"/>
          <w:szCs w:val="24"/>
        </w:rPr>
        <w:drawing>
          <wp:inline distT="0" distB="0" distL="0" distR="0">
            <wp:extent cx="5274310" cy="3332480"/>
            <wp:effectExtent l="0" t="0" r="13970" b="508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5274310" cy="3332480"/>
                    </a:xfrm>
                    <a:prstGeom prst="rect">
                      <a:avLst/>
                    </a:prstGeom>
                  </pic:spPr>
                </pic:pic>
              </a:graphicData>
            </a:graphic>
          </wp:inline>
        </w:drawing>
      </w:r>
    </w:p>
    <w:p w14:paraId="4B762ADA">
      <w:pPr>
        <w:pStyle w:val="3"/>
        <w:pageBreakBefore w:val="0"/>
        <w:kinsoku/>
        <w:wordWrap/>
        <w:overflowPunct/>
        <w:topLinePunct w:val="0"/>
        <w:bidi w:val="0"/>
        <w:adjustRightInd w:val="0"/>
        <w:snapToGrid w:val="0"/>
        <w:spacing w:before="0" w:afterAutospacing="0" w:line="360" w:lineRule="auto"/>
        <w:ind w:left="0" w:leftChars="0" w:firstLine="0" w:firstLineChars="0"/>
        <w:jc w:val="center"/>
        <w:textAlignment w:val="auto"/>
        <w:rPr>
          <w:rFonts w:hint="eastAsia" w:ascii="宋体" w:hAnsi="宋体" w:eastAsia="宋体" w:cs="宋体"/>
          <w:b/>
          <w:bCs/>
          <w:color w:val="000000"/>
          <w:sz w:val="30"/>
          <w:szCs w:val="30"/>
          <w:lang w:val="en-US" w:eastAsia="zh-CN"/>
        </w:rPr>
      </w:pPr>
      <w:r>
        <w:rPr>
          <w:rFonts w:hint="eastAsia" w:ascii="宋体" w:hAnsi="宋体" w:eastAsia="宋体" w:cs="宋体"/>
          <w:b/>
          <w:bCs/>
          <w:color w:val="000000"/>
          <w:sz w:val="30"/>
          <w:szCs w:val="30"/>
          <w:lang w:val="en-US" w:eastAsia="zh-CN"/>
        </w:rPr>
        <w:t>附件九、设备外购件品牌清单</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99"/>
        <w:gridCol w:w="3128"/>
        <w:gridCol w:w="4238"/>
        <w:gridCol w:w="1689"/>
      </w:tblGrid>
      <w:tr w14:paraId="0C99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4"/>
            <w:shd w:val="clear" w:color="auto" w:fill="auto"/>
            <w:vAlign w:val="center"/>
          </w:tcPr>
          <w:p w14:paraId="0399B7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涂装非标设备外购件品牌清单</w:t>
            </w:r>
          </w:p>
        </w:tc>
      </w:tr>
      <w:tr w14:paraId="0CC3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auto"/>
            <w:vAlign w:val="center"/>
          </w:tcPr>
          <w:p w14:paraId="39A98AB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620" w:type="pct"/>
            <w:shd w:val="clear" w:color="auto" w:fill="auto"/>
            <w:vAlign w:val="center"/>
          </w:tcPr>
          <w:p w14:paraId="6CFE3FC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195" w:type="pct"/>
            <w:shd w:val="clear" w:color="auto" w:fill="FFFFFF"/>
            <w:noWrap/>
            <w:vAlign w:val="center"/>
          </w:tcPr>
          <w:p w14:paraId="6BE8C06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873" w:type="pct"/>
            <w:shd w:val="clear" w:color="auto" w:fill="auto"/>
            <w:noWrap/>
            <w:vAlign w:val="center"/>
          </w:tcPr>
          <w:p w14:paraId="17A412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0643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5FD85A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620" w:type="pct"/>
            <w:shd w:val="clear" w:color="auto" w:fill="auto"/>
            <w:vAlign w:val="center"/>
          </w:tcPr>
          <w:p w14:paraId="1C3390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电泳循环泵、硅烷循环泵</w:t>
            </w:r>
          </w:p>
        </w:tc>
        <w:tc>
          <w:tcPr>
            <w:tcW w:w="2195" w:type="pct"/>
            <w:shd w:val="clear" w:color="auto" w:fill="auto"/>
            <w:vAlign w:val="center"/>
          </w:tcPr>
          <w:p w14:paraId="627F21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KSB/格兰富/GUSHER</w:t>
            </w:r>
          </w:p>
        </w:tc>
        <w:tc>
          <w:tcPr>
            <w:tcW w:w="873" w:type="pct"/>
            <w:shd w:val="clear" w:color="auto" w:fill="auto"/>
            <w:vAlign w:val="center"/>
          </w:tcPr>
          <w:p w14:paraId="7C91AA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BDEE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30EA11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620" w:type="pct"/>
            <w:shd w:val="clear" w:color="auto" w:fill="auto"/>
            <w:vAlign w:val="center"/>
          </w:tcPr>
          <w:p w14:paraId="7459F1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循环泵、喷淋泵、后处理泵</w:t>
            </w:r>
          </w:p>
        </w:tc>
        <w:tc>
          <w:tcPr>
            <w:tcW w:w="2195" w:type="pct"/>
            <w:shd w:val="clear" w:color="auto" w:fill="auto"/>
            <w:vAlign w:val="center"/>
          </w:tcPr>
          <w:p w14:paraId="00060A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艾比德/强工/新久扬</w:t>
            </w:r>
          </w:p>
        </w:tc>
        <w:tc>
          <w:tcPr>
            <w:tcW w:w="873" w:type="pct"/>
            <w:shd w:val="clear" w:color="auto" w:fill="auto"/>
            <w:vAlign w:val="center"/>
          </w:tcPr>
          <w:p w14:paraId="7E3E36C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B22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35885A8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620" w:type="pct"/>
            <w:shd w:val="clear" w:color="auto" w:fill="auto"/>
            <w:vAlign w:val="center"/>
          </w:tcPr>
          <w:p w14:paraId="5A6FC00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污水泵</w:t>
            </w:r>
          </w:p>
        </w:tc>
        <w:tc>
          <w:tcPr>
            <w:tcW w:w="2195" w:type="pct"/>
            <w:shd w:val="clear" w:color="auto" w:fill="auto"/>
            <w:vAlign w:val="center"/>
          </w:tcPr>
          <w:p w14:paraId="73605A0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艾比德/强工/新久扬</w:t>
            </w:r>
          </w:p>
        </w:tc>
        <w:tc>
          <w:tcPr>
            <w:tcW w:w="873" w:type="pct"/>
            <w:shd w:val="clear" w:color="auto" w:fill="auto"/>
            <w:vAlign w:val="center"/>
          </w:tcPr>
          <w:p w14:paraId="6CD5FC8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A44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4FDD30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620" w:type="pct"/>
            <w:shd w:val="clear" w:color="auto" w:fill="auto"/>
            <w:vAlign w:val="center"/>
          </w:tcPr>
          <w:p w14:paraId="181AE9E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换热器</w:t>
            </w:r>
          </w:p>
        </w:tc>
        <w:tc>
          <w:tcPr>
            <w:tcW w:w="2195" w:type="pct"/>
            <w:shd w:val="clear" w:color="auto" w:fill="auto"/>
            <w:vAlign w:val="center"/>
          </w:tcPr>
          <w:p w14:paraId="69A4E4F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锡惠/维克斯/北辰</w:t>
            </w:r>
          </w:p>
        </w:tc>
        <w:tc>
          <w:tcPr>
            <w:tcW w:w="873" w:type="pct"/>
            <w:shd w:val="clear" w:color="auto" w:fill="auto"/>
            <w:vAlign w:val="center"/>
          </w:tcPr>
          <w:p w14:paraId="5A4906D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69C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4FAE5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620" w:type="pct"/>
            <w:shd w:val="clear" w:color="auto" w:fill="auto"/>
            <w:vAlign w:val="center"/>
          </w:tcPr>
          <w:p w14:paraId="16E7DD7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w:t>
            </w:r>
          </w:p>
        </w:tc>
        <w:tc>
          <w:tcPr>
            <w:tcW w:w="2195" w:type="pct"/>
            <w:shd w:val="clear" w:color="auto" w:fill="auto"/>
            <w:vAlign w:val="center"/>
          </w:tcPr>
          <w:p w14:paraId="754260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上海通用/武汉科禄格/上海双城</w:t>
            </w:r>
          </w:p>
        </w:tc>
        <w:tc>
          <w:tcPr>
            <w:tcW w:w="873" w:type="pct"/>
            <w:shd w:val="clear" w:color="auto" w:fill="FFFFFF"/>
            <w:vAlign w:val="center"/>
          </w:tcPr>
          <w:p w14:paraId="77B2DBB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B46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BAF56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620" w:type="pct"/>
            <w:shd w:val="clear" w:color="auto" w:fill="auto"/>
            <w:vAlign w:val="center"/>
          </w:tcPr>
          <w:p w14:paraId="147EE57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w:t>
            </w:r>
          </w:p>
        </w:tc>
        <w:tc>
          <w:tcPr>
            <w:tcW w:w="2195" w:type="pct"/>
            <w:shd w:val="clear" w:color="auto" w:fill="auto"/>
            <w:vAlign w:val="center"/>
          </w:tcPr>
          <w:p w14:paraId="0FF9337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无锡东辉/上海富士达/盐城华鹏</w:t>
            </w:r>
          </w:p>
        </w:tc>
        <w:tc>
          <w:tcPr>
            <w:tcW w:w="873" w:type="pct"/>
            <w:shd w:val="clear" w:color="auto" w:fill="FFFFFF"/>
            <w:vAlign w:val="center"/>
          </w:tcPr>
          <w:p w14:paraId="35377C1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06CB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89A23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620" w:type="pct"/>
            <w:shd w:val="clear" w:color="auto" w:fill="auto"/>
            <w:vAlign w:val="center"/>
          </w:tcPr>
          <w:p w14:paraId="231B22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过滤器</w:t>
            </w:r>
          </w:p>
        </w:tc>
        <w:tc>
          <w:tcPr>
            <w:tcW w:w="2195" w:type="pct"/>
            <w:shd w:val="clear" w:color="auto" w:fill="auto"/>
            <w:vAlign w:val="center"/>
          </w:tcPr>
          <w:p w14:paraId="0772487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岱创/强工/飞潮</w:t>
            </w:r>
          </w:p>
        </w:tc>
        <w:tc>
          <w:tcPr>
            <w:tcW w:w="873" w:type="pct"/>
            <w:shd w:val="clear" w:color="auto" w:fill="FFFFFF"/>
            <w:vAlign w:val="center"/>
          </w:tcPr>
          <w:p w14:paraId="68D62C7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DB6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04685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620" w:type="pct"/>
            <w:shd w:val="clear" w:color="auto" w:fill="auto"/>
            <w:vAlign w:val="center"/>
          </w:tcPr>
          <w:p w14:paraId="2E2D526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压力表</w:t>
            </w:r>
          </w:p>
        </w:tc>
        <w:tc>
          <w:tcPr>
            <w:tcW w:w="2195" w:type="pct"/>
            <w:shd w:val="clear" w:color="auto" w:fill="auto"/>
            <w:vAlign w:val="center"/>
          </w:tcPr>
          <w:p w14:paraId="6FEBC2D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北京布莱迪/上海赛途/ FTI/泉君</w:t>
            </w:r>
          </w:p>
        </w:tc>
        <w:tc>
          <w:tcPr>
            <w:tcW w:w="873" w:type="pct"/>
            <w:shd w:val="clear" w:color="auto" w:fill="FFFFFF"/>
            <w:vAlign w:val="center"/>
          </w:tcPr>
          <w:p w14:paraId="4C71065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EDE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78B5CEC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620" w:type="pct"/>
            <w:shd w:val="clear" w:color="auto" w:fill="auto"/>
            <w:vAlign w:val="center"/>
          </w:tcPr>
          <w:p w14:paraId="1406B86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过滤袋、过滤棉</w:t>
            </w:r>
          </w:p>
        </w:tc>
        <w:tc>
          <w:tcPr>
            <w:tcW w:w="2195" w:type="pct"/>
            <w:shd w:val="clear" w:color="auto" w:fill="auto"/>
            <w:vAlign w:val="center"/>
          </w:tcPr>
          <w:p w14:paraId="3749A7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default" w:ascii="宋体" w:hAnsi="宋体" w:eastAsia="宋体" w:cs="宋体"/>
                <w:b w:val="0"/>
                <w:bCs w:val="0"/>
                <w:i w:val="0"/>
                <w:iCs w:val="0"/>
                <w:color w:val="000000"/>
                <w:sz w:val="24"/>
                <w:szCs w:val="24"/>
                <w:u w:val="none"/>
                <w:lang w:val="en-US"/>
              </w:rPr>
            </w:pPr>
            <w:r>
              <w:rPr>
                <w:rFonts w:hint="eastAsia" w:ascii="宋体" w:hAnsi="宋体" w:eastAsia="宋体" w:cs="宋体"/>
                <w:b w:val="0"/>
                <w:bCs w:val="0"/>
                <w:i w:val="0"/>
                <w:iCs w:val="0"/>
                <w:color w:val="000000"/>
                <w:kern w:val="0"/>
                <w:sz w:val="24"/>
                <w:szCs w:val="24"/>
                <w:u w:val="none"/>
                <w:lang w:val="en-US" w:eastAsia="zh-CN" w:bidi="ar"/>
              </w:rPr>
              <w:t>无锡玉祁/华佳/丹东实发/聚贤</w:t>
            </w:r>
            <w:r>
              <w:rPr>
                <w:rFonts w:hint="eastAsia" w:ascii="宋体" w:hAnsi="宋体" w:cs="宋体"/>
                <w:b w:val="0"/>
                <w:bCs w:val="0"/>
                <w:i w:val="0"/>
                <w:iCs w:val="0"/>
                <w:color w:val="000000"/>
                <w:kern w:val="0"/>
                <w:sz w:val="24"/>
                <w:szCs w:val="24"/>
                <w:u w:val="none"/>
                <w:lang w:val="en-US" w:eastAsia="zh-CN" w:bidi="ar"/>
              </w:rPr>
              <w:t>/玉净</w:t>
            </w:r>
          </w:p>
        </w:tc>
        <w:tc>
          <w:tcPr>
            <w:tcW w:w="873" w:type="pct"/>
            <w:shd w:val="clear" w:color="auto" w:fill="FFFFFF"/>
            <w:vAlign w:val="center"/>
          </w:tcPr>
          <w:p w14:paraId="12B5882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AF8C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79E567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620" w:type="pct"/>
            <w:shd w:val="clear" w:color="auto" w:fill="auto"/>
            <w:vAlign w:val="center"/>
          </w:tcPr>
          <w:p w14:paraId="197AB7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手动阀门</w:t>
            </w:r>
          </w:p>
        </w:tc>
        <w:tc>
          <w:tcPr>
            <w:tcW w:w="2195" w:type="pct"/>
            <w:shd w:val="clear" w:color="auto" w:fill="auto"/>
            <w:vAlign w:val="center"/>
          </w:tcPr>
          <w:p w14:paraId="702DFCB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上阀五厂/立信/麦德凯</w:t>
            </w:r>
          </w:p>
        </w:tc>
        <w:tc>
          <w:tcPr>
            <w:tcW w:w="873" w:type="pct"/>
            <w:shd w:val="clear" w:color="auto" w:fill="FFFFFF"/>
            <w:vAlign w:val="center"/>
          </w:tcPr>
          <w:p w14:paraId="0408EE9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18EF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02D88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620" w:type="pct"/>
            <w:shd w:val="clear" w:color="auto" w:fill="auto"/>
            <w:vAlign w:val="center"/>
          </w:tcPr>
          <w:p w14:paraId="570D2F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常温自动阀门</w:t>
            </w:r>
          </w:p>
        </w:tc>
        <w:tc>
          <w:tcPr>
            <w:tcW w:w="2195" w:type="pct"/>
            <w:shd w:val="clear" w:color="auto" w:fill="auto"/>
            <w:vAlign w:val="center"/>
          </w:tcPr>
          <w:p w14:paraId="022EA6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SED/EBRO/立信</w:t>
            </w:r>
          </w:p>
        </w:tc>
        <w:tc>
          <w:tcPr>
            <w:tcW w:w="873" w:type="pct"/>
            <w:shd w:val="clear" w:color="auto" w:fill="FFFFFF"/>
            <w:vAlign w:val="center"/>
          </w:tcPr>
          <w:p w14:paraId="2125DD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9D1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AD217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620" w:type="pct"/>
            <w:shd w:val="clear" w:color="auto" w:fill="auto"/>
            <w:vAlign w:val="center"/>
          </w:tcPr>
          <w:p w14:paraId="7C93F6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195" w:type="pct"/>
            <w:shd w:val="clear" w:color="auto" w:fill="auto"/>
            <w:vAlign w:val="center"/>
          </w:tcPr>
          <w:p w14:paraId="47556F0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873" w:type="pct"/>
            <w:shd w:val="clear" w:color="auto" w:fill="auto"/>
            <w:vAlign w:val="center"/>
          </w:tcPr>
          <w:p w14:paraId="20400C8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3F16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4CA6C7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620" w:type="pct"/>
            <w:shd w:val="clear" w:color="auto" w:fill="auto"/>
            <w:vAlign w:val="center"/>
          </w:tcPr>
          <w:p w14:paraId="4D55B3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风机、水泵轴承</w:t>
            </w:r>
          </w:p>
        </w:tc>
        <w:tc>
          <w:tcPr>
            <w:tcW w:w="2195" w:type="pct"/>
            <w:shd w:val="clear" w:color="auto" w:fill="auto"/>
            <w:vAlign w:val="center"/>
          </w:tcPr>
          <w:p w14:paraId="1D7AA6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SKF/NSK/FAG</w:t>
            </w:r>
          </w:p>
        </w:tc>
        <w:tc>
          <w:tcPr>
            <w:tcW w:w="873" w:type="pct"/>
            <w:shd w:val="clear" w:color="auto" w:fill="auto"/>
            <w:vAlign w:val="center"/>
          </w:tcPr>
          <w:p w14:paraId="19F54A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D7C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0A1E8B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620" w:type="pct"/>
            <w:shd w:val="clear" w:color="auto" w:fill="auto"/>
            <w:vAlign w:val="center"/>
          </w:tcPr>
          <w:p w14:paraId="2A26D7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风机、水泵电机</w:t>
            </w:r>
          </w:p>
        </w:tc>
        <w:tc>
          <w:tcPr>
            <w:tcW w:w="2195" w:type="pct"/>
            <w:shd w:val="clear" w:color="auto" w:fill="auto"/>
            <w:vAlign w:val="center"/>
          </w:tcPr>
          <w:p w14:paraId="5D06C8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西门子/SEW/AB</w:t>
            </w:r>
          </w:p>
        </w:tc>
        <w:tc>
          <w:tcPr>
            <w:tcW w:w="873" w:type="pct"/>
            <w:shd w:val="clear" w:color="auto" w:fill="FFFFFF"/>
            <w:vAlign w:val="center"/>
          </w:tcPr>
          <w:p w14:paraId="72A229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10D5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165E8B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620" w:type="pct"/>
            <w:shd w:val="clear" w:color="auto" w:fill="auto"/>
            <w:vAlign w:val="center"/>
          </w:tcPr>
          <w:p w14:paraId="39076F0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风机皮带</w:t>
            </w:r>
          </w:p>
        </w:tc>
        <w:tc>
          <w:tcPr>
            <w:tcW w:w="2195" w:type="pct"/>
            <w:shd w:val="clear" w:color="auto" w:fill="auto"/>
            <w:vAlign w:val="center"/>
          </w:tcPr>
          <w:p w14:paraId="6D5215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三星/盖茨/马牌（Contitech）</w:t>
            </w:r>
          </w:p>
        </w:tc>
        <w:tc>
          <w:tcPr>
            <w:tcW w:w="873" w:type="pct"/>
            <w:shd w:val="clear" w:color="auto" w:fill="FFFFFF"/>
            <w:vAlign w:val="center"/>
          </w:tcPr>
          <w:p w14:paraId="2970137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E7E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7598FF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620" w:type="pct"/>
            <w:shd w:val="clear" w:color="auto" w:fill="auto"/>
            <w:vAlign w:val="center"/>
          </w:tcPr>
          <w:p w14:paraId="6ACFA2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调节风门</w:t>
            </w:r>
          </w:p>
        </w:tc>
        <w:tc>
          <w:tcPr>
            <w:tcW w:w="2195" w:type="pct"/>
            <w:shd w:val="clear" w:color="auto" w:fill="auto"/>
            <w:vAlign w:val="center"/>
          </w:tcPr>
          <w:p w14:paraId="60C37C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上海显隆/新立达/郑州天工</w:t>
            </w:r>
          </w:p>
        </w:tc>
        <w:tc>
          <w:tcPr>
            <w:tcW w:w="873" w:type="pct"/>
            <w:shd w:val="clear" w:color="auto" w:fill="FFFFFF"/>
            <w:vAlign w:val="center"/>
          </w:tcPr>
          <w:p w14:paraId="57A7446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49B0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135959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620" w:type="pct"/>
            <w:shd w:val="clear" w:color="auto" w:fill="auto"/>
            <w:vAlign w:val="center"/>
          </w:tcPr>
          <w:p w14:paraId="643C668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防火阀（出口阀）</w:t>
            </w:r>
          </w:p>
        </w:tc>
        <w:tc>
          <w:tcPr>
            <w:tcW w:w="2195" w:type="pct"/>
            <w:shd w:val="clear" w:color="auto" w:fill="auto"/>
            <w:vAlign w:val="center"/>
          </w:tcPr>
          <w:p w14:paraId="3D079A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上海显隆/新立达/郑州天工</w:t>
            </w:r>
          </w:p>
        </w:tc>
        <w:tc>
          <w:tcPr>
            <w:tcW w:w="873" w:type="pct"/>
            <w:shd w:val="clear" w:color="auto" w:fill="FFFFFF"/>
            <w:vAlign w:val="center"/>
          </w:tcPr>
          <w:p w14:paraId="76DDBD9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C03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19281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620" w:type="pct"/>
            <w:shd w:val="clear" w:color="auto" w:fill="auto"/>
            <w:vAlign w:val="center"/>
          </w:tcPr>
          <w:p w14:paraId="4CD9B7C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冷水电动调节阀组及其自控元件</w:t>
            </w:r>
          </w:p>
        </w:tc>
        <w:tc>
          <w:tcPr>
            <w:tcW w:w="2195" w:type="pct"/>
            <w:shd w:val="clear" w:color="auto" w:fill="auto"/>
            <w:vAlign w:val="center"/>
          </w:tcPr>
          <w:p w14:paraId="10628B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欧文托普/西门子/霍尼韦尔</w:t>
            </w:r>
          </w:p>
        </w:tc>
        <w:tc>
          <w:tcPr>
            <w:tcW w:w="873" w:type="pct"/>
            <w:shd w:val="clear" w:color="auto" w:fill="FFFFFF"/>
            <w:vAlign w:val="center"/>
          </w:tcPr>
          <w:p w14:paraId="6CDD84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F315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79FD70D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620" w:type="pct"/>
            <w:shd w:val="clear" w:color="auto" w:fill="auto"/>
            <w:vAlign w:val="center"/>
          </w:tcPr>
          <w:p w14:paraId="420F4C6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格栅</w:t>
            </w:r>
          </w:p>
        </w:tc>
        <w:tc>
          <w:tcPr>
            <w:tcW w:w="2195" w:type="pct"/>
            <w:shd w:val="clear" w:color="auto" w:fill="auto"/>
            <w:vAlign w:val="center"/>
          </w:tcPr>
          <w:p w14:paraId="0923FF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烟台新科/无锡美罗/烟台华辉</w:t>
            </w:r>
          </w:p>
        </w:tc>
        <w:tc>
          <w:tcPr>
            <w:tcW w:w="873" w:type="pct"/>
            <w:shd w:val="clear" w:color="auto" w:fill="FFFFFF"/>
            <w:vAlign w:val="center"/>
          </w:tcPr>
          <w:p w14:paraId="15E3E94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15CC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324F77F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620" w:type="pct"/>
            <w:shd w:val="clear" w:color="auto" w:fill="auto"/>
            <w:vAlign w:val="center"/>
          </w:tcPr>
          <w:p w14:paraId="66CF96C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电控元器件</w:t>
            </w:r>
          </w:p>
        </w:tc>
        <w:tc>
          <w:tcPr>
            <w:tcW w:w="2195" w:type="pct"/>
            <w:shd w:val="clear" w:color="auto" w:fill="auto"/>
            <w:vAlign w:val="center"/>
          </w:tcPr>
          <w:p w14:paraId="3B8C451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873" w:type="pct"/>
            <w:shd w:val="clear" w:color="auto" w:fill="auto"/>
            <w:vAlign w:val="center"/>
          </w:tcPr>
          <w:p w14:paraId="07BF4B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3EB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69C3A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620" w:type="pct"/>
            <w:shd w:val="clear" w:color="auto" w:fill="auto"/>
            <w:vAlign w:val="center"/>
          </w:tcPr>
          <w:p w14:paraId="045AA66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磁性纸袋过滤机</w:t>
            </w:r>
          </w:p>
        </w:tc>
        <w:tc>
          <w:tcPr>
            <w:tcW w:w="2195" w:type="pct"/>
            <w:shd w:val="clear" w:color="auto" w:fill="auto"/>
            <w:vAlign w:val="center"/>
          </w:tcPr>
          <w:p w14:paraId="266475A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强工/烟台通赫/MSE</w:t>
            </w:r>
          </w:p>
        </w:tc>
        <w:tc>
          <w:tcPr>
            <w:tcW w:w="873" w:type="pct"/>
            <w:shd w:val="clear" w:color="auto" w:fill="auto"/>
            <w:vAlign w:val="center"/>
          </w:tcPr>
          <w:p w14:paraId="575602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1282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4B21E9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620" w:type="pct"/>
            <w:shd w:val="clear" w:color="auto" w:fill="auto"/>
            <w:vAlign w:val="center"/>
          </w:tcPr>
          <w:p w14:paraId="2D4D016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旋液分离器</w:t>
            </w:r>
          </w:p>
        </w:tc>
        <w:tc>
          <w:tcPr>
            <w:tcW w:w="2195" w:type="pct"/>
            <w:shd w:val="clear" w:color="auto" w:fill="auto"/>
            <w:vAlign w:val="center"/>
          </w:tcPr>
          <w:p w14:paraId="77BF5DB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强工/上海久丞/WOLFTECHNIK</w:t>
            </w:r>
          </w:p>
        </w:tc>
        <w:tc>
          <w:tcPr>
            <w:tcW w:w="873" w:type="pct"/>
            <w:shd w:val="clear" w:color="auto" w:fill="auto"/>
            <w:vAlign w:val="center"/>
          </w:tcPr>
          <w:p w14:paraId="64DED6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EE9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7B7DD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620" w:type="pct"/>
            <w:shd w:val="clear" w:color="auto" w:fill="auto"/>
            <w:vAlign w:val="center"/>
          </w:tcPr>
          <w:p w14:paraId="3164FF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磁性过滤器</w:t>
            </w:r>
          </w:p>
        </w:tc>
        <w:tc>
          <w:tcPr>
            <w:tcW w:w="2195" w:type="pct"/>
            <w:shd w:val="clear" w:color="auto" w:fill="auto"/>
            <w:vAlign w:val="center"/>
          </w:tcPr>
          <w:p w14:paraId="1A972D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强工/MHD/FSI</w:t>
            </w:r>
          </w:p>
        </w:tc>
        <w:tc>
          <w:tcPr>
            <w:tcW w:w="873" w:type="pct"/>
            <w:shd w:val="clear" w:color="auto" w:fill="FFFFFF"/>
            <w:vAlign w:val="center"/>
          </w:tcPr>
          <w:p w14:paraId="5D7C411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A49B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31DF6F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620" w:type="pct"/>
            <w:shd w:val="clear" w:color="auto" w:fill="auto"/>
            <w:vAlign w:val="center"/>
          </w:tcPr>
          <w:p w14:paraId="761586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整流电源</w:t>
            </w:r>
          </w:p>
        </w:tc>
        <w:tc>
          <w:tcPr>
            <w:tcW w:w="2195" w:type="pct"/>
            <w:shd w:val="clear" w:color="auto" w:fill="auto"/>
            <w:vAlign w:val="center"/>
          </w:tcPr>
          <w:p w14:paraId="6EE167D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莱特/尼尔/佳奇/宏诚</w:t>
            </w:r>
          </w:p>
        </w:tc>
        <w:tc>
          <w:tcPr>
            <w:tcW w:w="873" w:type="pct"/>
            <w:shd w:val="clear" w:color="auto" w:fill="FFFFFF"/>
            <w:vAlign w:val="center"/>
          </w:tcPr>
          <w:p w14:paraId="4DEE8C1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810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337D67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620" w:type="pct"/>
            <w:shd w:val="clear" w:color="auto" w:fill="auto"/>
            <w:vAlign w:val="center"/>
          </w:tcPr>
          <w:p w14:paraId="036C30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板框压滤机/除渣机</w:t>
            </w:r>
          </w:p>
        </w:tc>
        <w:tc>
          <w:tcPr>
            <w:tcW w:w="2195" w:type="pct"/>
            <w:shd w:val="clear" w:color="auto" w:fill="auto"/>
            <w:vAlign w:val="center"/>
          </w:tcPr>
          <w:p w14:paraId="6FB2EF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杭州金鸟/杭州兴源/杭州富江</w:t>
            </w:r>
          </w:p>
        </w:tc>
        <w:tc>
          <w:tcPr>
            <w:tcW w:w="873" w:type="pct"/>
            <w:shd w:val="clear" w:color="auto" w:fill="FFFFFF"/>
            <w:vAlign w:val="center"/>
          </w:tcPr>
          <w:p w14:paraId="47AC58D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4C4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310" w:type="pct"/>
            <w:shd w:val="clear" w:color="auto" w:fill="FFFFFF"/>
            <w:vAlign w:val="center"/>
          </w:tcPr>
          <w:p w14:paraId="66B3B67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620" w:type="pct"/>
            <w:shd w:val="clear" w:color="auto" w:fill="auto"/>
            <w:vAlign w:val="center"/>
          </w:tcPr>
          <w:p w14:paraId="6328946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高温烟管控制阀</w:t>
            </w:r>
          </w:p>
        </w:tc>
        <w:tc>
          <w:tcPr>
            <w:tcW w:w="2195" w:type="pct"/>
            <w:shd w:val="clear" w:color="auto" w:fill="auto"/>
            <w:vAlign w:val="center"/>
          </w:tcPr>
          <w:p w14:paraId="2CF60B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ARIS/西门子/霍尼韦尔</w:t>
            </w:r>
          </w:p>
        </w:tc>
        <w:tc>
          <w:tcPr>
            <w:tcW w:w="873" w:type="pct"/>
            <w:shd w:val="clear" w:color="auto" w:fill="FFFFFF"/>
            <w:vAlign w:val="center"/>
          </w:tcPr>
          <w:p w14:paraId="68CE58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8E7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4FA3CF9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620" w:type="pct"/>
            <w:shd w:val="clear" w:color="auto" w:fill="auto"/>
            <w:vAlign w:val="center"/>
          </w:tcPr>
          <w:p w14:paraId="5E672B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烤灯</w:t>
            </w:r>
          </w:p>
        </w:tc>
        <w:tc>
          <w:tcPr>
            <w:tcW w:w="2195" w:type="pct"/>
            <w:shd w:val="clear" w:color="auto" w:fill="auto"/>
            <w:vAlign w:val="center"/>
          </w:tcPr>
          <w:p w14:paraId="1940BF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奎科/GBO/珠海德博</w:t>
            </w:r>
          </w:p>
        </w:tc>
        <w:tc>
          <w:tcPr>
            <w:tcW w:w="873" w:type="pct"/>
            <w:shd w:val="clear" w:color="auto" w:fill="FFFFFF"/>
            <w:vAlign w:val="center"/>
          </w:tcPr>
          <w:p w14:paraId="543A76A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152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3EEEE4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620" w:type="pct"/>
            <w:shd w:val="clear" w:color="auto" w:fill="auto"/>
            <w:vAlign w:val="center"/>
          </w:tcPr>
          <w:p w14:paraId="1F3539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静压式压差计</w:t>
            </w:r>
          </w:p>
        </w:tc>
        <w:tc>
          <w:tcPr>
            <w:tcW w:w="2195" w:type="pct"/>
            <w:shd w:val="clear" w:color="auto" w:fill="auto"/>
            <w:vAlign w:val="center"/>
          </w:tcPr>
          <w:p w14:paraId="7CFCCA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P+F/IFM/E+H</w:t>
            </w:r>
          </w:p>
        </w:tc>
        <w:tc>
          <w:tcPr>
            <w:tcW w:w="873" w:type="pct"/>
            <w:shd w:val="clear" w:color="auto" w:fill="FFFFFF"/>
            <w:vAlign w:val="center"/>
          </w:tcPr>
          <w:p w14:paraId="3DD0E0F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39B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1603F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620" w:type="pct"/>
            <w:shd w:val="clear" w:color="auto" w:fill="auto"/>
            <w:vAlign w:val="center"/>
          </w:tcPr>
          <w:p w14:paraId="0791994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气动隔膜泵</w:t>
            </w:r>
          </w:p>
        </w:tc>
        <w:tc>
          <w:tcPr>
            <w:tcW w:w="2195" w:type="pct"/>
            <w:shd w:val="clear" w:color="auto" w:fill="auto"/>
            <w:vAlign w:val="center"/>
          </w:tcPr>
          <w:p w14:paraId="7758FD8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固瑞克/普罗名特/帕斯菲达</w:t>
            </w:r>
          </w:p>
        </w:tc>
        <w:tc>
          <w:tcPr>
            <w:tcW w:w="873" w:type="pct"/>
            <w:shd w:val="clear" w:color="auto" w:fill="FFFFFF"/>
            <w:vAlign w:val="center"/>
          </w:tcPr>
          <w:p w14:paraId="2CB7689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E01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35455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620" w:type="pct"/>
            <w:shd w:val="clear" w:color="auto" w:fill="auto"/>
            <w:vAlign w:val="center"/>
          </w:tcPr>
          <w:p w14:paraId="391F83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液位计</w:t>
            </w:r>
          </w:p>
        </w:tc>
        <w:tc>
          <w:tcPr>
            <w:tcW w:w="2195" w:type="pct"/>
            <w:shd w:val="clear" w:color="auto" w:fill="auto"/>
            <w:vAlign w:val="center"/>
          </w:tcPr>
          <w:p w14:paraId="189BF9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P+F/IFM/E+H</w:t>
            </w:r>
          </w:p>
        </w:tc>
        <w:tc>
          <w:tcPr>
            <w:tcW w:w="873" w:type="pct"/>
            <w:shd w:val="clear" w:color="auto" w:fill="FFFFFF"/>
            <w:vAlign w:val="center"/>
          </w:tcPr>
          <w:p w14:paraId="408061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34E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5DC4F0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620" w:type="pct"/>
            <w:shd w:val="clear" w:color="auto" w:fill="auto"/>
            <w:vAlign w:val="center"/>
          </w:tcPr>
          <w:p w14:paraId="725B37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计量泵</w:t>
            </w:r>
          </w:p>
        </w:tc>
        <w:tc>
          <w:tcPr>
            <w:tcW w:w="2195" w:type="pct"/>
            <w:shd w:val="clear" w:color="auto" w:fill="auto"/>
            <w:vAlign w:val="center"/>
          </w:tcPr>
          <w:p w14:paraId="514595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米顿罗/普罗名特/帕斯菲达</w:t>
            </w:r>
          </w:p>
        </w:tc>
        <w:tc>
          <w:tcPr>
            <w:tcW w:w="873" w:type="pct"/>
            <w:shd w:val="clear" w:color="auto" w:fill="FFFFFF"/>
            <w:vAlign w:val="center"/>
          </w:tcPr>
          <w:p w14:paraId="0B030C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15C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432813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620" w:type="pct"/>
            <w:shd w:val="clear" w:color="auto" w:fill="auto"/>
            <w:vAlign w:val="center"/>
          </w:tcPr>
          <w:p w14:paraId="37F87BF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压差计</w:t>
            </w:r>
          </w:p>
        </w:tc>
        <w:tc>
          <w:tcPr>
            <w:tcW w:w="2195" w:type="pct"/>
            <w:shd w:val="clear" w:color="auto" w:fill="auto"/>
            <w:vAlign w:val="center"/>
          </w:tcPr>
          <w:p w14:paraId="108D21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Dwyer/WIKA/西门子</w:t>
            </w:r>
          </w:p>
        </w:tc>
        <w:tc>
          <w:tcPr>
            <w:tcW w:w="873" w:type="pct"/>
            <w:shd w:val="clear" w:color="auto" w:fill="FFFFFF"/>
            <w:vAlign w:val="center"/>
          </w:tcPr>
          <w:p w14:paraId="4AD6C60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BCA7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70D91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620" w:type="pct"/>
            <w:shd w:val="clear" w:color="auto" w:fill="auto"/>
            <w:vAlign w:val="center"/>
          </w:tcPr>
          <w:p w14:paraId="217D2C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风淋室</w:t>
            </w:r>
          </w:p>
        </w:tc>
        <w:tc>
          <w:tcPr>
            <w:tcW w:w="2195" w:type="pct"/>
            <w:shd w:val="clear" w:color="auto" w:fill="auto"/>
            <w:vAlign w:val="center"/>
          </w:tcPr>
          <w:p w14:paraId="411356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苏净安泰/苏州科佳/无锡一净</w:t>
            </w:r>
          </w:p>
        </w:tc>
        <w:tc>
          <w:tcPr>
            <w:tcW w:w="873" w:type="pct"/>
            <w:shd w:val="clear" w:color="auto" w:fill="FFFFFF"/>
            <w:vAlign w:val="center"/>
          </w:tcPr>
          <w:p w14:paraId="4B4FBDB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2397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73478DE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620" w:type="pct"/>
            <w:shd w:val="clear" w:color="auto" w:fill="auto"/>
            <w:vAlign w:val="center"/>
          </w:tcPr>
          <w:p w14:paraId="6976A6F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喷嘴</w:t>
            </w:r>
          </w:p>
        </w:tc>
        <w:tc>
          <w:tcPr>
            <w:tcW w:w="2195" w:type="pct"/>
            <w:shd w:val="clear" w:color="auto" w:fill="auto"/>
            <w:vAlign w:val="center"/>
          </w:tcPr>
          <w:p w14:paraId="7DFA94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上海斯普瑞/莱克勒/鑫厚</w:t>
            </w:r>
          </w:p>
        </w:tc>
        <w:tc>
          <w:tcPr>
            <w:tcW w:w="873" w:type="pct"/>
            <w:shd w:val="clear" w:color="auto" w:fill="FFFFFF"/>
            <w:vAlign w:val="center"/>
          </w:tcPr>
          <w:p w14:paraId="6A316F7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A8AE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82BFD5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620" w:type="pct"/>
            <w:shd w:val="clear" w:color="auto" w:fill="auto"/>
            <w:vAlign w:val="center"/>
          </w:tcPr>
          <w:p w14:paraId="1DC4909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电导率仪</w:t>
            </w:r>
          </w:p>
        </w:tc>
        <w:tc>
          <w:tcPr>
            <w:tcW w:w="2195" w:type="pct"/>
            <w:shd w:val="clear" w:color="auto" w:fill="auto"/>
            <w:vAlign w:val="center"/>
          </w:tcPr>
          <w:p w14:paraId="4D8EE7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美国G+F/FTI/E+H</w:t>
            </w:r>
          </w:p>
        </w:tc>
        <w:tc>
          <w:tcPr>
            <w:tcW w:w="873" w:type="pct"/>
            <w:shd w:val="clear" w:color="auto" w:fill="FFFFFF"/>
            <w:vAlign w:val="center"/>
          </w:tcPr>
          <w:p w14:paraId="63A9BFB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873E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4B5667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620" w:type="pct"/>
            <w:shd w:val="clear" w:color="auto" w:fill="auto"/>
            <w:vAlign w:val="center"/>
          </w:tcPr>
          <w:p w14:paraId="6F504EC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气动隔膜阀</w:t>
            </w:r>
          </w:p>
        </w:tc>
        <w:tc>
          <w:tcPr>
            <w:tcW w:w="2195" w:type="pct"/>
            <w:shd w:val="clear" w:color="auto" w:fill="auto"/>
            <w:vAlign w:val="center"/>
          </w:tcPr>
          <w:p w14:paraId="0E92610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固瑞克/普罗名特/帕斯菲达</w:t>
            </w:r>
          </w:p>
        </w:tc>
        <w:tc>
          <w:tcPr>
            <w:tcW w:w="873" w:type="pct"/>
            <w:shd w:val="clear" w:color="auto" w:fill="FFFFFF"/>
            <w:vAlign w:val="center"/>
          </w:tcPr>
          <w:p w14:paraId="780FEFF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7D6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11334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620" w:type="pct"/>
            <w:shd w:val="clear" w:color="auto" w:fill="auto"/>
            <w:vAlign w:val="center"/>
          </w:tcPr>
          <w:p w14:paraId="2C4CA1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电动开关阀</w:t>
            </w:r>
          </w:p>
        </w:tc>
        <w:tc>
          <w:tcPr>
            <w:tcW w:w="2195" w:type="pct"/>
            <w:shd w:val="clear" w:color="auto" w:fill="auto"/>
            <w:vAlign w:val="center"/>
          </w:tcPr>
          <w:p w14:paraId="47A4988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SED/EBRO/立信</w:t>
            </w:r>
          </w:p>
        </w:tc>
        <w:tc>
          <w:tcPr>
            <w:tcW w:w="873" w:type="pct"/>
            <w:shd w:val="clear" w:color="auto" w:fill="FFFFFF"/>
            <w:vAlign w:val="center"/>
          </w:tcPr>
          <w:p w14:paraId="07B4401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DF2D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49E6B19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620" w:type="pct"/>
            <w:shd w:val="clear" w:color="auto" w:fill="auto"/>
            <w:vAlign w:val="center"/>
          </w:tcPr>
          <w:p w14:paraId="3490E3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流量计</w:t>
            </w:r>
          </w:p>
        </w:tc>
        <w:tc>
          <w:tcPr>
            <w:tcW w:w="2195" w:type="pct"/>
            <w:shd w:val="clear" w:color="auto" w:fill="auto"/>
            <w:vAlign w:val="center"/>
          </w:tcPr>
          <w:p w14:paraId="4DF106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上海肯特/上海光华/上海自动化仪表</w:t>
            </w:r>
          </w:p>
        </w:tc>
        <w:tc>
          <w:tcPr>
            <w:tcW w:w="873" w:type="pct"/>
            <w:shd w:val="clear" w:color="auto" w:fill="FFFFFF"/>
            <w:vAlign w:val="center"/>
          </w:tcPr>
          <w:p w14:paraId="3DC5B8C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F963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3A4659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620" w:type="pct"/>
            <w:shd w:val="clear" w:color="auto" w:fill="auto"/>
            <w:vAlign w:val="center"/>
          </w:tcPr>
          <w:p w14:paraId="552218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气动元件/气缸</w:t>
            </w:r>
          </w:p>
        </w:tc>
        <w:tc>
          <w:tcPr>
            <w:tcW w:w="2195" w:type="pct"/>
            <w:shd w:val="clear" w:color="auto" w:fill="auto"/>
            <w:vAlign w:val="center"/>
          </w:tcPr>
          <w:p w14:paraId="6806B9D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873" w:type="pct"/>
            <w:shd w:val="clear" w:color="auto" w:fill="auto"/>
            <w:vAlign w:val="center"/>
          </w:tcPr>
          <w:p w14:paraId="3D6F0E7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7984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19AED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620" w:type="pct"/>
            <w:shd w:val="clear" w:color="auto" w:fill="auto"/>
            <w:vAlign w:val="center"/>
          </w:tcPr>
          <w:p w14:paraId="7EF1C4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195" w:type="pct"/>
            <w:shd w:val="clear" w:color="auto" w:fill="auto"/>
            <w:vAlign w:val="center"/>
          </w:tcPr>
          <w:p w14:paraId="5E9D9B3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873" w:type="pct"/>
            <w:shd w:val="clear" w:color="auto" w:fill="auto"/>
            <w:vAlign w:val="center"/>
          </w:tcPr>
          <w:p w14:paraId="6EBB728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38C7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10" w:type="pct"/>
            <w:shd w:val="clear" w:color="auto" w:fill="FFFFFF"/>
            <w:vAlign w:val="center"/>
          </w:tcPr>
          <w:p w14:paraId="312532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620" w:type="pct"/>
            <w:shd w:val="clear" w:color="auto" w:fill="auto"/>
            <w:vAlign w:val="center"/>
          </w:tcPr>
          <w:p w14:paraId="289B2D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195" w:type="pct"/>
            <w:shd w:val="clear" w:color="auto" w:fill="auto"/>
            <w:vAlign w:val="center"/>
          </w:tcPr>
          <w:p w14:paraId="439AB7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873" w:type="pct"/>
            <w:shd w:val="clear" w:color="auto" w:fill="auto"/>
            <w:vAlign w:val="center"/>
          </w:tcPr>
          <w:p w14:paraId="16115E0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AF58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FA2A3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620" w:type="pct"/>
            <w:shd w:val="clear" w:color="auto" w:fill="auto"/>
            <w:vAlign w:val="center"/>
          </w:tcPr>
          <w:p w14:paraId="13FFF4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195" w:type="pct"/>
            <w:shd w:val="clear" w:color="auto" w:fill="auto"/>
            <w:vAlign w:val="center"/>
          </w:tcPr>
          <w:p w14:paraId="1F75EE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873" w:type="pct"/>
            <w:shd w:val="clear" w:color="auto" w:fill="auto"/>
            <w:vAlign w:val="center"/>
          </w:tcPr>
          <w:p w14:paraId="06125DC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2841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34644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620" w:type="pct"/>
            <w:shd w:val="clear" w:color="auto" w:fill="auto"/>
            <w:vAlign w:val="center"/>
          </w:tcPr>
          <w:p w14:paraId="2CC183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RFID</w:t>
            </w:r>
          </w:p>
        </w:tc>
        <w:tc>
          <w:tcPr>
            <w:tcW w:w="2195" w:type="pct"/>
            <w:shd w:val="clear" w:color="auto" w:fill="auto"/>
            <w:vAlign w:val="center"/>
          </w:tcPr>
          <w:p w14:paraId="0DB5251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西门子/P+F/SICK</w:t>
            </w:r>
          </w:p>
        </w:tc>
        <w:tc>
          <w:tcPr>
            <w:tcW w:w="873" w:type="pct"/>
            <w:shd w:val="clear" w:color="auto" w:fill="auto"/>
            <w:vAlign w:val="center"/>
          </w:tcPr>
          <w:p w14:paraId="3ABEC7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2ED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D1125C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620" w:type="pct"/>
            <w:shd w:val="clear" w:color="auto" w:fill="auto"/>
            <w:vAlign w:val="center"/>
          </w:tcPr>
          <w:p w14:paraId="2C7CDD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195" w:type="pct"/>
            <w:shd w:val="clear" w:color="auto" w:fill="auto"/>
            <w:vAlign w:val="center"/>
          </w:tcPr>
          <w:p w14:paraId="2F0022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873" w:type="pct"/>
            <w:shd w:val="clear" w:color="auto" w:fill="auto"/>
            <w:vAlign w:val="center"/>
          </w:tcPr>
          <w:p w14:paraId="238EBF1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BAD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2F79EB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620" w:type="pct"/>
            <w:shd w:val="clear" w:color="auto" w:fill="auto"/>
            <w:vAlign w:val="center"/>
          </w:tcPr>
          <w:p w14:paraId="036EEB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195" w:type="pct"/>
            <w:shd w:val="clear" w:color="auto" w:fill="auto"/>
            <w:vAlign w:val="center"/>
          </w:tcPr>
          <w:p w14:paraId="1AA2D7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873" w:type="pct"/>
            <w:shd w:val="clear" w:color="auto" w:fill="auto"/>
            <w:vAlign w:val="center"/>
          </w:tcPr>
          <w:p w14:paraId="15D753C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29B7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D2D67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620" w:type="pct"/>
            <w:shd w:val="clear" w:color="auto" w:fill="auto"/>
            <w:vAlign w:val="center"/>
          </w:tcPr>
          <w:p w14:paraId="03DC01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激光测距</w:t>
            </w:r>
          </w:p>
        </w:tc>
        <w:tc>
          <w:tcPr>
            <w:tcW w:w="2195" w:type="pct"/>
            <w:shd w:val="clear" w:color="auto" w:fill="auto"/>
            <w:vAlign w:val="center"/>
          </w:tcPr>
          <w:p w14:paraId="17EC02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P+F/SICK/IFM</w:t>
            </w:r>
          </w:p>
        </w:tc>
        <w:tc>
          <w:tcPr>
            <w:tcW w:w="873" w:type="pct"/>
            <w:shd w:val="clear" w:color="auto" w:fill="auto"/>
            <w:vAlign w:val="center"/>
          </w:tcPr>
          <w:p w14:paraId="2C4AD1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8457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D636F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1620" w:type="pct"/>
            <w:shd w:val="clear" w:color="auto" w:fill="auto"/>
            <w:vAlign w:val="center"/>
          </w:tcPr>
          <w:p w14:paraId="445B2D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条码系统</w:t>
            </w:r>
          </w:p>
        </w:tc>
        <w:tc>
          <w:tcPr>
            <w:tcW w:w="2195" w:type="pct"/>
            <w:shd w:val="clear" w:color="auto" w:fill="auto"/>
            <w:vAlign w:val="center"/>
          </w:tcPr>
          <w:p w14:paraId="329877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P+F/SICK/Leuze</w:t>
            </w:r>
          </w:p>
        </w:tc>
        <w:tc>
          <w:tcPr>
            <w:tcW w:w="873" w:type="pct"/>
            <w:shd w:val="clear" w:color="auto" w:fill="auto"/>
            <w:vAlign w:val="center"/>
          </w:tcPr>
          <w:p w14:paraId="0A0AB2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EABF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2D77DDA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1620" w:type="pct"/>
            <w:shd w:val="clear" w:color="auto" w:fill="auto"/>
            <w:vAlign w:val="center"/>
          </w:tcPr>
          <w:p w14:paraId="0FA93C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195" w:type="pct"/>
            <w:shd w:val="clear" w:color="auto" w:fill="auto"/>
            <w:vAlign w:val="center"/>
          </w:tcPr>
          <w:p w14:paraId="0E9867C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873" w:type="pct"/>
            <w:shd w:val="clear" w:color="auto" w:fill="auto"/>
            <w:vAlign w:val="center"/>
          </w:tcPr>
          <w:p w14:paraId="3927FDC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7DF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BD6DE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1620" w:type="pct"/>
            <w:shd w:val="clear" w:color="auto" w:fill="auto"/>
            <w:vAlign w:val="center"/>
          </w:tcPr>
          <w:p w14:paraId="3BE058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高温接近开关</w:t>
            </w:r>
          </w:p>
        </w:tc>
        <w:tc>
          <w:tcPr>
            <w:tcW w:w="2195" w:type="pct"/>
            <w:shd w:val="clear" w:color="auto" w:fill="auto"/>
            <w:vAlign w:val="center"/>
          </w:tcPr>
          <w:p w14:paraId="5A87CD8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科瑞/P+F/IFM</w:t>
            </w:r>
          </w:p>
        </w:tc>
        <w:tc>
          <w:tcPr>
            <w:tcW w:w="873" w:type="pct"/>
            <w:shd w:val="clear" w:color="auto" w:fill="auto"/>
            <w:vAlign w:val="center"/>
          </w:tcPr>
          <w:p w14:paraId="217D26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70B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566811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620" w:type="pct"/>
            <w:shd w:val="clear" w:color="auto" w:fill="auto"/>
            <w:vAlign w:val="center"/>
          </w:tcPr>
          <w:p w14:paraId="071F7B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195" w:type="pct"/>
            <w:shd w:val="clear" w:color="auto" w:fill="auto"/>
            <w:vAlign w:val="center"/>
          </w:tcPr>
          <w:p w14:paraId="4E9125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873" w:type="pct"/>
            <w:shd w:val="clear" w:color="auto" w:fill="auto"/>
            <w:vAlign w:val="center"/>
          </w:tcPr>
          <w:p w14:paraId="70ECD5F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50B1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7E1085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1620" w:type="pct"/>
            <w:shd w:val="clear" w:color="auto" w:fill="auto"/>
            <w:vAlign w:val="center"/>
          </w:tcPr>
          <w:p w14:paraId="0E194C8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195" w:type="pct"/>
            <w:shd w:val="clear" w:color="auto" w:fill="auto"/>
            <w:vAlign w:val="center"/>
          </w:tcPr>
          <w:p w14:paraId="7B12921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873" w:type="pct"/>
            <w:shd w:val="clear" w:color="auto" w:fill="auto"/>
            <w:vAlign w:val="center"/>
          </w:tcPr>
          <w:p w14:paraId="1CA83BB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CBD2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0FC1C4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1620" w:type="pct"/>
            <w:shd w:val="clear" w:color="auto" w:fill="auto"/>
            <w:vAlign w:val="center"/>
          </w:tcPr>
          <w:p w14:paraId="2D8F7B7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195" w:type="pct"/>
            <w:shd w:val="clear" w:color="auto" w:fill="auto"/>
            <w:vAlign w:val="center"/>
          </w:tcPr>
          <w:p w14:paraId="59171E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873" w:type="pct"/>
            <w:shd w:val="clear" w:color="auto" w:fill="auto"/>
            <w:vAlign w:val="center"/>
          </w:tcPr>
          <w:p w14:paraId="260400F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BD2E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310" w:type="pct"/>
            <w:shd w:val="clear" w:color="auto" w:fill="FFFFFF"/>
            <w:vAlign w:val="center"/>
          </w:tcPr>
          <w:p w14:paraId="686F6FA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1620" w:type="pct"/>
            <w:shd w:val="clear" w:color="auto" w:fill="auto"/>
            <w:vAlign w:val="center"/>
          </w:tcPr>
          <w:p w14:paraId="16700AB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195" w:type="pct"/>
            <w:shd w:val="clear" w:color="auto" w:fill="auto"/>
            <w:vAlign w:val="center"/>
          </w:tcPr>
          <w:p w14:paraId="102BB4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873" w:type="pct"/>
            <w:shd w:val="clear" w:color="auto" w:fill="auto"/>
            <w:vAlign w:val="center"/>
          </w:tcPr>
          <w:p w14:paraId="2D249D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740C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0" w:type="pct"/>
            <w:shd w:val="clear" w:color="auto" w:fill="FFFFFF"/>
            <w:vAlign w:val="center"/>
          </w:tcPr>
          <w:p w14:paraId="00F14A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1620" w:type="pct"/>
            <w:shd w:val="clear" w:color="auto" w:fill="auto"/>
            <w:vAlign w:val="center"/>
          </w:tcPr>
          <w:p w14:paraId="515B55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耐高温电缆</w:t>
            </w:r>
          </w:p>
        </w:tc>
        <w:tc>
          <w:tcPr>
            <w:tcW w:w="2195" w:type="pct"/>
            <w:shd w:val="clear" w:color="auto" w:fill="auto"/>
            <w:vAlign w:val="center"/>
          </w:tcPr>
          <w:p w14:paraId="48F121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LAPP/HELUKABEL/IGUS</w:t>
            </w:r>
          </w:p>
        </w:tc>
        <w:tc>
          <w:tcPr>
            <w:tcW w:w="873" w:type="pct"/>
            <w:shd w:val="clear" w:color="auto" w:fill="auto"/>
            <w:vAlign w:val="center"/>
          </w:tcPr>
          <w:p w14:paraId="15A1E56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F60D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0" w:type="pct"/>
            <w:shd w:val="clear" w:color="auto" w:fill="FFFFFF"/>
            <w:vAlign w:val="center"/>
          </w:tcPr>
          <w:p w14:paraId="3ADFCBB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620" w:type="pct"/>
            <w:shd w:val="clear" w:color="auto" w:fill="auto"/>
            <w:vAlign w:val="center"/>
          </w:tcPr>
          <w:p w14:paraId="0E7A82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195" w:type="pct"/>
            <w:shd w:val="clear" w:color="auto" w:fill="auto"/>
            <w:vAlign w:val="center"/>
          </w:tcPr>
          <w:p w14:paraId="13334D5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873" w:type="pct"/>
            <w:shd w:val="clear" w:color="auto" w:fill="FFFFFF"/>
            <w:vAlign w:val="center"/>
          </w:tcPr>
          <w:p w14:paraId="76DF3A4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DE45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0" w:type="pct"/>
            <w:shd w:val="clear" w:color="auto" w:fill="FFFFFF"/>
            <w:vAlign w:val="center"/>
          </w:tcPr>
          <w:p w14:paraId="4BC8A1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1620" w:type="pct"/>
            <w:shd w:val="clear" w:color="auto" w:fill="auto"/>
            <w:vAlign w:val="center"/>
          </w:tcPr>
          <w:p w14:paraId="06EBA35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195" w:type="pct"/>
            <w:shd w:val="clear" w:color="auto" w:fill="auto"/>
            <w:vAlign w:val="center"/>
          </w:tcPr>
          <w:p w14:paraId="03BC9AB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873" w:type="pct"/>
            <w:shd w:val="clear" w:color="auto" w:fill="FFFFFF"/>
            <w:vAlign w:val="center"/>
          </w:tcPr>
          <w:p w14:paraId="660297D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DDE8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310" w:type="pct"/>
            <w:shd w:val="clear" w:color="auto" w:fill="FFFFFF"/>
            <w:vAlign w:val="center"/>
          </w:tcPr>
          <w:p w14:paraId="3CAE4E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1620" w:type="pct"/>
            <w:shd w:val="clear" w:color="auto" w:fill="auto"/>
            <w:vAlign w:val="center"/>
          </w:tcPr>
          <w:p w14:paraId="19B12D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高温链条</w:t>
            </w:r>
          </w:p>
        </w:tc>
        <w:tc>
          <w:tcPr>
            <w:tcW w:w="2195" w:type="pct"/>
            <w:shd w:val="clear" w:color="auto" w:fill="auto"/>
            <w:vAlign w:val="center"/>
          </w:tcPr>
          <w:p w14:paraId="3159E0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wolf/日本椿本/KANA</w:t>
            </w:r>
          </w:p>
        </w:tc>
        <w:tc>
          <w:tcPr>
            <w:tcW w:w="873" w:type="pct"/>
            <w:shd w:val="clear" w:color="auto" w:fill="auto"/>
            <w:vAlign w:val="center"/>
          </w:tcPr>
          <w:p w14:paraId="01024EA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E2DC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5000" w:type="pct"/>
            <w:gridSpan w:val="4"/>
            <w:shd w:val="clear" w:color="auto" w:fill="auto"/>
            <w:vAlign w:val="center"/>
          </w:tcPr>
          <w:p w14:paraId="5D5B97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4F97A39A">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4"/>
        <w:gridCol w:w="2618"/>
        <w:gridCol w:w="4281"/>
        <w:gridCol w:w="2081"/>
      </w:tblGrid>
      <w:tr w14:paraId="56AC0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F599B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涂装非标电器设备外购件品牌清单</w:t>
            </w:r>
          </w:p>
        </w:tc>
      </w:tr>
      <w:tr w14:paraId="62D4F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804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35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96C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21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346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10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324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FABB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BAA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A54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2180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1B99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D994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BCC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CA2FB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5435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00DC2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575E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E470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C09F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8C55F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雷博/雷子克/威图</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E44E6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39F8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DB5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E4FC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217" w:type="pct"/>
            <w:tcBorders>
              <w:top w:val="nil"/>
              <w:left w:val="nil"/>
              <w:bottom w:val="nil"/>
              <w:right w:val="nil"/>
            </w:tcBorders>
            <w:shd w:val="clear" w:color="auto" w:fill="auto"/>
            <w:noWrap/>
            <w:vAlign w:val="center"/>
          </w:tcPr>
          <w:p w14:paraId="5C915945">
            <w:pPr>
              <w:keepNext w:val="0"/>
              <w:keepLines w:val="0"/>
              <w:pageBreakBefore w:val="0"/>
              <w:widowControl/>
              <w:suppressLineNumbers w:val="0"/>
              <w:kinsoku/>
              <w:topLinePunct w:val="0"/>
              <w:bidi w:val="0"/>
              <w:adjustRightInd w:val="0"/>
              <w:snapToGrid w:val="0"/>
              <w:spacing w:afterAutospacing="0" w:line="240" w:lineRule="auto"/>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B6D92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8758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A4E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CFE2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8925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Profinet/EtherNet/IP/ CCLIK-IE </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1C0961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A742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F81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431F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217" w:type="pct"/>
            <w:tcBorders>
              <w:top w:val="nil"/>
              <w:left w:val="single" w:color="000000" w:sz="4" w:space="0"/>
              <w:bottom w:val="nil"/>
              <w:right w:val="single" w:color="000000" w:sz="4" w:space="0"/>
            </w:tcBorders>
            <w:shd w:val="clear" w:color="auto" w:fill="FFFFFF"/>
            <w:vAlign w:val="center"/>
          </w:tcPr>
          <w:p w14:paraId="538355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78C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9D71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1D0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CC5D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217" w:type="pct"/>
            <w:tcBorders>
              <w:top w:val="nil"/>
              <w:left w:val="single" w:color="000000" w:sz="4" w:space="0"/>
              <w:bottom w:val="nil"/>
              <w:right w:val="single" w:color="000000" w:sz="4" w:space="0"/>
            </w:tcBorders>
            <w:shd w:val="clear" w:color="auto" w:fill="FFFFFF"/>
            <w:vAlign w:val="center"/>
          </w:tcPr>
          <w:p w14:paraId="283149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2447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7014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13F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B01DB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B998F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07E1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7C33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EF4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79D1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A35A3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4CA5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DC8D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25C7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72CA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3692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B9959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CC1A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198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83E85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7DA57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771A3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BBC5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A61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2F9C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D27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81455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6EFC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70A8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6167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6D47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0552A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13E6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753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8093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接近开关</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A0995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P+F/Contrinex堪泰/欧姆龙</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4572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238FB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97D8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62D7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AD5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D879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4C96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A91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111C9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液位传感器</w:t>
            </w:r>
          </w:p>
        </w:tc>
        <w:tc>
          <w:tcPr>
            <w:tcW w:w="2217" w:type="pct"/>
            <w:tcBorders>
              <w:top w:val="nil"/>
              <w:left w:val="nil"/>
              <w:bottom w:val="nil"/>
              <w:right w:val="nil"/>
            </w:tcBorders>
            <w:shd w:val="clear" w:color="auto" w:fill="auto"/>
            <w:vAlign w:val="center"/>
          </w:tcPr>
          <w:p w14:paraId="7414653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欧姆龙/P+F/IFM</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80F1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5242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BA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C48A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空气压差计</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DD45F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西门子/dwyer/WIKA</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0353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B48D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190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296D8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风门调节电机</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6961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西门子/AB/ARIS/霍尼韦尔</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6FEE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44EF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E502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D32C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温度传感器</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B64D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西门子/SAIC/霍尼韦尔</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F120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4E20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AB0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5A1A0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湿度传感器</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0A14E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西门子/AB/WIKA</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BCF9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AF89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8FAE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DB34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冷水电动调节阀组及其自控元件</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C8DD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 欧文托普/西门子/三菱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977F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A530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9D9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10DF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电控元器件</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69F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E1D8D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773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EB54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351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高温烟管控制阀</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C226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ARIS/西门子/RBT</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F630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2BE1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CE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F7B5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转子流量计</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57B6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盖米/GF/KING/BLUWHIT</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4676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3A06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BC8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BF97D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货梯</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415805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科达/菱王/三菱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6223F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4E5D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138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16E1F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组态画面</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CAB6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B567A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5198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410C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D12616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868C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47569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68EC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34B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672F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217" w:type="pct"/>
            <w:tcBorders>
              <w:top w:val="nil"/>
              <w:left w:val="nil"/>
              <w:bottom w:val="nil"/>
              <w:right w:val="nil"/>
            </w:tcBorders>
            <w:shd w:val="clear" w:color="auto" w:fill="FFFFFF"/>
            <w:vAlign w:val="center"/>
          </w:tcPr>
          <w:p w14:paraId="4AA844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F4CC6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7A1B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B5A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4997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E9CF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28EDD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47CF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51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495B0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RFID</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DD8F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西门子/P+F/SICK</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4C1C6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349B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134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138A9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A1CFB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20E7E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DF2F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7696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6E18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4B4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038371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7F4D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131E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5F32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激光测距</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BF94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P+F/SICK/IFM</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0C9D0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389A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D58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10B13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条码系统</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2DE98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P+F/SICK/Leuze</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3BC4E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5D5D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286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421AE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C25A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05C85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83EBD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F5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C496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高温接近开关</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A16A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科瑞/P+F/IFM</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03167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8611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C6D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EDFC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EC2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0AB9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E9AD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FAE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FD44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4E28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0D30B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07E4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B46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9513E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7ACE6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2FF6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E5E4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907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657D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21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570F3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7449B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01A1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90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F5F6F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耐高温电缆</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0079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LAPP/HELUKABEL/IGUS</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CC11B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140F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94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6AE51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97E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F78C9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61D2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A3A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F9C7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BE32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23720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40C5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AA5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35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132E2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高温链条</w:t>
            </w:r>
          </w:p>
        </w:tc>
        <w:tc>
          <w:tcPr>
            <w:tcW w:w="22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D0F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wolf/日本椿本/KANA</w:t>
            </w:r>
          </w:p>
        </w:tc>
        <w:tc>
          <w:tcPr>
            <w:tcW w:w="10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587EE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5A98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9"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0EB213">
            <w:pPr>
              <w:keepNext w:val="0"/>
              <w:keepLines w:val="0"/>
              <w:pageBreakBefore w:val="0"/>
              <w:widowControl/>
              <w:suppressLineNumbers w:val="0"/>
              <w:kinsoku/>
              <w:topLinePunct w:val="0"/>
              <w:bidi w:val="0"/>
              <w:adjustRightInd w:val="0"/>
              <w:snapToGrid w:val="0"/>
              <w:spacing w:afterAutospacing="0" w:line="240" w:lineRule="auto"/>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5EA5C33D">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74"/>
        <w:gridCol w:w="2253"/>
        <w:gridCol w:w="4593"/>
        <w:gridCol w:w="2134"/>
      </w:tblGrid>
      <w:tr w14:paraId="0FFB7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5000" w:type="pct"/>
            <w:gridSpan w:val="4"/>
            <w:shd w:val="clear" w:color="auto" w:fill="auto"/>
            <w:vAlign w:val="center"/>
          </w:tcPr>
          <w:p w14:paraId="058545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涂装输送设备外购件品牌清单</w:t>
            </w:r>
          </w:p>
        </w:tc>
      </w:tr>
      <w:tr w14:paraId="66F4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49" w:type="pct"/>
            <w:shd w:val="clear" w:color="auto" w:fill="auto"/>
            <w:vAlign w:val="center"/>
          </w:tcPr>
          <w:p w14:paraId="2C2535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167" w:type="pct"/>
            <w:shd w:val="clear" w:color="auto" w:fill="auto"/>
            <w:vAlign w:val="center"/>
          </w:tcPr>
          <w:p w14:paraId="473BD29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379" w:type="pct"/>
            <w:shd w:val="clear" w:color="auto" w:fill="FFFFFF"/>
            <w:noWrap/>
            <w:vAlign w:val="center"/>
          </w:tcPr>
          <w:p w14:paraId="59D8056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1103" w:type="pct"/>
            <w:shd w:val="clear" w:color="auto" w:fill="auto"/>
            <w:noWrap/>
            <w:vAlign w:val="center"/>
          </w:tcPr>
          <w:p w14:paraId="17AC9C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5ADB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68E05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167" w:type="pct"/>
            <w:shd w:val="clear" w:color="auto" w:fill="auto"/>
            <w:vAlign w:val="center"/>
          </w:tcPr>
          <w:p w14:paraId="4756E1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379" w:type="pct"/>
            <w:shd w:val="clear" w:color="auto" w:fill="auto"/>
            <w:vAlign w:val="center"/>
          </w:tcPr>
          <w:p w14:paraId="2665D8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1103" w:type="pct"/>
            <w:shd w:val="clear" w:color="auto" w:fill="auto"/>
            <w:vAlign w:val="center"/>
          </w:tcPr>
          <w:p w14:paraId="581DB03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AA2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1DFCDF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167" w:type="pct"/>
            <w:shd w:val="clear" w:color="auto" w:fill="auto"/>
            <w:vAlign w:val="center"/>
          </w:tcPr>
          <w:p w14:paraId="64687F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输送润滑装置</w:t>
            </w:r>
          </w:p>
        </w:tc>
        <w:tc>
          <w:tcPr>
            <w:tcW w:w="2379" w:type="pct"/>
            <w:shd w:val="clear" w:color="auto" w:fill="auto"/>
            <w:vAlign w:val="center"/>
          </w:tcPr>
          <w:p w14:paraId="42F81E4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上海莱伯斯/上海福鸟/上海滋油</w:t>
            </w:r>
          </w:p>
        </w:tc>
        <w:tc>
          <w:tcPr>
            <w:tcW w:w="1103" w:type="pct"/>
            <w:shd w:val="clear" w:color="auto" w:fill="auto"/>
            <w:vAlign w:val="center"/>
          </w:tcPr>
          <w:p w14:paraId="4B058FD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CF5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2230654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167" w:type="pct"/>
            <w:shd w:val="clear" w:color="auto" w:fill="auto"/>
            <w:vAlign w:val="center"/>
          </w:tcPr>
          <w:p w14:paraId="209ABA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常温升降机皮带</w:t>
            </w:r>
          </w:p>
        </w:tc>
        <w:tc>
          <w:tcPr>
            <w:tcW w:w="2379" w:type="pct"/>
            <w:shd w:val="clear" w:color="auto" w:fill="auto"/>
            <w:vAlign w:val="center"/>
          </w:tcPr>
          <w:p w14:paraId="0FF95A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Style w:val="527"/>
                <w:rFonts w:hint="eastAsia" w:ascii="宋体" w:hAnsi="宋体" w:eastAsia="宋体" w:cs="宋体"/>
                <w:b w:val="0"/>
                <w:bCs w:val="0"/>
                <w:sz w:val="24"/>
                <w:szCs w:val="24"/>
                <w:lang w:val="en-US" w:eastAsia="zh-CN" w:bidi="ar"/>
              </w:rPr>
              <w:t>Gummi/gates</w:t>
            </w:r>
            <w:r>
              <w:rPr>
                <w:rStyle w:val="528"/>
                <w:rFonts w:hint="eastAsia" w:ascii="宋体" w:hAnsi="宋体" w:eastAsia="宋体" w:cs="宋体"/>
                <w:b w:val="0"/>
                <w:bCs w:val="0"/>
                <w:sz w:val="24"/>
                <w:szCs w:val="24"/>
                <w:lang w:val="en-US" w:eastAsia="zh-CN" w:bidi="ar"/>
              </w:rPr>
              <w:t>/马牌（Contitech）</w:t>
            </w:r>
          </w:p>
        </w:tc>
        <w:tc>
          <w:tcPr>
            <w:tcW w:w="1103" w:type="pct"/>
            <w:shd w:val="clear" w:color="auto" w:fill="auto"/>
            <w:vAlign w:val="center"/>
          </w:tcPr>
          <w:p w14:paraId="3B1AA6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438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91F7B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167" w:type="pct"/>
            <w:shd w:val="clear" w:color="auto" w:fill="auto"/>
            <w:vAlign w:val="center"/>
          </w:tcPr>
          <w:p w14:paraId="14881C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379" w:type="pct"/>
            <w:shd w:val="clear" w:color="auto" w:fill="FFFFFF"/>
            <w:vAlign w:val="center"/>
          </w:tcPr>
          <w:p w14:paraId="1C9A32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1103" w:type="pct"/>
            <w:shd w:val="clear" w:color="auto" w:fill="auto"/>
            <w:vAlign w:val="center"/>
          </w:tcPr>
          <w:p w14:paraId="773117E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6C1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B0C3C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167" w:type="pct"/>
            <w:shd w:val="clear" w:color="auto" w:fill="auto"/>
            <w:vAlign w:val="center"/>
          </w:tcPr>
          <w:p w14:paraId="1D197BD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379" w:type="pct"/>
            <w:shd w:val="clear" w:color="auto" w:fill="FFFFFF"/>
            <w:vAlign w:val="center"/>
          </w:tcPr>
          <w:p w14:paraId="0D5285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雷博/英维克/威图</w:t>
            </w:r>
          </w:p>
        </w:tc>
        <w:tc>
          <w:tcPr>
            <w:tcW w:w="1103" w:type="pct"/>
            <w:shd w:val="clear" w:color="auto" w:fill="auto"/>
            <w:vAlign w:val="center"/>
          </w:tcPr>
          <w:p w14:paraId="618736F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AEB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BA9F6A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167" w:type="pct"/>
            <w:shd w:val="clear" w:color="auto" w:fill="FFFFFF"/>
            <w:vAlign w:val="center"/>
          </w:tcPr>
          <w:p w14:paraId="176272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379" w:type="pct"/>
            <w:shd w:val="clear" w:color="auto" w:fill="auto"/>
            <w:vAlign w:val="center"/>
          </w:tcPr>
          <w:p w14:paraId="798FDE9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1103" w:type="pct"/>
            <w:shd w:val="clear" w:color="auto" w:fill="auto"/>
            <w:vAlign w:val="center"/>
          </w:tcPr>
          <w:p w14:paraId="44C1F2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7C14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C6C74F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167" w:type="pct"/>
            <w:shd w:val="clear" w:color="auto" w:fill="FFFFFF"/>
            <w:vAlign w:val="center"/>
          </w:tcPr>
          <w:p w14:paraId="07D3AD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379" w:type="pct"/>
            <w:shd w:val="clear" w:color="auto" w:fill="auto"/>
            <w:vAlign w:val="center"/>
          </w:tcPr>
          <w:p w14:paraId="05FFC7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Profinet/EtherNet/IP/ CCLIK-IE</w:t>
            </w:r>
          </w:p>
        </w:tc>
        <w:tc>
          <w:tcPr>
            <w:tcW w:w="1103" w:type="pct"/>
            <w:shd w:val="clear" w:color="auto" w:fill="auto"/>
            <w:vAlign w:val="center"/>
          </w:tcPr>
          <w:p w14:paraId="4CBC30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E00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654970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167" w:type="pct"/>
            <w:shd w:val="clear" w:color="auto" w:fill="FFFFFF"/>
            <w:vAlign w:val="center"/>
          </w:tcPr>
          <w:p w14:paraId="665079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379" w:type="pct"/>
            <w:shd w:val="clear" w:color="auto" w:fill="FFFFFF"/>
            <w:vAlign w:val="center"/>
          </w:tcPr>
          <w:p w14:paraId="60EDDF6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03" w:type="pct"/>
            <w:shd w:val="clear" w:color="auto" w:fill="auto"/>
            <w:vAlign w:val="center"/>
          </w:tcPr>
          <w:p w14:paraId="411407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57AA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26BC3A6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167" w:type="pct"/>
            <w:shd w:val="clear" w:color="auto" w:fill="FFFFFF"/>
            <w:vAlign w:val="center"/>
          </w:tcPr>
          <w:p w14:paraId="03FF1E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379" w:type="pct"/>
            <w:shd w:val="clear" w:color="auto" w:fill="FFFFFF"/>
            <w:vAlign w:val="center"/>
          </w:tcPr>
          <w:p w14:paraId="38BD3F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03" w:type="pct"/>
            <w:shd w:val="clear" w:color="auto" w:fill="auto"/>
            <w:vAlign w:val="center"/>
          </w:tcPr>
          <w:p w14:paraId="0C5462F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953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AA81AD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167" w:type="pct"/>
            <w:shd w:val="clear" w:color="auto" w:fill="FFFFFF"/>
            <w:vAlign w:val="center"/>
          </w:tcPr>
          <w:p w14:paraId="770FF57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379" w:type="pct"/>
            <w:shd w:val="clear" w:color="auto" w:fill="FFFFFF"/>
            <w:vAlign w:val="center"/>
          </w:tcPr>
          <w:p w14:paraId="36CF26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1103" w:type="pct"/>
            <w:shd w:val="clear" w:color="auto" w:fill="auto"/>
            <w:vAlign w:val="center"/>
          </w:tcPr>
          <w:p w14:paraId="7E9E9D8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0F88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F0DF4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167" w:type="pct"/>
            <w:shd w:val="clear" w:color="auto" w:fill="auto"/>
            <w:vAlign w:val="center"/>
          </w:tcPr>
          <w:p w14:paraId="6925A83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379" w:type="pct"/>
            <w:shd w:val="clear" w:color="auto" w:fill="FFFFFF"/>
            <w:vAlign w:val="center"/>
          </w:tcPr>
          <w:p w14:paraId="04FCDF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1103" w:type="pct"/>
            <w:shd w:val="clear" w:color="auto" w:fill="auto"/>
            <w:vAlign w:val="center"/>
          </w:tcPr>
          <w:p w14:paraId="545BF1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2BD6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CAD68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167" w:type="pct"/>
            <w:shd w:val="clear" w:color="auto" w:fill="auto"/>
            <w:vAlign w:val="center"/>
          </w:tcPr>
          <w:p w14:paraId="247332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379" w:type="pct"/>
            <w:shd w:val="clear" w:color="auto" w:fill="FFFFFF"/>
            <w:vAlign w:val="center"/>
          </w:tcPr>
          <w:p w14:paraId="77A03E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1103" w:type="pct"/>
            <w:shd w:val="clear" w:color="auto" w:fill="FFFFFF"/>
            <w:vAlign w:val="center"/>
          </w:tcPr>
          <w:p w14:paraId="01C461D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A3E4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452007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167" w:type="pct"/>
            <w:shd w:val="clear" w:color="auto" w:fill="auto"/>
            <w:vAlign w:val="center"/>
          </w:tcPr>
          <w:p w14:paraId="43A6386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379" w:type="pct"/>
            <w:shd w:val="clear" w:color="auto" w:fill="FFFFFF"/>
            <w:vAlign w:val="center"/>
          </w:tcPr>
          <w:p w14:paraId="47805B0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1103" w:type="pct"/>
            <w:shd w:val="clear" w:color="auto" w:fill="auto"/>
            <w:vAlign w:val="center"/>
          </w:tcPr>
          <w:p w14:paraId="0A684E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BC65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F4010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167" w:type="pct"/>
            <w:shd w:val="clear" w:color="auto" w:fill="auto"/>
            <w:vAlign w:val="center"/>
          </w:tcPr>
          <w:p w14:paraId="5A056C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379" w:type="pct"/>
            <w:shd w:val="clear" w:color="auto" w:fill="auto"/>
            <w:vAlign w:val="center"/>
          </w:tcPr>
          <w:p w14:paraId="29706D0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1103" w:type="pct"/>
            <w:shd w:val="clear" w:color="auto" w:fill="auto"/>
            <w:vAlign w:val="center"/>
          </w:tcPr>
          <w:p w14:paraId="117112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11C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2715A8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167" w:type="pct"/>
            <w:shd w:val="clear" w:color="auto" w:fill="auto"/>
            <w:vAlign w:val="center"/>
          </w:tcPr>
          <w:p w14:paraId="269AC4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379" w:type="pct"/>
            <w:shd w:val="clear" w:color="auto" w:fill="FFFFFF"/>
            <w:vAlign w:val="center"/>
          </w:tcPr>
          <w:p w14:paraId="26A00D2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03" w:type="pct"/>
            <w:shd w:val="clear" w:color="auto" w:fill="auto"/>
            <w:vAlign w:val="center"/>
          </w:tcPr>
          <w:p w14:paraId="5C10EB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434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9AD98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167" w:type="pct"/>
            <w:shd w:val="clear" w:color="auto" w:fill="auto"/>
            <w:vAlign w:val="center"/>
          </w:tcPr>
          <w:p w14:paraId="395037B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接近开关</w:t>
            </w:r>
          </w:p>
        </w:tc>
        <w:tc>
          <w:tcPr>
            <w:tcW w:w="2379" w:type="pct"/>
            <w:shd w:val="clear" w:color="auto" w:fill="auto"/>
            <w:vAlign w:val="center"/>
          </w:tcPr>
          <w:p w14:paraId="76F96A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Contrinex堪泰/欧姆龙/P+F</w:t>
            </w:r>
          </w:p>
        </w:tc>
        <w:tc>
          <w:tcPr>
            <w:tcW w:w="1103" w:type="pct"/>
            <w:shd w:val="clear" w:color="auto" w:fill="auto"/>
            <w:vAlign w:val="center"/>
          </w:tcPr>
          <w:p w14:paraId="658BF4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6185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1316D61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167" w:type="pct"/>
            <w:shd w:val="clear" w:color="auto" w:fill="auto"/>
            <w:vAlign w:val="center"/>
          </w:tcPr>
          <w:p w14:paraId="6CFF9B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379" w:type="pct"/>
            <w:shd w:val="clear" w:color="auto" w:fill="auto"/>
            <w:vAlign w:val="center"/>
          </w:tcPr>
          <w:p w14:paraId="4065B5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103" w:type="pct"/>
            <w:shd w:val="clear" w:color="auto" w:fill="auto"/>
            <w:vAlign w:val="center"/>
          </w:tcPr>
          <w:p w14:paraId="10AB21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F769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827B2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167" w:type="pct"/>
            <w:shd w:val="clear" w:color="auto" w:fill="auto"/>
            <w:vAlign w:val="center"/>
          </w:tcPr>
          <w:p w14:paraId="3507AC7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电控元器件</w:t>
            </w:r>
          </w:p>
        </w:tc>
        <w:tc>
          <w:tcPr>
            <w:tcW w:w="2379" w:type="pct"/>
            <w:shd w:val="clear" w:color="auto" w:fill="auto"/>
            <w:vAlign w:val="center"/>
          </w:tcPr>
          <w:p w14:paraId="1AF6AE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1103" w:type="pct"/>
            <w:shd w:val="clear" w:color="auto" w:fill="auto"/>
            <w:vAlign w:val="center"/>
          </w:tcPr>
          <w:p w14:paraId="4CC8FB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815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0D0FD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167" w:type="pct"/>
            <w:shd w:val="clear" w:color="auto" w:fill="auto"/>
            <w:vAlign w:val="center"/>
          </w:tcPr>
          <w:p w14:paraId="4EBB76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叉式移载机伸缩叉</w:t>
            </w:r>
          </w:p>
        </w:tc>
        <w:tc>
          <w:tcPr>
            <w:tcW w:w="2379" w:type="pct"/>
            <w:shd w:val="clear" w:color="auto" w:fill="auto"/>
            <w:vAlign w:val="center"/>
          </w:tcPr>
          <w:p w14:paraId="55D818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MIAS/欧叉/艾拉德</w:t>
            </w:r>
          </w:p>
        </w:tc>
        <w:tc>
          <w:tcPr>
            <w:tcW w:w="1103" w:type="pct"/>
            <w:shd w:val="clear" w:color="auto" w:fill="auto"/>
            <w:vAlign w:val="center"/>
          </w:tcPr>
          <w:p w14:paraId="2AA023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2A9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0F5627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167" w:type="pct"/>
            <w:shd w:val="clear" w:color="auto" w:fill="auto"/>
            <w:vAlign w:val="center"/>
          </w:tcPr>
          <w:p w14:paraId="2DF800D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高压清洗机</w:t>
            </w:r>
          </w:p>
        </w:tc>
        <w:tc>
          <w:tcPr>
            <w:tcW w:w="2379" w:type="pct"/>
            <w:shd w:val="clear" w:color="auto" w:fill="auto"/>
            <w:vAlign w:val="center"/>
          </w:tcPr>
          <w:p w14:paraId="0AECDC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哈默尔曼/上海德沁/上海杰固</w:t>
            </w:r>
          </w:p>
        </w:tc>
        <w:tc>
          <w:tcPr>
            <w:tcW w:w="1103" w:type="pct"/>
            <w:shd w:val="clear" w:color="auto" w:fill="auto"/>
            <w:vAlign w:val="center"/>
          </w:tcPr>
          <w:p w14:paraId="3DC2FC3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1CD0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604A5B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167" w:type="pct"/>
            <w:shd w:val="clear" w:color="auto" w:fill="auto"/>
            <w:vAlign w:val="center"/>
          </w:tcPr>
          <w:p w14:paraId="09249B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驱动电机、减速器</w:t>
            </w:r>
          </w:p>
        </w:tc>
        <w:tc>
          <w:tcPr>
            <w:tcW w:w="2379" w:type="pct"/>
            <w:shd w:val="clear" w:color="auto" w:fill="auto"/>
            <w:vAlign w:val="center"/>
          </w:tcPr>
          <w:p w14:paraId="18F992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LENZE/SEW/诺德</w:t>
            </w:r>
          </w:p>
        </w:tc>
        <w:tc>
          <w:tcPr>
            <w:tcW w:w="1103" w:type="pct"/>
            <w:shd w:val="clear" w:color="auto" w:fill="auto"/>
            <w:vAlign w:val="center"/>
          </w:tcPr>
          <w:p w14:paraId="568FE2E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5D29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349" w:type="pct"/>
            <w:shd w:val="clear" w:color="auto" w:fill="auto"/>
            <w:noWrap/>
            <w:vAlign w:val="center"/>
          </w:tcPr>
          <w:p w14:paraId="175028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167" w:type="pct"/>
            <w:shd w:val="clear" w:color="auto" w:fill="auto"/>
            <w:vAlign w:val="center"/>
          </w:tcPr>
          <w:p w14:paraId="46F8C0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升降机、驱动电机等移</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动部件轴承</w:t>
            </w:r>
          </w:p>
        </w:tc>
        <w:tc>
          <w:tcPr>
            <w:tcW w:w="2379" w:type="pct"/>
            <w:shd w:val="clear" w:color="auto" w:fill="auto"/>
            <w:vAlign w:val="center"/>
          </w:tcPr>
          <w:p w14:paraId="487C55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NSK/SKF/FAG</w:t>
            </w:r>
          </w:p>
        </w:tc>
        <w:tc>
          <w:tcPr>
            <w:tcW w:w="1103" w:type="pct"/>
            <w:shd w:val="clear" w:color="auto" w:fill="auto"/>
            <w:vAlign w:val="center"/>
          </w:tcPr>
          <w:p w14:paraId="056F829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923E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1D0A8F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167" w:type="pct"/>
            <w:shd w:val="clear" w:color="auto" w:fill="auto"/>
            <w:vAlign w:val="center"/>
          </w:tcPr>
          <w:p w14:paraId="01C83C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接近开关</w:t>
            </w:r>
          </w:p>
        </w:tc>
        <w:tc>
          <w:tcPr>
            <w:tcW w:w="2379" w:type="pct"/>
            <w:shd w:val="clear" w:color="auto" w:fill="auto"/>
            <w:vAlign w:val="center"/>
          </w:tcPr>
          <w:p w14:paraId="0B64AF5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欧姆龙/Contrinex堪泰/P+F</w:t>
            </w:r>
          </w:p>
        </w:tc>
        <w:tc>
          <w:tcPr>
            <w:tcW w:w="1103" w:type="pct"/>
            <w:shd w:val="clear" w:color="auto" w:fill="auto"/>
            <w:vAlign w:val="center"/>
          </w:tcPr>
          <w:p w14:paraId="18488BD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47BC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1E5EA5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167" w:type="pct"/>
            <w:shd w:val="clear" w:color="auto" w:fill="auto"/>
            <w:vAlign w:val="center"/>
          </w:tcPr>
          <w:p w14:paraId="4145F25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高柔性电缆</w:t>
            </w:r>
          </w:p>
        </w:tc>
        <w:tc>
          <w:tcPr>
            <w:tcW w:w="2379" w:type="pct"/>
            <w:shd w:val="clear" w:color="auto" w:fill="auto"/>
            <w:vAlign w:val="center"/>
          </w:tcPr>
          <w:p w14:paraId="4EA28F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LAPP/HELUKABEL/ConCab</w:t>
            </w:r>
          </w:p>
        </w:tc>
        <w:tc>
          <w:tcPr>
            <w:tcW w:w="1103" w:type="pct"/>
            <w:shd w:val="clear" w:color="auto" w:fill="FFFFFF"/>
            <w:vAlign w:val="center"/>
          </w:tcPr>
          <w:p w14:paraId="5E2B65B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2D79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16DBFE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167" w:type="pct"/>
            <w:shd w:val="clear" w:color="auto" w:fill="auto"/>
            <w:vAlign w:val="center"/>
          </w:tcPr>
          <w:p w14:paraId="3EA45B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滑触线</w:t>
            </w:r>
          </w:p>
        </w:tc>
        <w:tc>
          <w:tcPr>
            <w:tcW w:w="2379" w:type="pct"/>
            <w:shd w:val="clear" w:color="auto" w:fill="auto"/>
            <w:vAlign w:val="center"/>
          </w:tcPr>
          <w:p w14:paraId="3589EB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VAHLE /汉发/ 松下</w:t>
            </w:r>
          </w:p>
        </w:tc>
        <w:tc>
          <w:tcPr>
            <w:tcW w:w="1103" w:type="pct"/>
            <w:shd w:val="clear" w:color="auto" w:fill="auto"/>
            <w:vAlign w:val="center"/>
          </w:tcPr>
          <w:p w14:paraId="1D1E64A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72B5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2BCED68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167" w:type="pct"/>
            <w:shd w:val="clear" w:color="auto" w:fill="auto"/>
            <w:vAlign w:val="center"/>
          </w:tcPr>
          <w:p w14:paraId="4B14EBB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自行葫芦输送机</w:t>
            </w:r>
          </w:p>
        </w:tc>
        <w:tc>
          <w:tcPr>
            <w:tcW w:w="2379" w:type="pct"/>
            <w:shd w:val="clear" w:color="auto" w:fill="auto"/>
            <w:vAlign w:val="center"/>
          </w:tcPr>
          <w:p w14:paraId="69760B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斯泰尔/科尼/德马格</w:t>
            </w:r>
          </w:p>
        </w:tc>
        <w:tc>
          <w:tcPr>
            <w:tcW w:w="1103" w:type="pct"/>
            <w:shd w:val="clear" w:color="auto" w:fill="auto"/>
            <w:vAlign w:val="center"/>
          </w:tcPr>
          <w:p w14:paraId="61652B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85F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49" w:type="pct"/>
            <w:shd w:val="clear" w:color="auto" w:fill="auto"/>
            <w:noWrap/>
            <w:vAlign w:val="center"/>
          </w:tcPr>
          <w:p w14:paraId="325D8B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167" w:type="pct"/>
            <w:shd w:val="clear" w:color="auto" w:fill="auto"/>
            <w:vAlign w:val="center"/>
          </w:tcPr>
          <w:p w14:paraId="2ECDFF2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工艺双链链条</w:t>
            </w:r>
          </w:p>
        </w:tc>
        <w:tc>
          <w:tcPr>
            <w:tcW w:w="2379" w:type="pct"/>
            <w:shd w:val="clear" w:color="auto" w:fill="auto"/>
            <w:vAlign w:val="center"/>
          </w:tcPr>
          <w:p w14:paraId="7725F64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诸暨/东华/黄山</w:t>
            </w:r>
          </w:p>
        </w:tc>
        <w:tc>
          <w:tcPr>
            <w:tcW w:w="1103" w:type="pct"/>
            <w:shd w:val="clear" w:color="auto" w:fill="auto"/>
            <w:vAlign w:val="center"/>
          </w:tcPr>
          <w:p w14:paraId="43B6A85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E60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D1A65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167" w:type="pct"/>
            <w:shd w:val="clear" w:color="auto" w:fill="auto"/>
            <w:vAlign w:val="center"/>
          </w:tcPr>
          <w:p w14:paraId="04E71B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拖链</w:t>
            </w:r>
          </w:p>
        </w:tc>
        <w:tc>
          <w:tcPr>
            <w:tcW w:w="2379" w:type="pct"/>
            <w:shd w:val="clear" w:color="auto" w:fill="auto"/>
            <w:vAlign w:val="center"/>
          </w:tcPr>
          <w:p w14:paraId="471C48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Igus/kabelschlepp/德斯普</w:t>
            </w:r>
          </w:p>
        </w:tc>
        <w:tc>
          <w:tcPr>
            <w:tcW w:w="1103" w:type="pct"/>
            <w:shd w:val="clear" w:color="auto" w:fill="auto"/>
            <w:vAlign w:val="center"/>
          </w:tcPr>
          <w:p w14:paraId="1FA8BB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40F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00A75B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167" w:type="pct"/>
            <w:shd w:val="clear" w:color="auto" w:fill="auto"/>
            <w:vAlign w:val="center"/>
          </w:tcPr>
          <w:p w14:paraId="55B7A0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弹簧</w:t>
            </w:r>
          </w:p>
        </w:tc>
        <w:tc>
          <w:tcPr>
            <w:tcW w:w="2379" w:type="pct"/>
            <w:shd w:val="clear" w:color="auto" w:fill="auto"/>
            <w:vAlign w:val="center"/>
          </w:tcPr>
          <w:p w14:paraId="46BD38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Style w:val="527"/>
                <w:rFonts w:hint="eastAsia" w:ascii="宋体" w:hAnsi="宋体" w:eastAsia="宋体" w:cs="宋体"/>
                <w:b w:val="0"/>
                <w:bCs w:val="0"/>
                <w:sz w:val="24"/>
                <w:szCs w:val="24"/>
                <w:lang w:val="en-US" w:eastAsia="zh-CN" w:bidi="ar"/>
              </w:rPr>
              <w:t>Fibro/Gutekunst/米思米</w:t>
            </w:r>
          </w:p>
        </w:tc>
        <w:tc>
          <w:tcPr>
            <w:tcW w:w="1103" w:type="pct"/>
            <w:shd w:val="clear" w:color="auto" w:fill="auto"/>
            <w:vAlign w:val="center"/>
          </w:tcPr>
          <w:p w14:paraId="78416A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F79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BAFF0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167" w:type="pct"/>
            <w:shd w:val="clear" w:color="auto" w:fill="auto"/>
            <w:vAlign w:val="center"/>
          </w:tcPr>
          <w:p w14:paraId="0280F3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剪式升降</w:t>
            </w:r>
          </w:p>
        </w:tc>
        <w:tc>
          <w:tcPr>
            <w:tcW w:w="2379" w:type="pct"/>
            <w:shd w:val="clear" w:color="auto" w:fill="auto"/>
            <w:vAlign w:val="center"/>
          </w:tcPr>
          <w:p w14:paraId="78C4FB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Grundei/flexlift/Pro-Hub/R-Martin</w:t>
            </w:r>
          </w:p>
        </w:tc>
        <w:tc>
          <w:tcPr>
            <w:tcW w:w="1103" w:type="pct"/>
            <w:shd w:val="clear" w:color="auto" w:fill="auto"/>
            <w:vAlign w:val="center"/>
          </w:tcPr>
          <w:p w14:paraId="0C50C15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AB9F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6FB976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167" w:type="pct"/>
            <w:shd w:val="clear" w:color="auto" w:fill="auto"/>
            <w:vAlign w:val="center"/>
          </w:tcPr>
          <w:p w14:paraId="78A6004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升降机驱动轴带座轴承</w:t>
            </w:r>
          </w:p>
        </w:tc>
        <w:tc>
          <w:tcPr>
            <w:tcW w:w="2379" w:type="pct"/>
            <w:shd w:val="clear" w:color="auto" w:fill="auto"/>
            <w:vAlign w:val="center"/>
          </w:tcPr>
          <w:p w14:paraId="738C09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SKF/NSK/KOYO</w:t>
            </w:r>
          </w:p>
        </w:tc>
        <w:tc>
          <w:tcPr>
            <w:tcW w:w="1103" w:type="pct"/>
            <w:shd w:val="clear" w:color="auto" w:fill="auto"/>
            <w:vAlign w:val="center"/>
          </w:tcPr>
          <w:p w14:paraId="42BEB05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C0F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4A52C8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167" w:type="pct"/>
            <w:shd w:val="clear" w:color="auto" w:fill="auto"/>
            <w:vAlign w:val="center"/>
          </w:tcPr>
          <w:p w14:paraId="53AEFE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电动葫芦</w:t>
            </w:r>
          </w:p>
        </w:tc>
        <w:tc>
          <w:tcPr>
            <w:tcW w:w="2379" w:type="pct"/>
            <w:shd w:val="clear" w:color="auto" w:fill="auto"/>
            <w:vAlign w:val="center"/>
          </w:tcPr>
          <w:p w14:paraId="5F88125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Demag/Abus/HEBEZONE</w:t>
            </w:r>
          </w:p>
        </w:tc>
        <w:tc>
          <w:tcPr>
            <w:tcW w:w="1103" w:type="pct"/>
            <w:shd w:val="clear" w:color="auto" w:fill="auto"/>
            <w:vAlign w:val="center"/>
          </w:tcPr>
          <w:p w14:paraId="0EAA0E3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659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206B7B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167" w:type="pct"/>
            <w:shd w:val="clear" w:color="auto" w:fill="auto"/>
            <w:vAlign w:val="center"/>
          </w:tcPr>
          <w:p w14:paraId="3D39E4F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轴承</w:t>
            </w:r>
          </w:p>
        </w:tc>
        <w:tc>
          <w:tcPr>
            <w:tcW w:w="2379" w:type="pct"/>
            <w:shd w:val="clear" w:color="auto" w:fill="auto"/>
            <w:vAlign w:val="center"/>
          </w:tcPr>
          <w:p w14:paraId="484FAC1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SKF/NSK/FAG</w:t>
            </w:r>
          </w:p>
        </w:tc>
        <w:tc>
          <w:tcPr>
            <w:tcW w:w="1103" w:type="pct"/>
            <w:shd w:val="clear" w:color="auto" w:fill="auto"/>
            <w:vAlign w:val="center"/>
          </w:tcPr>
          <w:p w14:paraId="16B7EA9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C23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349" w:type="pct"/>
            <w:shd w:val="clear" w:color="auto" w:fill="auto"/>
            <w:noWrap/>
            <w:vAlign w:val="center"/>
          </w:tcPr>
          <w:p w14:paraId="1257408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167" w:type="pct"/>
            <w:shd w:val="clear" w:color="auto" w:fill="auto"/>
            <w:vAlign w:val="center"/>
          </w:tcPr>
          <w:p w14:paraId="4B0EBF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包胶轮</w:t>
            </w:r>
          </w:p>
        </w:tc>
        <w:tc>
          <w:tcPr>
            <w:tcW w:w="2379" w:type="pct"/>
            <w:shd w:val="clear" w:color="auto" w:fill="auto"/>
            <w:vAlign w:val="center"/>
          </w:tcPr>
          <w:p w14:paraId="44DB5A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Räder Vogel/ACLA/wicke</w:t>
            </w:r>
          </w:p>
        </w:tc>
        <w:tc>
          <w:tcPr>
            <w:tcW w:w="1103" w:type="pct"/>
            <w:shd w:val="clear" w:color="auto" w:fill="auto"/>
            <w:vAlign w:val="center"/>
          </w:tcPr>
          <w:p w14:paraId="0D53C9F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4DA7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7C7A8C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167" w:type="pct"/>
            <w:shd w:val="clear" w:color="auto" w:fill="auto"/>
            <w:vAlign w:val="center"/>
          </w:tcPr>
          <w:p w14:paraId="025729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无油轴承</w:t>
            </w:r>
          </w:p>
        </w:tc>
        <w:tc>
          <w:tcPr>
            <w:tcW w:w="2379" w:type="pct"/>
            <w:shd w:val="clear" w:color="auto" w:fill="auto"/>
            <w:vAlign w:val="center"/>
          </w:tcPr>
          <w:p w14:paraId="3792F0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OILLESS/INA/ZOB</w:t>
            </w:r>
          </w:p>
        </w:tc>
        <w:tc>
          <w:tcPr>
            <w:tcW w:w="1103" w:type="pct"/>
            <w:shd w:val="clear" w:color="auto" w:fill="auto"/>
            <w:vAlign w:val="center"/>
          </w:tcPr>
          <w:p w14:paraId="0253B7A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E0E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47FD84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167" w:type="pct"/>
            <w:shd w:val="clear" w:color="auto" w:fill="auto"/>
            <w:vAlign w:val="center"/>
          </w:tcPr>
          <w:p w14:paraId="545AFC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直线导轨</w:t>
            </w:r>
          </w:p>
        </w:tc>
        <w:tc>
          <w:tcPr>
            <w:tcW w:w="2379" w:type="pct"/>
            <w:shd w:val="clear" w:color="auto" w:fill="auto"/>
            <w:vAlign w:val="center"/>
          </w:tcPr>
          <w:p w14:paraId="5EB382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THK/NSK/IGUS</w:t>
            </w:r>
          </w:p>
        </w:tc>
        <w:tc>
          <w:tcPr>
            <w:tcW w:w="1103" w:type="pct"/>
            <w:shd w:val="clear" w:color="auto" w:fill="auto"/>
            <w:vAlign w:val="center"/>
          </w:tcPr>
          <w:p w14:paraId="3A859DC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FB5C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6561A2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167" w:type="pct"/>
            <w:shd w:val="clear" w:color="auto" w:fill="auto"/>
            <w:vAlign w:val="center"/>
          </w:tcPr>
          <w:p w14:paraId="01C551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链条(主线 RF 链条)</w:t>
            </w:r>
          </w:p>
        </w:tc>
        <w:tc>
          <w:tcPr>
            <w:tcW w:w="2379" w:type="pct"/>
            <w:shd w:val="clear" w:color="auto" w:fill="auto"/>
            <w:vAlign w:val="center"/>
          </w:tcPr>
          <w:p w14:paraId="3F0A6C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安徽黄山/杭州东华/浙江诸暨</w:t>
            </w:r>
          </w:p>
        </w:tc>
        <w:tc>
          <w:tcPr>
            <w:tcW w:w="1103" w:type="pct"/>
            <w:shd w:val="clear" w:color="auto" w:fill="auto"/>
            <w:vAlign w:val="center"/>
          </w:tcPr>
          <w:p w14:paraId="03F29B9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3A2C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6D41AED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167" w:type="pct"/>
            <w:shd w:val="clear" w:color="auto" w:fill="auto"/>
            <w:vAlign w:val="center"/>
          </w:tcPr>
          <w:p w14:paraId="01E2A95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链条(传动 RS 链条)</w:t>
            </w:r>
          </w:p>
        </w:tc>
        <w:tc>
          <w:tcPr>
            <w:tcW w:w="2379" w:type="pct"/>
            <w:shd w:val="clear" w:color="auto" w:fill="auto"/>
            <w:vAlign w:val="center"/>
          </w:tcPr>
          <w:p w14:paraId="5BDFD6B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安徽黄山/杭州东华/浙江诸暨</w:t>
            </w:r>
          </w:p>
        </w:tc>
        <w:tc>
          <w:tcPr>
            <w:tcW w:w="1103" w:type="pct"/>
            <w:shd w:val="clear" w:color="auto" w:fill="auto"/>
            <w:vAlign w:val="center"/>
          </w:tcPr>
          <w:p w14:paraId="2B24F5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6A30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E2CE6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167" w:type="pct"/>
            <w:shd w:val="clear" w:color="auto" w:fill="auto"/>
            <w:vAlign w:val="center"/>
          </w:tcPr>
          <w:p w14:paraId="038C9B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皮带</w:t>
            </w:r>
          </w:p>
        </w:tc>
        <w:tc>
          <w:tcPr>
            <w:tcW w:w="2379" w:type="pct"/>
            <w:shd w:val="clear" w:color="auto" w:fill="auto"/>
            <w:vAlign w:val="center"/>
          </w:tcPr>
          <w:p w14:paraId="6222894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Contitech/Gummi/STRICKER</w:t>
            </w:r>
          </w:p>
        </w:tc>
        <w:tc>
          <w:tcPr>
            <w:tcW w:w="1103" w:type="pct"/>
            <w:shd w:val="clear" w:color="auto" w:fill="auto"/>
            <w:vAlign w:val="center"/>
          </w:tcPr>
          <w:p w14:paraId="013D4F7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BBA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0D412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167" w:type="pct"/>
            <w:shd w:val="clear" w:color="auto" w:fill="auto"/>
            <w:vAlign w:val="center"/>
          </w:tcPr>
          <w:p w14:paraId="11266E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气动元件</w:t>
            </w:r>
          </w:p>
        </w:tc>
        <w:tc>
          <w:tcPr>
            <w:tcW w:w="2379" w:type="pct"/>
            <w:shd w:val="clear" w:color="auto" w:fill="auto"/>
            <w:vAlign w:val="center"/>
          </w:tcPr>
          <w:p w14:paraId="70C787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1103" w:type="pct"/>
            <w:shd w:val="clear" w:color="auto" w:fill="auto"/>
            <w:vAlign w:val="center"/>
          </w:tcPr>
          <w:p w14:paraId="3A16B81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18AB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C5B1F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167" w:type="pct"/>
            <w:shd w:val="clear" w:color="auto" w:fill="auto"/>
            <w:vAlign w:val="center"/>
          </w:tcPr>
          <w:p w14:paraId="3417198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379" w:type="pct"/>
            <w:shd w:val="clear" w:color="auto" w:fill="auto"/>
            <w:vAlign w:val="center"/>
          </w:tcPr>
          <w:p w14:paraId="7BACE79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1103" w:type="pct"/>
            <w:shd w:val="clear" w:color="auto" w:fill="auto"/>
            <w:vAlign w:val="center"/>
          </w:tcPr>
          <w:p w14:paraId="503D9D7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BB71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349" w:type="pct"/>
            <w:shd w:val="clear" w:color="auto" w:fill="auto"/>
            <w:noWrap/>
            <w:vAlign w:val="center"/>
          </w:tcPr>
          <w:p w14:paraId="308AF5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167" w:type="pct"/>
            <w:shd w:val="clear" w:color="auto" w:fill="auto"/>
            <w:vAlign w:val="center"/>
          </w:tcPr>
          <w:p w14:paraId="66E40E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379" w:type="pct"/>
            <w:shd w:val="clear" w:color="auto" w:fill="FFFFFF"/>
            <w:vAlign w:val="center"/>
          </w:tcPr>
          <w:p w14:paraId="5727EAB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1103" w:type="pct"/>
            <w:shd w:val="clear" w:color="auto" w:fill="auto"/>
            <w:vAlign w:val="center"/>
          </w:tcPr>
          <w:p w14:paraId="6FC80E0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016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4C28DF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167" w:type="pct"/>
            <w:shd w:val="clear" w:color="auto" w:fill="auto"/>
            <w:vAlign w:val="center"/>
          </w:tcPr>
          <w:p w14:paraId="13CCF69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379" w:type="pct"/>
            <w:shd w:val="clear" w:color="auto" w:fill="auto"/>
            <w:vAlign w:val="center"/>
          </w:tcPr>
          <w:p w14:paraId="0CCE1E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1103" w:type="pct"/>
            <w:shd w:val="clear" w:color="auto" w:fill="auto"/>
            <w:vAlign w:val="center"/>
          </w:tcPr>
          <w:p w14:paraId="60C3601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0F6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166ED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167" w:type="pct"/>
            <w:shd w:val="clear" w:color="auto" w:fill="auto"/>
            <w:vAlign w:val="center"/>
          </w:tcPr>
          <w:p w14:paraId="468CE42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RFID</w:t>
            </w:r>
          </w:p>
        </w:tc>
        <w:tc>
          <w:tcPr>
            <w:tcW w:w="2379" w:type="pct"/>
            <w:shd w:val="clear" w:color="auto" w:fill="auto"/>
            <w:vAlign w:val="center"/>
          </w:tcPr>
          <w:p w14:paraId="1CC871B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西门子/P+F/SICK</w:t>
            </w:r>
          </w:p>
        </w:tc>
        <w:tc>
          <w:tcPr>
            <w:tcW w:w="1103" w:type="pct"/>
            <w:shd w:val="clear" w:color="auto" w:fill="auto"/>
            <w:vAlign w:val="center"/>
          </w:tcPr>
          <w:p w14:paraId="714E0E5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03D4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2EF6012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167" w:type="pct"/>
            <w:shd w:val="clear" w:color="auto" w:fill="auto"/>
            <w:vAlign w:val="center"/>
          </w:tcPr>
          <w:p w14:paraId="2E9FBB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379" w:type="pct"/>
            <w:shd w:val="clear" w:color="auto" w:fill="auto"/>
            <w:vAlign w:val="center"/>
          </w:tcPr>
          <w:p w14:paraId="5B6EB44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1103" w:type="pct"/>
            <w:shd w:val="clear" w:color="auto" w:fill="auto"/>
            <w:vAlign w:val="center"/>
          </w:tcPr>
          <w:p w14:paraId="252F586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5ADC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E54CD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167" w:type="pct"/>
            <w:shd w:val="clear" w:color="auto" w:fill="auto"/>
            <w:vAlign w:val="center"/>
          </w:tcPr>
          <w:p w14:paraId="196D44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379" w:type="pct"/>
            <w:shd w:val="clear" w:color="auto" w:fill="auto"/>
            <w:vAlign w:val="center"/>
          </w:tcPr>
          <w:p w14:paraId="7E4A61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1103" w:type="pct"/>
            <w:shd w:val="clear" w:color="auto" w:fill="auto"/>
            <w:vAlign w:val="center"/>
          </w:tcPr>
          <w:p w14:paraId="1737ABA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511F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6C72D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1167" w:type="pct"/>
            <w:shd w:val="clear" w:color="auto" w:fill="auto"/>
            <w:vAlign w:val="center"/>
          </w:tcPr>
          <w:p w14:paraId="48DC63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激光测距</w:t>
            </w:r>
          </w:p>
        </w:tc>
        <w:tc>
          <w:tcPr>
            <w:tcW w:w="2379" w:type="pct"/>
            <w:shd w:val="clear" w:color="auto" w:fill="auto"/>
            <w:vAlign w:val="center"/>
          </w:tcPr>
          <w:p w14:paraId="5C48D3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P+F/SICK/IFM</w:t>
            </w:r>
          </w:p>
        </w:tc>
        <w:tc>
          <w:tcPr>
            <w:tcW w:w="1103" w:type="pct"/>
            <w:shd w:val="clear" w:color="auto" w:fill="auto"/>
            <w:vAlign w:val="center"/>
          </w:tcPr>
          <w:p w14:paraId="70675C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F60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609C92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1167" w:type="pct"/>
            <w:shd w:val="clear" w:color="auto" w:fill="auto"/>
            <w:vAlign w:val="center"/>
          </w:tcPr>
          <w:p w14:paraId="08E54B6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条码系统</w:t>
            </w:r>
          </w:p>
        </w:tc>
        <w:tc>
          <w:tcPr>
            <w:tcW w:w="2379" w:type="pct"/>
            <w:shd w:val="clear" w:color="auto" w:fill="auto"/>
            <w:vAlign w:val="center"/>
          </w:tcPr>
          <w:p w14:paraId="0B07F3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P+F/SICK/Leuze</w:t>
            </w:r>
          </w:p>
        </w:tc>
        <w:tc>
          <w:tcPr>
            <w:tcW w:w="1103" w:type="pct"/>
            <w:shd w:val="clear" w:color="auto" w:fill="auto"/>
            <w:vAlign w:val="center"/>
          </w:tcPr>
          <w:p w14:paraId="76C82B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B71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2E3F77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1167" w:type="pct"/>
            <w:shd w:val="clear" w:color="auto" w:fill="auto"/>
            <w:vAlign w:val="center"/>
          </w:tcPr>
          <w:p w14:paraId="138A76B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379" w:type="pct"/>
            <w:shd w:val="clear" w:color="auto" w:fill="auto"/>
            <w:vAlign w:val="center"/>
          </w:tcPr>
          <w:p w14:paraId="7992A3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1103" w:type="pct"/>
            <w:shd w:val="clear" w:color="auto" w:fill="auto"/>
            <w:vAlign w:val="center"/>
          </w:tcPr>
          <w:p w14:paraId="27E27F8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066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407972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167" w:type="pct"/>
            <w:shd w:val="clear" w:color="auto" w:fill="auto"/>
            <w:vAlign w:val="center"/>
          </w:tcPr>
          <w:p w14:paraId="685685D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高温接近开关</w:t>
            </w:r>
          </w:p>
        </w:tc>
        <w:tc>
          <w:tcPr>
            <w:tcW w:w="2379" w:type="pct"/>
            <w:shd w:val="clear" w:color="auto" w:fill="auto"/>
            <w:vAlign w:val="center"/>
          </w:tcPr>
          <w:p w14:paraId="654AFA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科瑞/P+F/IFM</w:t>
            </w:r>
          </w:p>
        </w:tc>
        <w:tc>
          <w:tcPr>
            <w:tcW w:w="1103" w:type="pct"/>
            <w:shd w:val="clear" w:color="auto" w:fill="auto"/>
            <w:vAlign w:val="center"/>
          </w:tcPr>
          <w:p w14:paraId="3E77E7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89A8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2F9A301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1167" w:type="pct"/>
            <w:shd w:val="clear" w:color="auto" w:fill="auto"/>
            <w:vAlign w:val="center"/>
          </w:tcPr>
          <w:p w14:paraId="06C3E2C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379" w:type="pct"/>
            <w:shd w:val="clear" w:color="auto" w:fill="auto"/>
            <w:vAlign w:val="center"/>
          </w:tcPr>
          <w:p w14:paraId="49367DC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1103" w:type="pct"/>
            <w:shd w:val="clear" w:color="auto" w:fill="auto"/>
            <w:vAlign w:val="center"/>
          </w:tcPr>
          <w:p w14:paraId="7BAF4F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BCA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2FB101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1167" w:type="pct"/>
            <w:shd w:val="clear" w:color="auto" w:fill="auto"/>
            <w:vAlign w:val="center"/>
          </w:tcPr>
          <w:p w14:paraId="41FB38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379" w:type="pct"/>
            <w:shd w:val="clear" w:color="auto" w:fill="auto"/>
            <w:vAlign w:val="center"/>
          </w:tcPr>
          <w:p w14:paraId="449EFAC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1103" w:type="pct"/>
            <w:shd w:val="clear" w:color="auto" w:fill="auto"/>
            <w:vAlign w:val="center"/>
          </w:tcPr>
          <w:p w14:paraId="42B7C4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B30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4DA2B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1167" w:type="pct"/>
            <w:shd w:val="clear" w:color="auto" w:fill="auto"/>
            <w:vAlign w:val="center"/>
          </w:tcPr>
          <w:p w14:paraId="58C35E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379" w:type="pct"/>
            <w:shd w:val="clear" w:color="auto" w:fill="auto"/>
            <w:vAlign w:val="center"/>
          </w:tcPr>
          <w:p w14:paraId="73230C8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1103" w:type="pct"/>
            <w:shd w:val="clear" w:color="auto" w:fill="auto"/>
            <w:vAlign w:val="center"/>
          </w:tcPr>
          <w:p w14:paraId="4EC7801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241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3D87C8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1167" w:type="pct"/>
            <w:shd w:val="clear" w:color="auto" w:fill="auto"/>
            <w:vAlign w:val="center"/>
          </w:tcPr>
          <w:p w14:paraId="7F50E4E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379" w:type="pct"/>
            <w:shd w:val="clear" w:color="auto" w:fill="auto"/>
            <w:vAlign w:val="center"/>
          </w:tcPr>
          <w:p w14:paraId="2DD836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103" w:type="pct"/>
            <w:shd w:val="clear" w:color="auto" w:fill="auto"/>
            <w:vAlign w:val="center"/>
          </w:tcPr>
          <w:p w14:paraId="5DF1EB7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0CD8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9B2DB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167" w:type="pct"/>
            <w:shd w:val="clear" w:color="auto" w:fill="auto"/>
            <w:vAlign w:val="center"/>
          </w:tcPr>
          <w:p w14:paraId="2D06CAD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耐高温电缆</w:t>
            </w:r>
          </w:p>
        </w:tc>
        <w:tc>
          <w:tcPr>
            <w:tcW w:w="2379" w:type="pct"/>
            <w:shd w:val="clear" w:color="auto" w:fill="auto"/>
            <w:vAlign w:val="center"/>
          </w:tcPr>
          <w:p w14:paraId="0351AEA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LAPP/HELUKABEL/IGUS</w:t>
            </w:r>
          </w:p>
        </w:tc>
        <w:tc>
          <w:tcPr>
            <w:tcW w:w="1103" w:type="pct"/>
            <w:shd w:val="clear" w:color="auto" w:fill="auto"/>
            <w:vAlign w:val="center"/>
          </w:tcPr>
          <w:p w14:paraId="3CAECD4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2BF3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72708AD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1167" w:type="pct"/>
            <w:shd w:val="clear" w:color="auto" w:fill="auto"/>
            <w:vAlign w:val="center"/>
          </w:tcPr>
          <w:p w14:paraId="76B2C85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379" w:type="pct"/>
            <w:shd w:val="clear" w:color="auto" w:fill="auto"/>
            <w:vAlign w:val="center"/>
          </w:tcPr>
          <w:p w14:paraId="40C41E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103" w:type="pct"/>
            <w:shd w:val="clear" w:color="auto" w:fill="auto"/>
            <w:vAlign w:val="center"/>
          </w:tcPr>
          <w:p w14:paraId="15EDAB1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792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52854A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57</w:t>
            </w:r>
          </w:p>
        </w:tc>
        <w:tc>
          <w:tcPr>
            <w:tcW w:w="1167" w:type="pct"/>
            <w:shd w:val="clear" w:color="auto" w:fill="auto"/>
            <w:noWrap/>
            <w:vAlign w:val="center"/>
          </w:tcPr>
          <w:p w14:paraId="74D33D0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摆杆输送系统</w:t>
            </w:r>
          </w:p>
        </w:tc>
        <w:tc>
          <w:tcPr>
            <w:tcW w:w="2379" w:type="pct"/>
            <w:shd w:val="clear" w:color="auto" w:fill="auto"/>
            <w:vAlign w:val="center"/>
          </w:tcPr>
          <w:p w14:paraId="2932A1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昌兴/九院/天奇</w:t>
            </w:r>
          </w:p>
        </w:tc>
        <w:tc>
          <w:tcPr>
            <w:tcW w:w="1103" w:type="pct"/>
            <w:shd w:val="clear" w:color="auto" w:fill="auto"/>
            <w:vAlign w:val="center"/>
          </w:tcPr>
          <w:p w14:paraId="07B669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0A5C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4DB8D0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58</w:t>
            </w:r>
          </w:p>
        </w:tc>
        <w:tc>
          <w:tcPr>
            <w:tcW w:w="1167" w:type="pct"/>
            <w:shd w:val="clear" w:color="auto" w:fill="auto"/>
            <w:vAlign w:val="center"/>
          </w:tcPr>
          <w:p w14:paraId="6973E8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379" w:type="pct"/>
            <w:shd w:val="clear" w:color="auto" w:fill="auto"/>
            <w:vAlign w:val="center"/>
          </w:tcPr>
          <w:p w14:paraId="68253C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103" w:type="pct"/>
            <w:shd w:val="clear" w:color="auto" w:fill="auto"/>
            <w:vAlign w:val="center"/>
          </w:tcPr>
          <w:p w14:paraId="70858BC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B3BB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0EBA0B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59</w:t>
            </w:r>
          </w:p>
        </w:tc>
        <w:tc>
          <w:tcPr>
            <w:tcW w:w="1167" w:type="pct"/>
            <w:shd w:val="clear" w:color="auto" w:fill="auto"/>
            <w:vAlign w:val="center"/>
          </w:tcPr>
          <w:p w14:paraId="1A355F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高温链条</w:t>
            </w:r>
          </w:p>
        </w:tc>
        <w:tc>
          <w:tcPr>
            <w:tcW w:w="2379" w:type="pct"/>
            <w:shd w:val="clear" w:color="auto" w:fill="auto"/>
            <w:vAlign w:val="center"/>
          </w:tcPr>
          <w:p w14:paraId="275041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wolf/日本椿本/KANA</w:t>
            </w:r>
          </w:p>
        </w:tc>
        <w:tc>
          <w:tcPr>
            <w:tcW w:w="1103" w:type="pct"/>
            <w:shd w:val="clear" w:color="auto" w:fill="auto"/>
            <w:vAlign w:val="center"/>
          </w:tcPr>
          <w:p w14:paraId="357563A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98AD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349" w:type="pct"/>
            <w:shd w:val="clear" w:color="auto" w:fill="auto"/>
            <w:noWrap/>
            <w:vAlign w:val="center"/>
          </w:tcPr>
          <w:p w14:paraId="1BED6E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60</w:t>
            </w:r>
          </w:p>
        </w:tc>
        <w:tc>
          <w:tcPr>
            <w:tcW w:w="1167" w:type="pct"/>
            <w:shd w:val="clear" w:color="auto" w:fill="auto"/>
            <w:vAlign w:val="center"/>
          </w:tcPr>
          <w:p w14:paraId="7AD642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行走电机</w:t>
            </w:r>
          </w:p>
        </w:tc>
        <w:tc>
          <w:tcPr>
            <w:tcW w:w="2379" w:type="pct"/>
            <w:shd w:val="clear" w:color="auto" w:fill="auto"/>
            <w:vAlign w:val="center"/>
          </w:tcPr>
          <w:p w14:paraId="031B5D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西门子/SEW/AB</w:t>
            </w:r>
          </w:p>
        </w:tc>
        <w:tc>
          <w:tcPr>
            <w:tcW w:w="1103" w:type="pct"/>
            <w:shd w:val="clear" w:color="auto" w:fill="auto"/>
            <w:vAlign w:val="center"/>
          </w:tcPr>
          <w:p w14:paraId="0417BA5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D64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5000" w:type="pct"/>
            <w:gridSpan w:val="4"/>
            <w:shd w:val="clear" w:color="auto" w:fill="auto"/>
            <w:vAlign w:val="center"/>
          </w:tcPr>
          <w:p w14:paraId="2272C33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0F0736A8">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5"/>
        <w:gridCol w:w="2135"/>
        <w:gridCol w:w="4721"/>
        <w:gridCol w:w="2143"/>
      </w:tblGrid>
      <w:tr w14:paraId="56166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9"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C791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涂装机器人设备外购件品牌清单</w:t>
            </w:r>
          </w:p>
        </w:tc>
      </w:tr>
      <w:tr w14:paraId="5C920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010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3E33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4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CD0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B5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00C82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254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C19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机器人本体</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2801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ABB/杜尔/发那科/YASAKAWA</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F59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0CC3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B1F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D8F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A386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A15B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ADEC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703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AB6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54E40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D07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1B0D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958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6A0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AF52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雷博/雷子克/威图</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58D9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5BBB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63C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1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79D5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A469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C7AB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507C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5586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1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D92C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9CC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Profinet/EtherNet/IP/ CCLIK-IE</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D48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AE21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6E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1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6674A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C3DB9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5A64C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0EAC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081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1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4EAF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B9ED3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A1A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A697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CF7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10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0DD22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D6A3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415C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7CB3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539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7AE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2A8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11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19B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0D79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758B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FA4F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06A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7C6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9D07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4DBA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6FC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44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1656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8DC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05C3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977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AB5C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D8E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06B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D9C1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0B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0A9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867FB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西门子/AB/霍尼韦尔</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235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C080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F3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C2C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接近开关</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ABA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P+F/Contrinex堪泰/欧姆龙</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FB04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2446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30E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73B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2FEE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4D5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1441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78B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B9BE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液位传感器</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0D1C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P+F/Contrinex堪泰/IFM</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3171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2ED9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CD2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1E5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雾化系统</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344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DURR/ABB/Ransburg/sames</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E721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99CD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64A0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C35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换色系统</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23A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DURR/ABB/Ransburg/sames</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A91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65C9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C581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C8B6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A0E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C41D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BE88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4588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9520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A9C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578D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3561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CDF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55B1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E98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6BDC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7895B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9AF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F5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RFID</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DDF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西门子/P+F/SICK</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7F11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DCC9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9A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F5DA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DC63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4D5B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B5AA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13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4D7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94447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89AF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071B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D08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58A9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激光测距</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F4F5B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P+F/SICK/IFM</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55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4FE6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6A5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B8FB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条码系统</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381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P+F/SICK/Leuze</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F66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9C34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712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9BE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F974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148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50D7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BE3B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2D8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高温接近开关</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3B08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科瑞/P+F/IFM</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1E8D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F608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5B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A458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33A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欧姆龙/施耐德/AB</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B42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5BF7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A0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BC15B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AAC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F57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5542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9F7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5FC4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E844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B6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CB8E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F1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8C74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B6E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CC8C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0922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F76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8AB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耐高温电缆</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544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LAPP/HELUKABEL/IGUS</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1CCD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8EE9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3ED1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92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06C5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BFC8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E495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33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3EC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1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C3084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4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AE4E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1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1F9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4CBC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2" w:hRule="atLeast"/>
          <w:jc w:val="center"/>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8F34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7F0D396F">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50"/>
        <w:gridCol w:w="2456"/>
        <w:gridCol w:w="4835"/>
        <w:gridCol w:w="1813"/>
      </w:tblGrid>
      <w:tr w14:paraId="0D0A8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4C410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涂装输调漆设备外购件品牌清单</w:t>
            </w:r>
          </w:p>
        </w:tc>
      </w:tr>
      <w:tr w14:paraId="33578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A36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C341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1717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BD0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64471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B905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2FA2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换热器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51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锡惠/维克斯/北辰</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8C5A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CAD3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4FA0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00CB8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压力表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D068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北京布莱迪/上海赛途/ FTI</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3F65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2312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AAB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C89E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电动泵</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3FB7D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宾克斯/MOOTTL/固瑞克</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00BE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C212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507D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434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04BA8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8E2B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C3C0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C7E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0BB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0F26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CE57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FF0000"/>
                <w:sz w:val="24"/>
                <w:szCs w:val="24"/>
                <w:u w:val="none"/>
              </w:rPr>
            </w:pPr>
          </w:p>
        </w:tc>
      </w:tr>
      <w:tr w14:paraId="75450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C09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9CC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DDFA28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雷博/雷子克/威图</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A928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7235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C83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4E29D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BC78A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C65E8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5D8D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705D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6F1B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B66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Profinet/EtherNet/IP/ CCLIK-IE </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6072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CD40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7D9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8B57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6174B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2F48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938C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C76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068B2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CD7B9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A68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36F9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A37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27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0164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4E7EDF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536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1D48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00F6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EE1D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D902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695C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3F0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29B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5E5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5F4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8DF0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F9AB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6D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9B0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50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873E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BD07D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F107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66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8584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DDF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FE1C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9D8D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7B3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360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3722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D1C5E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FF13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3BA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D572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接近开关</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A13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P+F/Contrinex堪泰/欧姆龙</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754E0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6C0A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D40D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45F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418B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C5E8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AF55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B87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7D68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冷水电动调节阀组及其自控元件</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9EC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 欧文托普/西门子/霍尼韦尔</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7588B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7EDA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7E2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BB90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Y 型过滤器（冷水）</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BDCB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上阀二厂/上阀五厂/立信/麦德凯</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60420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0876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1D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922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电控元器件</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AA5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8D0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3B6A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0B2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3B3F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枪下快插、Y型接头、Z型接头</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CC3D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HOSCO/固瑞克/SATA</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31335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40C5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7A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581BE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压送式空气喷枪</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6DE4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DEVILBISS/MANCY/SATA</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69B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1C4E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776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DF1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电源主开关</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D57A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259D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02D0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A42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9C1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绝缘控制变压器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AADDF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LEIPORD/BLOCK/德玛</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3E2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2398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8F0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AA35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电流互感器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BAD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MBS SULZBACH/Bitronics/三菱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E612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A613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0B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A54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星三角启动器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939F4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43F8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FD6E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8C4F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39B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温度传感器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03A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SAIC/霍尼韦尔/西门子</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7EDC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2EB8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BE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6CE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997F2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1B53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D56B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1A85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E7D8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防爆电器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19B5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库柏/沈阳中兴/德力西</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DF67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7216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21B2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8B8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双组份配比器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8B5C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BINKS/SATA/GRACO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DFF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1F75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4EE5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A6A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胶枪</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C74C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BINKS/SATA/GRACO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F582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F235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D4AB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C776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蜡枪</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230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BINKS/SATA/GRACO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565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6EB7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A9CF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7862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胶泵出口过滤器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7B34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FESTO/SMC/PARKER</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E232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1FE9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277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8C0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枪下压力调节器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94D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BINKS/SATA/GRACO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78B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EEFF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E03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B2F49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手动阀门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77A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上阀五厂/立信/无锡麦德凯</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A614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B8D3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8"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1EA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ADD4F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压力表、温度传</w:t>
            </w:r>
            <w:r>
              <w:rPr>
                <w:rFonts w:hint="eastAsia" w:ascii="宋体" w:hAnsi="宋体" w:eastAsia="宋体" w:cs="宋体"/>
                <w:b w:val="0"/>
                <w:bCs w:val="0"/>
                <w:i w:val="0"/>
                <w:iCs w:val="0"/>
                <w:color w:val="000000"/>
                <w:kern w:val="0"/>
                <w:sz w:val="24"/>
                <w:szCs w:val="24"/>
                <w:u w:val="none"/>
                <w:lang w:val="en-US" w:eastAsia="zh-CN" w:bidi="ar"/>
              </w:rPr>
              <w:br w:type="textWrapping"/>
            </w:r>
            <w:r>
              <w:rPr>
                <w:rFonts w:hint="eastAsia" w:ascii="宋体" w:hAnsi="宋体" w:eastAsia="宋体" w:cs="宋体"/>
                <w:b w:val="0"/>
                <w:bCs w:val="0"/>
                <w:i w:val="0"/>
                <w:iCs w:val="0"/>
                <w:color w:val="000000"/>
                <w:kern w:val="0"/>
                <w:sz w:val="24"/>
                <w:szCs w:val="24"/>
                <w:u w:val="none"/>
                <w:lang w:val="en-US" w:eastAsia="zh-CN" w:bidi="ar"/>
              </w:rPr>
              <w:t>感器、压力传感器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BBCE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E+H/P+F/IFM</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6FC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7AAD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0DB1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F6B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背压阀</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244F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BINKS/SATA/GRACO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687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AE63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54D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B221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气动泵</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8A9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固瑞克/普罗名特/帕斯菲达</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0C3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22BA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7A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00A2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D96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A001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132D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F64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C2F9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65E69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1C4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3B0E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F75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F7C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3B7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689F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A5E2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30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32A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5485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647C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A686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3652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5CB5D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29B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C1F03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FFC1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4A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CD6D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5688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254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3F5E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F9CF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0B69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E528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2A55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541B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00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2864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975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C65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AFC4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B8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9E7A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3E7B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FB52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C3F0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848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3EE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CD5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2EBD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4CDE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75F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1E82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915CF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615A5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95A7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2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014D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12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EB8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5DE4B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9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8689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7AEE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48B8844">
            <w:pPr>
              <w:keepNext w:val="0"/>
              <w:keepLines w:val="0"/>
              <w:pageBreakBefore w:val="0"/>
              <w:widowControl/>
              <w:suppressLineNumbers w:val="0"/>
              <w:kinsoku/>
              <w:topLinePunct w:val="0"/>
              <w:bidi w:val="0"/>
              <w:adjustRightInd w:val="0"/>
              <w:snapToGrid w:val="0"/>
              <w:spacing w:afterAutospacing="0" w:line="240" w:lineRule="auto"/>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20940B19">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8"/>
        <w:gridCol w:w="2446"/>
        <w:gridCol w:w="4956"/>
        <w:gridCol w:w="1754"/>
      </w:tblGrid>
      <w:tr w14:paraId="5A758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6004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涂装空调设备外购件品牌清单</w:t>
            </w:r>
          </w:p>
        </w:tc>
      </w:tr>
      <w:tr w14:paraId="23B32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673E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AB07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56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127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06FD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09342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262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5AAE1D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天然气流量计</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3B1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天津迅尔/万安/科优</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3120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D870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D33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4836A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876AB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上海通用/武汉科禄格/上海双城</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3E0A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2259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24E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9DB22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549B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无锡东辉/上海富士达/盐城华鹏</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F054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ED05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BE7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5EF56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过滤器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122C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BINKS/远诺/强工/飞潮</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992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DB6C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DD1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6B1AC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压力表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7808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北京布莱迪/上海赛途/ FTI</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61DD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D87B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4B1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92FC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过滤袋、过滤棉</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75BB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丹东/玉祁/聚贤/玉净</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7F4F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8C72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B9F4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DEF5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手动阀门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9610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上阀二厂/上阀五厂/立信</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742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FBF1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4CE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73F46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1FD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2AF9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3DB8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043D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88AEF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风机、水泵轴承</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D6E0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SKF/NSK/FAG</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5E3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AC12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A7C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A31D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喷淋泵</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EECA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艾比德/强工/新久扬</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A6A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ED11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815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43751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风机、水泵电机</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14EC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西门子/SEW/AB</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5947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7488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68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89B8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风机皮带</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7A0B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三星/盖茨/马牌（Contitech）</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397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E79C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9A1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F4B3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燃烧器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2B94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MAXON/天时/吉姆帕克</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BE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325D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0E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8356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燃烧器阀组</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1B7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霍尼韦尔/西门子/霍科德</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690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FCD1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777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D68BB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741D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A5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F56E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585D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1CBD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E3DC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雷博/雷子克/威图</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FD3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2653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CC4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71DE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75A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4E23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819F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B6D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BF13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F0C1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xml:space="preserve">Profinet/EtherNet/IP/ CCLIK-IE </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2DDD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19EF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5826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9BAC9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F5A1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15A68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AA14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25C2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2C9F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09A8F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EBF51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FE14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E04F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097D1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ED0E5F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6A7A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F69E2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D1A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4CE6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69C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2D9A0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9EC4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A28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66FB8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18A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FA53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98A4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ECA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3DD1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ECFAE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6C7A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A0AC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F32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0A34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00CA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468E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AA18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E07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FF9FE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FBD6F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西门子/AB/霍尼韦尔</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8E0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D8CA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7F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8B818D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接近开关</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9632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P+F/Contrinex堪泰/欧姆龙</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428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59CE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E44F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936EB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83007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7159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BE8B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C49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3ECF5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液位传感器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0414E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欧姆龙/P+F/IFM</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B31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1E66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6C2B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F387AC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加湿段补水电磁阀</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1766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上阀二厂/立信/无锡麦德凯</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BCBE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1AE4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410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9F900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调节风门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B47A6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上海显隆/新立达/郑州天工　</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5FF85">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97CD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C019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1864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防火阀（出口阀）</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F0F8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上海显隆/新立达/郑州天工　</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314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69A2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1D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56ACF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温度传感器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860CF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西门子/SAIC/霍尼韦尔</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1B3DA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CB40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8D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FBDB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湿度传感器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99586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西门子/AB/WIKA</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B17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DCDD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08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2502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冷水电动调节阀组及其自控元件</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D875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Style w:val="529"/>
                <w:rFonts w:hint="eastAsia" w:ascii="宋体" w:hAnsi="宋体" w:eastAsia="宋体" w:cs="宋体"/>
                <w:b w:val="0"/>
                <w:bCs w:val="0"/>
                <w:sz w:val="24"/>
                <w:szCs w:val="24"/>
                <w:lang w:val="en-US" w:eastAsia="zh-CN" w:bidi="ar"/>
              </w:rPr>
              <w:t>HONEYWELL(霍尼韦尔)/RTK/西门子</w:t>
            </w:r>
          </w:p>
        </w:tc>
        <w:tc>
          <w:tcPr>
            <w:tcW w:w="90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F63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946C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E86E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3D3F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Y 型过滤器（冷水）</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A2859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　上阀二厂/上阀五厂/立信/麦德凯</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FBA3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BF27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BB0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60F9F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加湿器</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9688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思探得/国瑞兴华/湿王</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CAD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71175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442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9E106C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压差计</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84B4F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西门子/dwyer/WIKA</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C94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F8BF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D9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82995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空调机组的喷淋水泵</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EA3E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艾比德/强工/新久扬</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E9AE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C084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729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097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温升震动传感器</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AC4D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易福门/巴鲁夫/施耐德</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026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B37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DCC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C66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AE1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8D5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F233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D8A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546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9086A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10AD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EF32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82D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FB72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2EC5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B601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012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04BC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4429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034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西门子/P+F/SICK</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6FE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90DC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3085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7F628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310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76A2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46D5B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1B18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76D8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A0DF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42B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B85B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1DC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F5BD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高温接近开关</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47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P+F/SICK/IFM</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7599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B974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5894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53C0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4949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P+F/SICK/Leuze</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3A55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21EE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66E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70F5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A7A5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03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ACE1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417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C43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EE7C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科瑞/P+F/IFM</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7CF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4DEA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5A0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D55B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F1B3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9EB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F6CE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B96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53</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D75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耐高温电缆</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68E3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LAPP/HELUKABEL/IGUS</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8A59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4815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80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54</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B24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7BAF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BE74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E034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852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55</w:t>
            </w:r>
          </w:p>
        </w:tc>
        <w:tc>
          <w:tcPr>
            <w:tcW w:w="1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DA907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5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2242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90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25EC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B34B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1B5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56</w:t>
            </w:r>
          </w:p>
        </w:tc>
        <w:tc>
          <w:tcPr>
            <w:tcW w:w="12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388C1A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空调机组集成</w:t>
            </w:r>
          </w:p>
        </w:tc>
        <w:tc>
          <w:tcPr>
            <w:tcW w:w="256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514BE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lang w:val="en-US"/>
              </w:rPr>
            </w:pPr>
            <w:r>
              <w:rPr>
                <w:rFonts w:hint="eastAsia" w:ascii="宋体" w:hAnsi="宋体" w:eastAsia="宋体" w:cs="宋体"/>
                <w:b w:val="0"/>
                <w:bCs w:val="0"/>
                <w:i w:val="0"/>
                <w:iCs w:val="0"/>
                <w:color w:val="000000"/>
                <w:kern w:val="0"/>
                <w:sz w:val="24"/>
                <w:szCs w:val="24"/>
                <w:u w:val="none"/>
                <w:lang w:val="en-US" w:eastAsia="zh-CN" w:bidi="ar"/>
              </w:rPr>
              <w:t>乐金博纳/苏净安发/江苏博名/供应商自行集成</w:t>
            </w:r>
          </w:p>
        </w:tc>
        <w:tc>
          <w:tcPr>
            <w:tcW w:w="90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32E4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w:t>
            </w:r>
          </w:p>
        </w:tc>
      </w:tr>
      <w:tr w14:paraId="4A752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A6584D">
            <w:pPr>
              <w:keepNext w:val="0"/>
              <w:keepLines w:val="0"/>
              <w:pageBreakBefore w:val="0"/>
              <w:widowControl/>
              <w:suppressLineNumbers w:val="0"/>
              <w:kinsoku/>
              <w:topLinePunct w:val="0"/>
              <w:bidi w:val="0"/>
              <w:adjustRightInd w:val="0"/>
              <w:snapToGrid w:val="0"/>
              <w:spacing w:afterAutospacing="0" w:line="240" w:lineRule="auto"/>
              <w:jc w:val="left"/>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57BF3033">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10"/>
        <w:gridCol w:w="2400"/>
        <w:gridCol w:w="4582"/>
        <w:gridCol w:w="2162"/>
      </w:tblGrid>
      <w:tr w14:paraId="53FB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trPr>
        <w:tc>
          <w:tcPr>
            <w:tcW w:w="5000" w:type="pct"/>
            <w:gridSpan w:val="4"/>
            <w:shd w:val="clear" w:color="auto" w:fill="auto"/>
            <w:vAlign w:val="center"/>
          </w:tcPr>
          <w:p w14:paraId="12F947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涂装烘干单元与焚烧系统设备外购件品牌清单</w:t>
            </w:r>
          </w:p>
        </w:tc>
      </w:tr>
      <w:tr w14:paraId="41CE2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64" w:type="pct"/>
            <w:shd w:val="clear" w:color="auto" w:fill="auto"/>
            <w:vAlign w:val="center"/>
          </w:tcPr>
          <w:p w14:paraId="16140E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243" w:type="pct"/>
            <w:shd w:val="clear" w:color="auto" w:fill="auto"/>
            <w:vAlign w:val="center"/>
          </w:tcPr>
          <w:p w14:paraId="534621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373" w:type="pct"/>
            <w:shd w:val="clear" w:color="auto" w:fill="auto"/>
            <w:noWrap/>
            <w:vAlign w:val="center"/>
          </w:tcPr>
          <w:p w14:paraId="341B11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1118" w:type="pct"/>
            <w:shd w:val="clear" w:color="auto" w:fill="auto"/>
            <w:noWrap/>
            <w:vAlign w:val="center"/>
          </w:tcPr>
          <w:p w14:paraId="2E3BC66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26D96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56FA9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243" w:type="pct"/>
            <w:shd w:val="clear" w:color="auto" w:fill="auto"/>
            <w:vAlign w:val="center"/>
          </w:tcPr>
          <w:p w14:paraId="522833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燃烧器</w:t>
            </w:r>
          </w:p>
        </w:tc>
        <w:tc>
          <w:tcPr>
            <w:tcW w:w="2373" w:type="pct"/>
            <w:shd w:val="clear" w:color="auto" w:fill="auto"/>
            <w:vAlign w:val="center"/>
          </w:tcPr>
          <w:p w14:paraId="02BA54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MAXON/天时/吉姆帕克</w:t>
            </w:r>
          </w:p>
        </w:tc>
        <w:tc>
          <w:tcPr>
            <w:tcW w:w="1118" w:type="pct"/>
            <w:shd w:val="clear" w:color="auto" w:fill="auto"/>
            <w:noWrap/>
            <w:vAlign w:val="center"/>
          </w:tcPr>
          <w:p w14:paraId="7FC5F9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92F5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A5981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243" w:type="pct"/>
            <w:shd w:val="clear" w:color="auto" w:fill="auto"/>
            <w:vAlign w:val="center"/>
          </w:tcPr>
          <w:p w14:paraId="2940D1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w:t>
            </w:r>
          </w:p>
        </w:tc>
        <w:tc>
          <w:tcPr>
            <w:tcW w:w="2373" w:type="pct"/>
            <w:shd w:val="clear" w:color="auto" w:fill="auto"/>
            <w:vAlign w:val="center"/>
          </w:tcPr>
          <w:p w14:paraId="65FCD2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上海通用/武汉科禄格/上海双城</w:t>
            </w:r>
          </w:p>
        </w:tc>
        <w:tc>
          <w:tcPr>
            <w:tcW w:w="1118" w:type="pct"/>
            <w:shd w:val="clear" w:color="auto" w:fill="auto"/>
            <w:noWrap/>
            <w:vAlign w:val="center"/>
          </w:tcPr>
          <w:p w14:paraId="6E1009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4601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107A78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243" w:type="pct"/>
            <w:shd w:val="clear" w:color="auto" w:fill="auto"/>
            <w:vAlign w:val="center"/>
          </w:tcPr>
          <w:p w14:paraId="74C6AF2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压力表</w:t>
            </w:r>
          </w:p>
        </w:tc>
        <w:tc>
          <w:tcPr>
            <w:tcW w:w="2373" w:type="pct"/>
            <w:shd w:val="clear" w:color="auto" w:fill="auto"/>
            <w:vAlign w:val="center"/>
          </w:tcPr>
          <w:p w14:paraId="09EF6EC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北京布莱迪/上海赛途/ FTI</w:t>
            </w:r>
          </w:p>
        </w:tc>
        <w:tc>
          <w:tcPr>
            <w:tcW w:w="1118" w:type="pct"/>
            <w:shd w:val="clear" w:color="auto" w:fill="auto"/>
            <w:noWrap/>
            <w:vAlign w:val="center"/>
          </w:tcPr>
          <w:p w14:paraId="50C8C3A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BE0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AB37C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243" w:type="pct"/>
            <w:shd w:val="clear" w:color="auto" w:fill="auto"/>
            <w:vAlign w:val="center"/>
          </w:tcPr>
          <w:p w14:paraId="766D4D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过滤袋、过滤棉</w:t>
            </w:r>
          </w:p>
        </w:tc>
        <w:tc>
          <w:tcPr>
            <w:tcW w:w="2373" w:type="pct"/>
            <w:shd w:val="clear" w:color="auto" w:fill="auto"/>
            <w:vAlign w:val="center"/>
          </w:tcPr>
          <w:p w14:paraId="62EC9EF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丹东/玉祁/聚贤/玉净</w:t>
            </w:r>
          </w:p>
        </w:tc>
        <w:tc>
          <w:tcPr>
            <w:tcW w:w="1118" w:type="pct"/>
            <w:shd w:val="clear" w:color="auto" w:fill="auto"/>
            <w:noWrap/>
            <w:vAlign w:val="center"/>
          </w:tcPr>
          <w:p w14:paraId="13151C2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2140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84A92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243" w:type="pct"/>
            <w:shd w:val="clear" w:color="auto" w:fill="auto"/>
            <w:vAlign w:val="center"/>
          </w:tcPr>
          <w:p w14:paraId="196BACD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手动阀门</w:t>
            </w:r>
          </w:p>
        </w:tc>
        <w:tc>
          <w:tcPr>
            <w:tcW w:w="2373" w:type="pct"/>
            <w:shd w:val="clear" w:color="auto" w:fill="auto"/>
            <w:vAlign w:val="center"/>
          </w:tcPr>
          <w:p w14:paraId="1A7DDC6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上阀二厂/上阀五厂/立信/麦德凯</w:t>
            </w:r>
          </w:p>
        </w:tc>
        <w:tc>
          <w:tcPr>
            <w:tcW w:w="1118" w:type="pct"/>
            <w:shd w:val="clear" w:color="auto" w:fill="auto"/>
            <w:noWrap/>
            <w:vAlign w:val="center"/>
          </w:tcPr>
          <w:p w14:paraId="7149F2B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BC9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4D6775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243" w:type="pct"/>
            <w:shd w:val="clear" w:color="auto" w:fill="auto"/>
            <w:vAlign w:val="center"/>
          </w:tcPr>
          <w:p w14:paraId="4A74BA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373" w:type="pct"/>
            <w:shd w:val="clear" w:color="auto" w:fill="auto"/>
            <w:vAlign w:val="center"/>
          </w:tcPr>
          <w:p w14:paraId="2FE0B5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1118" w:type="pct"/>
            <w:shd w:val="clear" w:color="auto" w:fill="auto"/>
            <w:noWrap/>
            <w:vAlign w:val="center"/>
          </w:tcPr>
          <w:p w14:paraId="5062B1D4">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0312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0C02A9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243" w:type="pct"/>
            <w:shd w:val="clear" w:color="auto" w:fill="auto"/>
            <w:vAlign w:val="center"/>
          </w:tcPr>
          <w:p w14:paraId="3EB996D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风机、水泵轴承</w:t>
            </w:r>
          </w:p>
        </w:tc>
        <w:tc>
          <w:tcPr>
            <w:tcW w:w="2373" w:type="pct"/>
            <w:shd w:val="clear" w:color="auto" w:fill="auto"/>
            <w:vAlign w:val="center"/>
          </w:tcPr>
          <w:p w14:paraId="494260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SKF/NSK/FAG</w:t>
            </w:r>
          </w:p>
        </w:tc>
        <w:tc>
          <w:tcPr>
            <w:tcW w:w="1118" w:type="pct"/>
            <w:shd w:val="clear" w:color="auto" w:fill="auto"/>
            <w:noWrap/>
            <w:vAlign w:val="center"/>
          </w:tcPr>
          <w:p w14:paraId="589E6B7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E497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D11C7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243" w:type="pct"/>
            <w:shd w:val="clear" w:color="auto" w:fill="auto"/>
            <w:vAlign w:val="center"/>
          </w:tcPr>
          <w:p w14:paraId="4D25E4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风机、水泵电机</w:t>
            </w:r>
          </w:p>
        </w:tc>
        <w:tc>
          <w:tcPr>
            <w:tcW w:w="2373" w:type="pct"/>
            <w:shd w:val="clear" w:color="auto" w:fill="auto"/>
            <w:vAlign w:val="center"/>
          </w:tcPr>
          <w:p w14:paraId="02C061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西门子/SEW/AB</w:t>
            </w:r>
          </w:p>
        </w:tc>
        <w:tc>
          <w:tcPr>
            <w:tcW w:w="1118" w:type="pct"/>
            <w:shd w:val="clear" w:color="auto" w:fill="auto"/>
            <w:noWrap/>
            <w:vAlign w:val="center"/>
          </w:tcPr>
          <w:p w14:paraId="1BB50CF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B091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C696C9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243" w:type="pct"/>
            <w:shd w:val="clear" w:color="auto" w:fill="auto"/>
            <w:vAlign w:val="center"/>
          </w:tcPr>
          <w:p w14:paraId="72E571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风机皮带</w:t>
            </w:r>
          </w:p>
        </w:tc>
        <w:tc>
          <w:tcPr>
            <w:tcW w:w="2373" w:type="pct"/>
            <w:shd w:val="clear" w:color="auto" w:fill="auto"/>
            <w:vAlign w:val="center"/>
          </w:tcPr>
          <w:p w14:paraId="6068B6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三星/盖茨/马牌（Contitech）</w:t>
            </w:r>
          </w:p>
        </w:tc>
        <w:tc>
          <w:tcPr>
            <w:tcW w:w="1118" w:type="pct"/>
            <w:shd w:val="clear" w:color="auto" w:fill="auto"/>
            <w:noWrap/>
            <w:vAlign w:val="center"/>
          </w:tcPr>
          <w:p w14:paraId="44F52B0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D19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2470C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243" w:type="pct"/>
            <w:shd w:val="clear" w:color="auto" w:fill="auto"/>
            <w:vAlign w:val="center"/>
          </w:tcPr>
          <w:p w14:paraId="49B63A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燃烧器阀组</w:t>
            </w:r>
          </w:p>
        </w:tc>
        <w:tc>
          <w:tcPr>
            <w:tcW w:w="2373" w:type="pct"/>
            <w:shd w:val="clear" w:color="auto" w:fill="auto"/>
            <w:vAlign w:val="center"/>
          </w:tcPr>
          <w:p w14:paraId="0A4F87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霍尼韦尔/西门子/霍科德</w:t>
            </w:r>
          </w:p>
        </w:tc>
        <w:tc>
          <w:tcPr>
            <w:tcW w:w="1118" w:type="pct"/>
            <w:shd w:val="clear" w:color="auto" w:fill="auto"/>
            <w:noWrap/>
            <w:vAlign w:val="center"/>
          </w:tcPr>
          <w:p w14:paraId="1CDF41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323C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FD6D4A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243" w:type="pct"/>
            <w:shd w:val="clear" w:color="auto" w:fill="auto"/>
            <w:vAlign w:val="center"/>
          </w:tcPr>
          <w:p w14:paraId="6543CF1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373" w:type="pct"/>
            <w:shd w:val="clear" w:color="auto" w:fill="FFFFFF"/>
            <w:vAlign w:val="center"/>
          </w:tcPr>
          <w:p w14:paraId="6197362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1118" w:type="pct"/>
            <w:shd w:val="clear" w:color="auto" w:fill="auto"/>
            <w:noWrap/>
            <w:vAlign w:val="center"/>
          </w:tcPr>
          <w:p w14:paraId="4DFDB87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2E20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4D1FF4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243" w:type="pct"/>
            <w:shd w:val="clear" w:color="auto" w:fill="auto"/>
            <w:vAlign w:val="center"/>
          </w:tcPr>
          <w:p w14:paraId="3E151E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373" w:type="pct"/>
            <w:shd w:val="clear" w:color="auto" w:fill="auto"/>
            <w:vAlign w:val="center"/>
          </w:tcPr>
          <w:p w14:paraId="085555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雷博/雷子克/威图</w:t>
            </w:r>
          </w:p>
        </w:tc>
        <w:tc>
          <w:tcPr>
            <w:tcW w:w="1118" w:type="pct"/>
            <w:shd w:val="clear" w:color="auto" w:fill="auto"/>
            <w:noWrap/>
            <w:vAlign w:val="center"/>
          </w:tcPr>
          <w:p w14:paraId="4B7C108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A16D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0E6C66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243" w:type="pct"/>
            <w:shd w:val="clear" w:color="auto" w:fill="FFFFFF"/>
            <w:vAlign w:val="center"/>
          </w:tcPr>
          <w:p w14:paraId="40D7FBB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373" w:type="pct"/>
            <w:shd w:val="clear" w:color="auto" w:fill="FFFFFF"/>
            <w:vAlign w:val="center"/>
          </w:tcPr>
          <w:p w14:paraId="4B2F2B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1118" w:type="pct"/>
            <w:shd w:val="clear" w:color="auto" w:fill="auto"/>
            <w:vAlign w:val="center"/>
          </w:tcPr>
          <w:p w14:paraId="6B08E7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6F6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1B0BD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243" w:type="pct"/>
            <w:shd w:val="clear" w:color="auto" w:fill="FFFFFF"/>
            <w:vAlign w:val="center"/>
          </w:tcPr>
          <w:p w14:paraId="5FFE75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373" w:type="pct"/>
            <w:shd w:val="clear" w:color="auto" w:fill="auto"/>
            <w:vAlign w:val="center"/>
          </w:tcPr>
          <w:p w14:paraId="4A2EA6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Profinet/EtherNet/IP/ CCLIK-IE</w:t>
            </w:r>
          </w:p>
        </w:tc>
        <w:tc>
          <w:tcPr>
            <w:tcW w:w="1118" w:type="pct"/>
            <w:shd w:val="clear" w:color="auto" w:fill="auto"/>
            <w:vAlign w:val="center"/>
          </w:tcPr>
          <w:p w14:paraId="6F103C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9E65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0C864CA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243" w:type="pct"/>
            <w:shd w:val="clear" w:color="auto" w:fill="FFFFFF"/>
            <w:vAlign w:val="center"/>
          </w:tcPr>
          <w:p w14:paraId="44734C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373" w:type="pct"/>
            <w:shd w:val="clear" w:color="auto" w:fill="FFFFFF"/>
            <w:vAlign w:val="center"/>
          </w:tcPr>
          <w:p w14:paraId="5BEA16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18" w:type="pct"/>
            <w:shd w:val="clear" w:color="auto" w:fill="auto"/>
            <w:vAlign w:val="center"/>
          </w:tcPr>
          <w:p w14:paraId="07A65F6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0C3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2FB1A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243" w:type="pct"/>
            <w:shd w:val="clear" w:color="auto" w:fill="FFFFFF"/>
            <w:vAlign w:val="center"/>
          </w:tcPr>
          <w:p w14:paraId="37BD5B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373" w:type="pct"/>
            <w:shd w:val="clear" w:color="auto" w:fill="FFFFFF"/>
            <w:vAlign w:val="center"/>
          </w:tcPr>
          <w:p w14:paraId="752F5DD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1118" w:type="pct"/>
            <w:shd w:val="clear" w:color="auto" w:fill="auto"/>
            <w:vAlign w:val="center"/>
          </w:tcPr>
          <w:p w14:paraId="47E940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73FE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107BC7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243" w:type="pct"/>
            <w:shd w:val="clear" w:color="auto" w:fill="FFFFFF"/>
            <w:vAlign w:val="center"/>
          </w:tcPr>
          <w:p w14:paraId="175078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373" w:type="pct"/>
            <w:shd w:val="clear" w:color="auto" w:fill="FFFFFF"/>
            <w:vAlign w:val="center"/>
          </w:tcPr>
          <w:p w14:paraId="1DFBC9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1118" w:type="pct"/>
            <w:shd w:val="clear" w:color="auto" w:fill="auto"/>
            <w:vAlign w:val="center"/>
          </w:tcPr>
          <w:p w14:paraId="5964C6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FF5F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BA95F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243" w:type="pct"/>
            <w:shd w:val="clear" w:color="auto" w:fill="auto"/>
            <w:vAlign w:val="center"/>
          </w:tcPr>
          <w:p w14:paraId="6FB95D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373" w:type="pct"/>
            <w:shd w:val="clear" w:color="auto" w:fill="auto"/>
            <w:vAlign w:val="center"/>
          </w:tcPr>
          <w:p w14:paraId="048C3E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1118" w:type="pct"/>
            <w:shd w:val="clear" w:color="auto" w:fill="auto"/>
            <w:vAlign w:val="center"/>
          </w:tcPr>
          <w:p w14:paraId="5B60AE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DB3A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B5A7E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243" w:type="pct"/>
            <w:shd w:val="clear" w:color="auto" w:fill="auto"/>
            <w:vAlign w:val="center"/>
          </w:tcPr>
          <w:p w14:paraId="25BE40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373" w:type="pct"/>
            <w:shd w:val="clear" w:color="auto" w:fill="auto"/>
            <w:vAlign w:val="center"/>
          </w:tcPr>
          <w:p w14:paraId="357C54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1118" w:type="pct"/>
            <w:shd w:val="clear" w:color="auto" w:fill="auto"/>
            <w:noWrap/>
            <w:vAlign w:val="center"/>
          </w:tcPr>
          <w:p w14:paraId="3E9F3DB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A05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0BDEE1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243" w:type="pct"/>
            <w:shd w:val="clear" w:color="auto" w:fill="auto"/>
            <w:vAlign w:val="center"/>
          </w:tcPr>
          <w:p w14:paraId="400CEF9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373" w:type="pct"/>
            <w:shd w:val="clear" w:color="auto" w:fill="FFFFFF"/>
            <w:vAlign w:val="center"/>
          </w:tcPr>
          <w:p w14:paraId="3B83BA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1118" w:type="pct"/>
            <w:shd w:val="clear" w:color="auto" w:fill="auto"/>
            <w:noWrap/>
            <w:vAlign w:val="center"/>
          </w:tcPr>
          <w:p w14:paraId="7B958C1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FCDB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584628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243" w:type="pct"/>
            <w:shd w:val="clear" w:color="auto" w:fill="auto"/>
            <w:vAlign w:val="center"/>
          </w:tcPr>
          <w:p w14:paraId="575CD6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373" w:type="pct"/>
            <w:shd w:val="clear" w:color="auto" w:fill="auto"/>
            <w:vAlign w:val="center"/>
          </w:tcPr>
          <w:p w14:paraId="7B71B2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1118" w:type="pct"/>
            <w:shd w:val="clear" w:color="auto" w:fill="auto"/>
            <w:noWrap/>
            <w:vAlign w:val="center"/>
          </w:tcPr>
          <w:p w14:paraId="50841B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531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FAA23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243" w:type="pct"/>
            <w:shd w:val="clear" w:color="auto" w:fill="auto"/>
            <w:vAlign w:val="center"/>
          </w:tcPr>
          <w:p w14:paraId="23B5FD2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373" w:type="pct"/>
            <w:shd w:val="clear" w:color="auto" w:fill="auto"/>
            <w:vAlign w:val="center"/>
          </w:tcPr>
          <w:p w14:paraId="32B70ED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西门子/AB/霍尼韦尔</w:t>
            </w:r>
          </w:p>
        </w:tc>
        <w:tc>
          <w:tcPr>
            <w:tcW w:w="1118" w:type="pct"/>
            <w:shd w:val="clear" w:color="auto" w:fill="auto"/>
            <w:noWrap/>
            <w:vAlign w:val="center"/>
          </w:tcPr>
          <w:p w14:paraId="2195E3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5897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2F09E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243" w:type="pct"/>
            <w:shd w:val="clear" w:color="auto" w:fill="auto"/>
            <w:vAlign w:val="center"/>
          </w:tcPr>
          <w:p w14:paraId="4BBE6FB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373" w:type="pct"/>
            <w:shd w:val="clear" w:color="auto" w:fill="auto"/>
            <w:vAlign w:val="center"/>
          </w:tcPr>
          <w:p w14:paraId="3A3EEA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118" w:type="pct"/>
            <w:shd w:val="clear" w:color="auto" w:fill="auto"/>
            <w:noWrap/>
            <w:vAlign w:val="center"/>
          </w:tcPr>
          <w:p w14:paraId="620FE8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8764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7B757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243" w:type="pct"/>
            <w:shd w:val="clear" w:color="auto" w:fill="auto"/>
            <w:vAlign w:val="center"/>
          </w:tcPr>
          <w:p w14:paraId="61DD543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液位传感器</w:t>
            </w:r>
          </w:p>
        </w:tc>
        <w:tc>
          <w:tcPr>
            <w:tcW w:w="2373" w:type="pct"/>
            <w:shd w:val="clear" w:color="auto" w:fill="auto"/>
            <w:vAlign w:val="center"/>
          </w:tcPr>
          <w:p w14:paraId="36857B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欧姆龙/P+F/IFM</w:t>
            </w:r>
          </w:p>
        </w:tc>
        <w:tc>
          <w:tcPr>
            <w:tcW w:w="1118" w:type="pct"/>
            <w:shd w:val="clear" w:color="auto" w:fill="auto"/>
            <w:noWrap/>
            <w:vAlign w:val="center"/>
          </w:tcPr>
          <w:p w14:paraId="7A4D814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5F03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D1C13C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243" w:type="pct"/>
            <w:shd w:val="clear" w:color="auto" w:fill="auto"/>
            <w:vAlign w:val="center"/>
          </w:tcPr>
          <w:p w14:paraId="1E09CFA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温度传感器</w:t>
            </w:r>
          </w:p>
        </w:tc>
        <w:tc>
          <w:tcPr>
            <w:tcW w:w="2373" w:type="pct"/>
            <w:shd w:val="clear" w:color="auto" w:fill="FFFFFF"/>
            <w:vAlign w:val="center"/>
          </w:tcPr>
          <w:p w14:paraId="68E4CD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西门子/SAIC/霍尼韦尔</w:t>
            </w:r>
          </w:p>
        </w:tc>
        <w:tc>
          <w:tcPr>
            <w:tcW w:w="1118" w:type="pct"/>
            <w:shd w:val="clear" w:color="auto" w:fill="auto"/>
            <w:noWrap/>
            <w:vAlign w:val="center"/>
          </w:tcPr>
          <w:p w14:paraId="22CEE3F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A92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EE2F96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243" w:type="pct"/>
            <w:shd w:val="clear" w:color="auto" w:fill="auto"/>
            <w:vAlign w:val="center"/>
          </w:tcPr>
          <w:p w14:paraId="00E6D4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湿度传感器</w:t>
            </w:r>
          </w:p>
        </w:tc>
        <w:tc>
          <w:tcPr>
            <w:tcW w:w="2373" w:type="pct"/>
            <w:shd w:val="clear" w:color="auto" w:fill="FFFFFF"/>
            <w:vAlign w:val="center"/>
          </w:tcPr>
          <w:p w14:paraId="0161E5D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西门子/AB/WIKA</w:t>
            </w:r>
          </w:p>
        </w:tc>
        <w:tc>
          <w:tcPr>
            <w:tcW w:w="1118" w:type="pct"/>
            <w:shd w:val="clear" w:color="auto" w:fill="auto"/>
            <w:noWrap/>
            <w:vAlign w:val="center"/>
          </w:tcPr>
          <w:p w14:paraId="7C6128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6A6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1AB85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243" w:type="pct"/>
            <w:shd w:val="clear" w:color="auto" w:fill="auto"/>
            <w:vAlign w:val="center"/>
          </w:tcPr>
          <w:p w14:paraId="33B117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高温烟管控制阀</w:t>
            </w:r>
          </w:p>
        </w:tc>
        <w:tc>
          <w:tcPr>
            <w:tcW w:w="2373" w:type="pct"/>
            <w:shd w:val="clear" w:color="auto" w:fill="auto"/>
            <w:vAlign w:val="center"/>
          </w:tcPr>
          <w:p w14:paraId="6932764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ARIS/西门子/霍尼韦尔</w:t>
            </w:r>
          </w:p>
        </w:tc>
        <w:tc>
          <w:tcPr>
            <w:tcW w:w="1118" w:type="pct"/>
            <w:shd w:val="clear" w:color="auto" w:fill="auto"/>
            <w:noWrap/>
            <w:vAlign w:val="center"/>
          </w:tcPr>
          <w:p w14:paraId="2643FF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F11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F245CA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243" w:type="pct"/>
            <w:shd w:val="clear" w:color="auto" w:fill="auto"/>
            <w:vAlign w:val="center"/>
          </w:tcPr>
          <w:p w14:paraId="293C45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空气压差计</w:t>
            </w:r>
          </w:p>
        </w:tc>
        <w:tc>
          <w:tcPr>
            <w:tcW w:w="2373" w:type="pct"/>
            <w:shd w:val="clear" w:color="auto" w:fill="FFFFFF"/>
            <w:vAlign w:val="center"/>
          </w:tcPr>
          <w:p w14:paraId="4E571D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西门子/dwyer/WIKA</w:t>
            </w:r>
          </w:p>
        </w:tc>
        <w:tc>
          <w:tcPr>
            <w:tcW w:w="1118" w:type="pct"/>
            <w:shd w:val="clear" w:color="auto" w:fill="auto"/>
            <w:noWrap/>
            <w:vAlign w:val="center"/>
          </w:tcPr>
          <w:p w14:paraId="4CB643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5B6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26281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243" w:type="pct"/>
            <w:shd w:val="clear" w:color="auto" w:fill="auto"/>
            <w:vAlign w:val="center"/>
          </w:tcPr>
          <w:p w14:paraId="6B77B4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天然气泄漏检测装置</w:t>
            </w:r>
          </w:p>
        </w:tc>
        <w:tc>
          <w:tcPr>
            <w:tcW w:w="2373" w:type="pct"/>
            <w:shd w:val="clear" w:color="auto" w:fill="auto"/>
            <w:vAlign w:val="center"/>
          </w:tcPr>
          <w:p w14:paraId="2D8A52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日本新宇宙/霍尼韦尔/MSA</w:t>
            </w:r>
          </w:p>
        </w:tc>
        <w:tc>
          <w:tcPr>
            <w:tcW w:w="1118" w:type="pct"/>
            <w:shd w:val="clear" w:color="auto" w:fill="auto"/>
            <w:noWrap/>
            <w:vAlign w:val="center"/>
          </w:tcPr>
          <w:p w14:paraId="359427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3ED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234F39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243" w:type="pct"/>
            <w:shd w:val="clear" w:color="auto" w:fill="auto"/>
            <w:vAlign w:val="center"/>
          </w:tcPr>
          <w:p w14:paraId="3799B6A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浓缩转轮</w:t>
            </w:r>
          </w:p>
        </w:tc>
        <w:tc>
          <w:tcPr>
            <w:tcW w:w="2373" w:type="pct"/>
            <w:shd w:val="clear" w:color="auto" w:fill="auto"/>
            <w:vAlign w:val="center"/>
          </w:tcPr>
          <w:p w14:paraId="08245F8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蒙特/格蓝科/西部技研</w:t>
            </w:r>
          </w:p>
        </w:tc>
        <w:tc>
          <w:tcPr>
            <w:tcW w:w="1118" w:type="pct"/>
            <w:shd w:val="clear" w:color="auto" w:fill="auto"/>
            <w:noWrap/>
            <w:vAlign w:val="center"/>
          </w:tcPr>
          <w:p w14:paraId="5D61CF0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480B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627412E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243" w:type="pct"/>
            <w:shd w:val="clear" w:color="auto" w:fill="auto"/>
            <w:vAlign w:val="center"/>
          </w:tcPr>
          <w:p w14:paraId="05EF94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RTO</w:t>
            </w:r>
          </w:p>
        </w:tc>
        <w:tc>
          <w:tcPr>
            <w:tcW w:w="2373" w:type="pct"/>
            <w:shd w:val="clear" w:color="auto" w:fill="auto"/>
            <w:vAlign w:val="center"/>
          </w:tcPr>
          <w:p w14:paraId="32038D0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西安艾瑟尔WK/上海显荣/杭州格蓝科</w:t>
            </w:r>
          </w:p>
        </w:tc>
        <w:tc>
          <w:tcPr>
            <w:tcW w:w="1118" w:type="pct"/>
            <w:shd w:val="clear" w:color="auto" w:fill="auto"/>
            <w:noWrap/>
            <w:vAlign w:val="center"/>
          </w:tcPr>
          <w:p w14:paraId="05C7542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6DD7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5DE947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243" w:type="pct"/>
            <w:shd w:val="clear" w:color="auto" w:fill="auto"/>
            <w:vAlign w:val="center"/>
          </w:tcPr>
          <w:p w14:paraId="62437D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换热、换气装置</w:t>
            </w:r>
          </w:p>
        </w:tc>
        <w:tc>
          <w:tcPr>
            <w:tcW w:w="2373" w:type="pct"/>
            <w:shd w:val="clear" w:color="auto" w:fill="auto"/>
            <w:vAlign w:val="center"/>
          </w:tcPr>
          <w:p w14:paraId="27D3CC4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西安艾瑟尔WK/上海显荣/杭州格蓝科</w:t>
            </w:r>
          </w:p>
        </w:tc>
        <w:tc>
          <w:tcPr>
            <w:tcW w:w="1118" w:type="pct"/>
            <w:shd w:val="clear" w:color="auto" w:fill="auto"/>
            <w:noWrap/>
            <w:vAlign w:val="center"/>
          </w:tcPr>
          <w:p w14:paraId="77DF1B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515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5FB24D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243" w:type="pct"/>
            <w:shd w:val="clear" w:color="auto" w:fill="auto"/>
            <w:vAlign w:val="center"/>
          </w:tcPr>
          <w:p w14:paraId="3340843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废气焚烧装置</w:t>
            </w:r>
          </w:p>
        </w:tc>
        <w:tc>
          <w:tcPr>
            <w:tcW w:w="2373" w:type="pct"/>
            <w:shd w:val="clear" w:color="auto" w:fill="auto"/>
            <w:vAlign w:val="center"/>
          </w:tcPr>
          <w:p w14:paraId="5508ADD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西安艾瑟尔WK/上海显荣/杭州格蓝科</w:t>
            </w:r>
          </w:p>
        </w:tc>
        <w:tc>
          <w:tcPr>
            <w:tcW w:w="1118" w:type="pct"/>
            <w:shd w:val="clear" w:color="auto" w:fill="auto"/>
            <w:noWrap/>
            <w:vAlign w:val="center"/>
          </w:tcPr>
          <w:p w14:paraId="1F7DD7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324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8DEAE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243" w:type="pct"/>
            <w:shd w:val="clear" w:color="auto" w:fill="auto"/>
            <w:vAlign w:val="center"/>
          </w:tcPr>
          <w:p w14:paraId="37BBEC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373" w:type="pct"/>
            <w:shd w:val="clear" w:color="auto" w:fill="auto"/>
            <w:vAlign w:val="center"/>
          </w:tcPr>
          <w:p w14:paraId="100883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1118" w:type="pct"/>
            <w:shd w:val="clear" w:color="auto" w:fill="auto"/>
            <w:noWrap/>
            <w:vAlign w:val="center"/>
          </w:tcPr>
          <w:p w14:paraId="5115387A">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B2A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64" w:type="pct"/>
            <w:shd w:val="clear" w:color="auto" w:fill="auto"/>
            <w:noWrap/>
            <w:vAlign w:val="center"/>
          </w:tcPr>
          <w:p w14:paraId="18B170D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243" w:type="pct"/>
            <w:shd w:val="clear" w:color="auto" w:fill="auto"/>
            <w:vAlign w:val="center"/>
          </w:tcPr>
          <w:p w14:paraId="6E9649B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373" w:type="pct"/>
            <w:shd w:val="clear" w:color="auto" w:fill="auto"/>
            <w:vAlign w:val="center"/>
          </w:tcPr>
          <w:p w14:paraId="55CA65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中文版/GX WORKS3</w:t>
            </w:r>
          </w:p>
        </w:tc>
        <w:tc>
          <w:tcPr>
            <w:tcW w:w="1118" w:type="pct"/>
            <w:shd w:val="clear" w:color="auto" w:fill="auto"/>
            <w:noWrap/>
            <w:vAlign w:val="center"/>
          </w:tcPr>
          <w:p w14:paraId="5892DF0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CF2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7020FE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243" w:type="pct"/>
            <w:shd w:val="clear" w:color="auto" w:fill="auto"/>
            <w:vAlign w:val="center"/>
          </w:tcPr>
          <w:p w14:paraId="145FF1E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373" w:type="pct"/>
            <w:shd w:val="clear" w:color="auto" w:fill="auto"/>
            <w:vAlign w:val="center"/>
          </w:tcPr>
          <w:p w14:paraId="6073E8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1118" w:type="pct"/>
            <w:shd w:val="clear" w:color="auto" w:fill="auto"/>
            <w:noWrap/>
            <w:vAlign w:val="center"/>
          </w:tcPr>
          <w:p w14:paraId="346F712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2879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422C39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243" w:type="pct"/>
            <w:shd w:val="clear" w:color="auto" w:fill="auto"/>
            <w:vAlign w:val="center"/>
          </w:tcPr>
          <w:p w14:paraId="61E7AF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RFID</w:t>
            </w:r>
          </w:p>
        </w:tc>
        <w:tc>
          <w:tcPr>
            <w:tcW w:w="2373" w:type="pct"/>
            <w:shd w:val="clear" w:color="auto" w:fill="auto"/>
            <w:vAlign w:val="center"/>
          </w:tcPr>
          <w:p w14:paraId="2447FE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西门子/P+F/SICK</w:t>
            </w:r>
          </w:p>
        </w:tc>
        <w:tc>
          <w:tcPr>
            <w:tcW w:w="1118" w:type="pct"/>
            <w:shd w:val="clear" w:color="auto" w:fill="auto"/>
            <w:noWrap/>
            <w:vAlign w:val="center"/>
          </w:tcPr>
          <w:p w14:paraId="11D576B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FD34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12363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243" w:type="pct"/>
            <w:shd w:val="clear" w:color="auto" w:fill="auto"/>
            <w:vAlign w:val="center"/>
          </w:tcPr>
          <w:p w14:paraId="685D4E6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373" w:type="pct"/>
            <w:shd w:val="clear" w:color="auto" w:fill="auto"/>
            <w:vAlign w:val="center"/>
          </w:tcPr>
          <w:p w14:paraId="023F3B0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1118" w:type="pct"/>
            <w:shd w:val="clear" w:color="auto" w:fill="auto"/>
            <w:noWrap/>
            <w:vAlign w:val="center"/>
          </w:tcPr>
          <w:p w14:paraId="470B1EC1">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0323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BE66B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243" w:type="pct"/>
            <w:shd w:val="clear" w:color="auto" w:fill="auto"/>
            <w:vAlign w:val="center"/>
          </w:tcPr>
          <w:p w14:paraId="3345820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373" w:type="pct"/>
            <w:shd w:val="clear" w:color="auto" w:fill="auto"/>
            <w:vAlign w:val="center"/>
          </w:tcPr>
          <w:p w14:paraId="71CC0E9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1118" w:type="pct"/>
            <w:shd w:val="clear" w:color="auto" w:fill="auto"/>
            <w:noWrap/>
            <w:vAlign w:val="center"/>
          </w:tcPr>
          <w:p w14:paraId="39EBD5C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698BF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4EAF7BE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243" w:type="pct"/>
            <w:shd w:val="clear" w:color="auto" w:fill="auto"/>
            <w:vAlign w:val="center"/>
          </w:tcPr>
          <w:p w14:paraId="46D0BC9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激光测距</w:t>
            </w:r>
          </w:p>
        </w:tc>
        <w:tc>
          <w:tcPr>
            <w:tcW w:w="2373" w:type="pct"/>
            <w:shd w:val="clear" w:color="auto" w:fill="auto"/>
            <w:vAlign w:val="center"/>
          </w:tcPr>
          <w:p w14:paraId="2BE6E6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P+F/SICK/IFM</w:t>
            </w:r>
          </w:p>
        </w:tc>
        <w:tc>
          <w:tcPr>
            <w:tcW w:w="1118" w:type="pct"/>
            <w:shd w:val="clear" w:color="auto" w:fill="auto"/>
            <w:noWrap/>
            <w:vAlign w:val="center"/>
          </w:tcPr>
          <w:p w14:paraId="43370A2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DECF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4DA6FB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243" w:type="pct"/>
            <w:shd w:val="clear" w:color="auto" w:fill="auto"/>
            <w:vAlign w:val="center"/>
          </w:tcPr>
          <w:p w14:paraId="31D77D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条码系统</w:t>
            </w:r>
          </w:p>
        </w:tc>
        <w:tc>
          <w:tcPr>
            <w:tcW w:w="2373" w:type="pct"/>
            <w:shd w:val="clear" w:color="auto" w:fill="auto"/>
            <w:vAlign w:val="center"/>
          </w:tcPr>
          <w:p w14:paraId="6E5E6B7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P+F/SICK/Leuze</w:t>
            </w:r>
          </w:p>
        </w:tc>
        <w:tc>
          <w:tcPr>
            <w:tcW w:w="1118" w:type="pct"/>
            <w:shd w:val="clear" w:color="auto" w:fill="auto"/>
            <w:noWrap/>
            <w:vAlign w:val="center"/>
          </w:tcPr>
          <w:p w14:paraId="4B5355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6D0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002587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243" w:type="pct"/>
            <w:shd w:val="clear" w:color="auto" w:fill="auto"/>
            <w:vAlign w:val="center"/>
          </w:tcPr>
          <w:p w14:paraId="62BE79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373" w:type="pct"/>
            <w:shd w:val="clear" w:color="auto" w:fill="auto"/>
            <w:vAlign w:val="center"/>
          </w:tcPr>
          <w:p w14:paraId="501AA1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1118" w:type="pct"/>
            <w:shd w:val="clear" w:color="auto" w:fill="auto"/>
            <w:noWrap/>
            <w:vAlign w:val="center"/>
          </w:tcPr>
          <w:p w14:paraId="3AE8214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34E8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264" w:type="pct"/>
            <w:shd w:val="clear" w:color="auto" w:fill="auto"/>
            <w:noWrap/>
            <w:vAlign w:val="center"/>
          </w:tcPr>
          <w:p w14:paraId="62BB61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243" w:type="pct"/>
            <w:shd w:val="clear" w:color="auto" w:fill="auto"/>
            <w:vAlign w:val="center"/>
          </w:tcPr>
          <w:p w14:paraId="2FDD1A5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高温接近开关</w:t>
            </w:r>
          </w:p>
        </w:tc>
        <w:tc>
          <w:tcPr>
            <w:tcW w:w="2373" w:type="pct"/>
            <w:shd w:val="clear" w:color="auto" w:fill="auto"/>
            <w:vAlign w:val="center"/>
          </w:tcPr>
          <w:p w14:paraId="511A0D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科瑞/P+F/IFM</w:t>
            </w:r>
          </w:p>
        </w:tc>
        <w:tc>
          <w:tcPr>
            <w:tcW w:w="1118" w:type="pct"/>
            <w:shd w:val="clear" w:color="auto" w:fill="auto"/>
            <w:noWrap/>
            <w:vAlign w:val="center"/>
          </w:tcPr>
          <w:p w14:paraId="0CAFD9E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6B86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2BA18D0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243" w:type="pct"/>
            <w:shd w:val="clear" w:color="auto" w:fill="auto"/>
            <w:vAlign w:val="center"/>
          </w:tcPr>
          <w:p w14:paraId="08C6B33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373" w:type="pct"/>
            <w:shd w:val="clear" w:color="auto" w:fill="auto"/>
            <w:vAlign w:val="center"/>
          </w:tcPr>
          <w:p w14:paraId="72CA63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1118" w:type="pct"/>
            <w:shd w:val="clear" w:color="auto" w:fill="auto"/>
            <w:noWrap/>
            <w:vAlign w:val="center"/>
          </w:tcPr>
          <w:p w14:paraId="0D13A4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EF7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619A7A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243" w:type="pct"/>
            <w:shd w:val="clear" w:color="auto" w:fill="auto"/>
            <w:vAlign w:val="center"/>
          </w:tcPr>
          <w:p w14:paraId="260361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373" w:type="pct"/>
            <w:shd w:val="clear" w:color="auto" w:fill="auto"/>
            <w:vAlign w:val="center"/>
          </w:tcPr>
          <w:p w14:paraId="0676102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1118" w:type="pct"/>
            <w:shd w:val="clear" w:color="auto" w:fill="auto"/>
            <w:noWrap/>
            <w:vAlign w:val="center"/>
          </w:tcPr>
          <w:p w14:paraId="6940B1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E796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12939E0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243" w:type="pct"/>
            <w:shd w:val="clear" w:color="auto" w:fill="auto"/>
            <w:vAlign w:val="center"/>
          </w:tcPr>
          <w:p w14:paraId="4554D1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373" w:type="pct"/>
            <w:shd w:val="clear" w:color="auto" w:fill="auto"/>
            <w:vAlign w:val="center"/>
          </w:tcPr>
          <w:p w14:paraId="1858B95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1118" w:type="pct"/>
            <w:shd w:val="clear" w:color="auto" w:fill="auto"/>
            <w:noWrap/>
            <w:vAlign w:val="center"/>
          </w:tcPr>
          <w:p w14:paraId="77CB8E4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50A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1619AF4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47</w:t>
            </w:r>
          </w:p>
        </w:tc>
        <w:tc>
          <w:tcPr>
            <w:tcW w:w="1243" w:type="pct"/>
            <w:shd w:val="clear" w:color="auto" w:fill="auto"/>
            <w:vAlign w:val="center"/>
          </w:tcPr>
          <w:p w14:paraId="793042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373" w:type="pct"/>
            <w:shd w:val="clear" w:color="auto" w:fill="auto"/>
            <w:vAlign w:val="center"/>
          </w:tcPr>
          <w:p w14:paraId="0D4024D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1118" w:type="pct"/>
            <w:shd w:val="clear" w:color="auto" w:fill="auto"/>
            <w:noWrap/>
            <w:vAlign w:val="center"/>
          </w:tcPr>
          <w:p w14:paraId="7C1972D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09E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717B8C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48</w:t>
            </w:r>
          </w:p>
        </w:tc>
        <w:tc>
          <w:tcPr>
            <w:tcW w:w="1243" w:type="pct"/>
            <w:shd w:val="clear" w:color="auto" w:fill="auto"/>
            <w:vAlign w:val="center"/>
          </w:tcPr>
          <w:p w14:paraId="2C33681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耐高温电缆</w:t>
            </w:r>
          </w:p>
        </w:tc>
        <w:tc>
          <w:tcPr>
            <w:tcW w:w="2373" w:type="pct"/>
            <w:shd w:val="clear" w:color="auto" w:fill="auto"/>
            <w:vAlign w:val="center"/>
          </w:tcPr>
          <w:p w14:paraId="1B6D12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LAPP/HELUKABEL/IGUS</w:t>
            </w:r>
          </w:p>
        </w:tc>
        <w:tc>
          <w:tcPr>
            <w:tcW w:w="1118" w:type="pct"/>
            <w:shd w:val="clear" w:color="auto" w:fill="auto"/>
            <w:noWrap/>
            <w:vAlign w:val="center"/>
          </w:tcPr>
          <w:p w14:paraId="0B237FD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78C1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DB640A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49</w:t>
            </w:r>
          </w:p>
        </w:tc>
        <w:tc>
          <w:tcPr>
            <w:tcW w:w="1243" w:type="pct"/>
            <w:shd w:val="clear" w:color="auto" w:fill="auto"/>
            <w:vAlign w:val="center"/>
          </w:tcPr>
          <w:p w14:paraId="7087A1B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373" w:type="pct"/>
            <w:shd w:val="clear" w:color="auto" w:fill="auto"/>
            <w:vAlign w:val="center"/>
          </w:tcPr>
          <w:p w14:paraId="1142A3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118" w:type="pct"/>
            <w:shd w:val="clear" w:color="auto" w:fill="auto"/>
            <w:noWrap/>
            <w:vAlign w:val="center"/>
          </w:tcPr>
          <w:p w14:paraId="4CFFA39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AAF6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3AC48BE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50</w:t>
            </w:r>
          </w:p>
        </w:tc>
        <w:tc>
          <w:tcPr>
            <w:tcW w:w="1243" w:type="pct"/>
            <w:shd w:val="clear" w:color="auto" w:fill="auto"/>
            <w:vAlign w:val="center"/>
          </w:tcPr>
          <w:p w14:paraId="7AA6AB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373" w:type="pct"/>
            <w:shd w:val="clear" w:color="auto" w:fill="auto"/>
            <w:vAlign w:val="center"/>
          </w:tcPr>
          <w:p w14:paraId="387DBA3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1118" w:type="pct"/>
            <w:shd w:val="clear" w:color="auto" w:fill="auto"/>
            <w:noWrap/>
            <w:vAlign w:val="center"/>
          </w:tcPr>
          <w:p w14:paraId="29FCA82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EE37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488FAE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51</w:t>
            </w:r>
          </w:p>
        </w:tc>
        <w:tc>
          <w:tcPr>
            <w:tcW w:w="1243" w:type="pct"/>
            <w:shd w:val="clear" w:color="auto" w:fill="auto"/>
            <w:vAlign w:val="center"/>
          </w:tcPr>
          <w:p w14:paraId="38B55B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高温链条</w:t>
            </w:r>
          </w:p>
        </w:tc>
        <w:tc>
          <w:tcPr>
            <w:tcW w:w="2373" w:type="pct"/>
            <w:shd w:val="clear" w:color="auto" w:fill="auto"/>
            <w:vAlign w:val="center"/>
          </w:tcPr>
          <w:p w14:paraId="2892794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wolf/日本椿本/KANA</w:t>
            </w:r>
          </w:p>
        </w:tc>
        <w:tc>
          <w:tcPr>
            <w:tcW w:w="1118" w:type="pct"/>
            <w:shd w:val="clear" w:color="auto" w:fill="auto"/>
            <w:noWrap/>
            <w:vAlign w:val="center"/>
          </w:tcPr>
          <w:p w14:paraId="1CD64C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0BDB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264" w:type="pct"/>
            <w:shd w:val="clear" w:color="auto" w:fill="auto"/>
            <w:noWrap/>
            <w:vAlign w:val="center"/>
          </w:tcPr>
          <w:p w14:paraId="0F05CEA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52</w:t>
            </w:r>
          </w:p>
        </w:tc>
        <w:tc>
          <w:tcPr>
            <w:tcW w:w="1243" w:type="pct"/>
            <w:shd w:val="clear" w:color="auto" w:fill="FFFFFF"/>
            <w:vAlign w:val="center"/>
          </w:tcPr>
          <w:p w14:paraId="3C61C5B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烘干单元与焚烧系统集成</w:t>
            </w:r>
          </w:p>
        </w:tc>
        <w:tc>
          <w:tcPr>
            <w:tcW w:w="2373" w:type="pct"/>
            <w:shd w:val="clear" w:color="auto" w:fill="FFFFFF"/>
            <w:vAlign w:val="center"/>
          </w:tcPr>
          <w:p w14:paraId="1B612C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default" w:ascii="宋体" w:hAnsi="宋体" w:eastAsia="宋体" w:cs="宋体"/>
                <w:b w:val="0"/>
                <w:bCs w:val="0"/>
                <w:i w:val="0"/>
                <w:iCs w:val="0"/>
                <w:color w:val="000000"/>
                <w:sz w:val="24"/>
                <w:szCs w:val="24"/>
                <w:u w:val="none"/>
                <w:lang w:val="en-US"/>
              </w:rPr>
            </w:pPr>
            <w:r>
              <w:rPr>
                <w:rFonts w:hint="eastAsia" w:ascii="宋体" w:hAnsi="宋体" w:eastAsia="宋体" w:cs="宋体"/>
                <w:b w:val="0"/>
                <w:bCs w:val="0"/>
                <w:i w:val="0"/>
                <w:iCs w:val="0"/>
                <w:color w:val="000000"/>
                <w:kern w:val="0"/>
                <w:sz w:val="24"/>
                <w:szCs w:val="24"/>
                <w:u w:val="none"/>
                <w:lang w:val="en-US" w:eastAsia="zh-CN" w:bidi="ar"/>
              </w:rPr>
              <w:t>西安艾瑟尔WK/上海显荣/杭州格蓝科/北京埃夫信</w:t>
            </w:r>
            <w:r>
              <w:rPr>
                <w:rFonts w:hint="eastAsia" w:ascii="宋体" w:hAnsi="宋体" w:cs="宋体"/>
                <w:b w:val="0"/>
                <w:bCs w:val="0"/>
                <w:i w:val="0"/>
                <w:iCs w:val="0"/>
                <w:color w:val="000000"/>
                <w:kern w:val="0"/>
                <w:sz w:val="24"/>
                <w:szCs w:val="24"/>
                <w:u w:val="none"/>
                <w:lang w:val="en-US" w:eastAsia="zh-CN" w:bidi="ar"/>
              </w:rPr>
              <w:t>/</w:t>
            </w:r>
            <w:r>
              <w:rPr>
                <w:rFonts w:hint="eastAsia" w:ascii="宋体" w:hAnsi="宋体" w:eastAsia="宋体" w:cs="宋体"/>
                <w:b w:val="0"/>
                <w:bCs w:val="0"/>
                <w:i w:val="0"/>
                <w:iCs w:val="0"/>
                <w:color w:val="000000"/>
                <w:kern w:val="0"/>
                <w:sz w:val="24"/>
                <w:szCs w:val="24"/>
                <w:u w:val="none"/>
                <w:lang w:val="en-US" w:eastAsia="zh-CN" w:bidi="ar"/>
              </w:rPr>
              <w:t>供应商自行集成</w:t>
            </w:r>
          </w:p>
        </w:tc>
        <w:tc>
          <w:tcPr>
            <w:tcW w:w="1118" w:type="pct"/>
            <w:shd w:val="clear" w:color="auto" w:fill="FFFFFF"/>
            <w:vAlign w:val="center"/>
          </w:tcPr>
          <w:p w14:paraId="5FEEED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w:t>
            </w:r>
          </w:p>
        </w:tc>
      </w:tr>
      <w:tr w14:paraId="55610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5000" w:type="pct"/>
            <w:gridSpan w:val="4"/>
            <w:shd w:val="clear" w:color="auto" w:fill="auto"/>
            <w:vAlign w:val="center"/>
          </w:tcPr>
          <w:p w14:paraId="0462235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001DB6A9">
      <w:pPr>
        <w:pageBreakBefore w:val="0"/>
        <w:kinsoku/>
        <w:topLinePunct w:val="0"/>
        <w:bidi w:val="0"/>
        <w:adjustRightInd w:val="0"/>
        <w:snapToGrid w:val="0"/>
        <w:spacing w:afterAutospacing="0" w:line="360" w:lineRule="auto"/>
        <w:rPr>
          <w:rFonts w:hint="default"/>
          <w:lang w:val="en-US" w:eastAsia="zh-CN"/>
        </w:rPr>
      </w:pPr>
    </w:p>
    <w:tbl>
      <w:tblPr>
        <w:tblStyle w:val="4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55"/>
        <w:gridCol w:w="2498"/>
        <w:gridCol w:w="4535"/>
        <w:gridCol w:w="1866"/>
      </w:tblGrid>
      <w:tr w14:paraId="0ECA5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DFF6CF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bookmarkStart w:id="404" w:name="OLE_LINK37"/>
            <w:r>
              <w:rPr>
                <w:rFonts w:hint="eastAsia" w:ascii="宋体" w:hAnsi="宋体" w:eastAsia="宋体" w:cs="宋体"/>
                <w:b w:val="0"/>
                <w:bCs w:val="0"/>
                <w:i w:val="0"/>
                <w:iCs w:val="0"/>
                <w:color w:val="000000"/>
                <w:kern w:val="0"/>
                <w:sz w:val="24"/>
                <w:szCs w:val="24"/>
                <w:u w:val="none"/>
                <w:lang w:val="en-US" w:eastAsia="zh-CN" w:bidi="ar"/>
              </w:rPr>
              <w:t>涂装超滤纯水阳极设备外购件品牌清单</w:t>
            </w:r>
            <w:bookmarkEnd w:id="404"/>
          </w:p>
        </w:tc>
      </w:tr>
      <w:tr w14:paraId="51918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6A5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序号</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FB94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设备名称</w:t>
            </w:r>
          </w:p>
        </w:tc>
        <w:tc>
          <w:tcPr>
            <w:tcW w:w="234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0BA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设备品牌</w:t>
            </w:r>
          </w:p>
        </w:tc>
        <w:tc>
          <w:tcPr>
            <w:tcW w:w="9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899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w:t>
            </w:r>
          </w:p>
        </w:tc>
      </w:tr>
      <w:tr w14:paraId="49958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36D6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90D47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原水泵/高压泵</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058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KSB/格兰富/GUSHER</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CAB48">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897B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02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D762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换热器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C7E3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锡惠/维克斯/北辰</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38455D">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69F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A765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8D8C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过滤器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98F9F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强工/飞潮/FSIBINKS</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7F7F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4568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17E3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AD9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压力表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0C33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北京布莱迪/上海赛途/ FTI</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3C64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720B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76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5</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8E5EC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手动阀门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9ED14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上阀二厂/上阀五厂/立信</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9391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D857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4504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6</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F0C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自动阀门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54FA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SED/EBRO/立信/西门子</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6A1FF1">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CD4C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BA15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7</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56E6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气动泵</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7C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固瑞克/普罗名特/帕斯菲达</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94602">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铝合金材质</w:t>
            </w:r>
          </w:p>
        </w:tc>
      </w:tr>
      <w:tr w14:paraId="51683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50B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8</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863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气动三联件</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06A9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SMC/Festo/CKD</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AEC7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CAFE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A33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9</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A1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水泵轴承</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A975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SKF/NSK/FAG</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F68CE">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C4AE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D050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10</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F9009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控制柜</w:t>
            </w:r>
          </w:p>
        </w:tc>
        <w:tc>
          <w:tcPr>
            <w:tcW w:w="2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4F684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雷博/英维克/东安</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E884B2">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D790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348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11</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CA02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电柜空调</w:t>
            </w:r>
          </w:p>
        </w:tc>
        <w:tc>
          <w:tcPr>
            <w:tcW w:w="2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C726B6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雷博/雷子克/威图</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F6C3F">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7017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F0F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12</w:t>
            </w:r>
          </w:p>
        </w:tc>
        <w:tc>
          <w:tcPr>
            <w:tcW w:w="12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83A8A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PLC</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FB2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西门子（TIA）/AB/三菱</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E4A6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14DC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C53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13</w:t>
            </w:r>
          </w:p>
        </w:tc>
        <w:tc>
          <w:tcPr>
            <w:tcW w:w="12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2163B3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现场总线协议</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C915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Profinet/EtherNet/IP/ CCLIK-IE</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B424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444D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AD23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14</w:t>
            </w:r>
          </w:p>
        </w:tc>
        <w:tc>
          <w:tcPr>
            <w:tcW w:w="12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892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远程I/O</w:t>
            </w:r>
          </w:p>
        </w:tc>
        <w:tc>
          <w:tcPr>
            <w:tcW w:w="2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3FC4A5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1DAC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59A1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22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15</w:t>
            </w:r>
          </w:p>
        </w:tc>
        <w:tc>
          <w:tcPr>
            <w:tcW w:w="12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DE9DA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触摸屏</w:t>
            </w:r>
          </w:p>
        </w:tc>
        <w:tc>
          <w:tcPr>
            <w:tcW w:w="2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A683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4B5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EEB8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713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16</w:t>
            </w:r>
          </w:p>
        </w:tc>
        <w:tc>
          <w:tcPr>
            <w:tcW w:w="1294"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728E8B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变频器</w:t>
            </w:r>
          </w:p>
        </w:tc>
        <w:tc>
          <w:tcPr>
            <w:tcW w:w="2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81076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西门子/施耐德/三菱</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D57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1CC5C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BF4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17</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F1F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软启动器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C0F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西门子/施耐德/丹佛斯 内置旁路接触器</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50A2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0AA0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A0E8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18</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7685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隔离变压器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2DAD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MULL/朝阳/无锡富杰</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6A33A0">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ED08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5F7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19</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86F4C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直流稳压电源</w:t>
            </w:r>
          </w:p>
        </w:tc>
        <w:tc>
          <w:tcPr>
            <w:tcW w:w="2349"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8868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魏德米勒/西门子/菲尼克斯</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564D1F">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1911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124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20</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5E39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低压电器原件</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618CC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C254E">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01AE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9D1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21</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A81E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以太网设备</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549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西门子/AB/三菱</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B7E1E">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70D5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B1EF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22</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6FC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接线端子端子</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2D15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0C800">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C41C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40B8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23</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342C3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温度传感器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3B05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西门子/魏德米勒/AB</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33C474">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C052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D8D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24</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A99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Y 型过滤器（冷水）</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F2A2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上阀二厂/上阀五厂/立信</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131C">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C0D0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24BB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25</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6EB3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软连接</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3D6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上阀二厂/上阀五厂/立信</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9D5ECB">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0EB43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7B4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26</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3FF7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电控元器件</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144A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施耐德/西门子/AB</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768036">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3ECAF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D15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27</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1DC9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加药系统</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B0E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米顿罗/普罗名特/帕斯菲达</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768B3">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1151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5C1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28</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C4C9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精密过滤器滤芯</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9B32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OSM/海沃斯/多明尼克</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BE72E">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F81B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F9B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29</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FD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电导率仪、在线流量计</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860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美国G+F/E+H/FTI</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048A6F">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21672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02D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30</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C3B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弧式阳极</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0E5F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EKK/ALCORE/美国ARELCO/美国MI</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08256">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59935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561E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31</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C7B1F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浊度仪</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E06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美国G+F/E+H/FTI</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7643E">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94A4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7FA4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32</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440B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电极式液位计</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1C35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欧姆龙/E+H/P+F</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9337F2">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6D565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BA34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33</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B98A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转子流量计</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31F3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盖米/GF/KING</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BB52F7">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5411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379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34</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C8FD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紫外杀菌</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1FC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德国WEDECO/美国EKK/WALDMANN</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81C46">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07B2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78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35</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835E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灯箱光源（LED）</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C8C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飞利浦/欧司朗/松下</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09F8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26AD6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457D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36</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A9A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编程软件</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8D3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TIA V16 专业版/studio5000 V32 中文版</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E7F8E">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03C5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E4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37</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2B66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工控机</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22B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西门子/研华/研祥</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3EAC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A6FF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F5E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38</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BC1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智能电表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54D2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西门子/施耐德/欧姆龙</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EA0F7">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17D86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7219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39</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E32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数显电表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A660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斯菲尔/安科瑞/DELIXI</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52E6A8">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429CE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859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40</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A29F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编码器</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A5F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P+F/SICK/TURCK</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78BD2">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C096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BE37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41</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419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行程开关</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3259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欧姆龙/施耐德/西门子</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10810">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2146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9F4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42</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B70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光栅、安全门锁</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92777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PILZ/sick/安士能</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41E249">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400ED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D7CF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43</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4F77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区域扫描仪</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BA5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PILZ/sick/欧姆龙</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5D4F07">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70CF2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7C9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44</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87DC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预铸电缆/电子接线盒</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A39B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魏德米勒/菲尼克斯/WAGO</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CC846C">
            <w:pPr>
              <w:keepNext w:val="0"/>
              <w:keepLines w:val="0"/>
              <w:pageBreakBefore w:val="0"/>
              <w:widowControl/>
              <w:suppressLineNumbers w:val="0"/>
              <w:kinsoku/>
              <w:topLinePunct w:val="0"/>
              <w:bidi w:val="0"/>
              <w:adjustRightInd w:val="0"/>
              <w:snapToGrid w:val="0"/>
              <w:spacing w:afterAutospacing="0" w:line="240" w:lineRule="auto"/>
              <w:jc w:val="center"/>
              <w:textAlignment w:val="top"/>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核心品牌部件</w:t>
            </w:r>
          </w:p>
        </w:tc>
      </w:tr>
      <w:tr w14:paraId="041B2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FB0F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45</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0B822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信号电缆</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0A8F9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04D86">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3ADE6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665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46</w:t>
            </w:r>
          </w:p>
        </w:tc>
        <w:tc>
          <w:tcPr>
            <w:tcW w:w="12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810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动力电缆</w:t>
            </w:r>
          </w:p>
        </w:tc>
        <w:tc>
          <w:tcPr>
            <w:tcW w:w="23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E917B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宝胜/上上/起帆/远东</w:t>
            </w:r>
          </w:p>
        </w:tc>
        <w:tc>
          <w:tcPr>
            <w:tcW w:w="96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61EFE9">
            <w:pPr>
              <w:pageBreakBefore w:val="0"/>
              <w:kinsoku/>
              <w:topLinePunct w:val="0"/>
              <w:bidi w:val="0"/>
              <w:adjustRightInd w:val="0"/>
              <w:snapToGrid w:val="0"/>
              <w:spacing w:afterAutospacing="0" w:line="240" w:lineRule="auto"/>
              <w:jc w:val="center"/>
              <w:rPr>
                <w:rFonts w:hint="eastAsia" w:ascii="宋体" w:hAnsi="宋体" w:eastAsia="宋体" w:cs="宋体"/>
                <w:b w:val="0"/>
                <w:bCs w:val="0"/>
                <w:i w:val="0"/>
                <w:iCs w:val="0"/>
                <w:color w:val="000000"/>
                <w:sz w:val="24"/>
                <w:szCs w:val="24"/>
                <w:u w:val="none"/>
              </w:rPr>
            </w:pPr>
          </w:p>
        </w:tc>
      </w:tr>
      <w:tr w14:paraId="526B4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9"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19768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备注；外购件品牌没有列出的清单品牌之外的，必须经过甲方和乙方共同确认方可使用；同时所有没有列出品牌的名称的，需要经过甲方同意方可；</w:t>
            </w:r>
          </w:p>
        </w:tc>
      </w:tr>
    </w:tbl>
    <w:p w14:paraId="69A8A9EE">
      <w:pPr>
        <w:pageBreakBefore w:val="0"/>
        <w:kinsoku/>
        <w:topLinePunct w:val="0"/>
        <w:bidi w:val="0"/>
        <w:adjustRightInd w:val="0"/>
        <w:snapToGrid w:val="0"/>
        <w:spacing w:afterAutospacing="0" w:line="360" w:lineRule="auto"/>
        <w:rPr>
          <w:rFonts w:hint="default"/>
          <w:lang w:val="en-US" w:eastAsia="zh-CN"/>
        </w:rPr>
      </w:pPr>
    </w:p>
    <w:tbl>
      <w:tblPr>
        <w:tblStyle w:val="45"/>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34"/>
        <w:gridCol w:w="3611"/>
        <w:gridCol w:w="3315"/>
      </w:tblGrid>
      <w:tr w14:paraId="74EF49F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tcBorders>
              <w:left w:val="single" w:color="auto" w:sz="4" w:space="0"/>
            </w:tcBorders>
            <w:vAlign w:val="center"/>
          </w:tcPr>
          <w:p w14:paraId="64B97C2D">
            <w:pPr>
              <w:keepNext w:val="0"/>
              <w:keepLines w:val="0"/>
              <w:pageBreakBefore w:val="0"/>
              <w:widowControl/>
              <w:kinsoku/>
              <w:overflowPunct/>
              <w:topLinePunct w:val="0"/>
              <w:bidi w:val="0"/>
              <w:adjustRightInd w:val="0"/>
              <w:snapToGrid w:val="0"/>
              <w:spacing w:afterAutospacing="0" w:line="240" w:lineRule="auto"/>
              <w:jc w:val="center"/>
              <w:rPr>
                <w:rFonts w:hint="default" w:asciiTheme="minorEastAsia" w:hAnsiTheme="minorEastAsia" w:eastAsiaTheme="minorEastAsia" w:cstheme="minorEastAsia"/>
                <w:b w:val="0"/>
                <w:bCs w:val="0"/>
                <w:kern w:val="0"/>
                <w:sz w:val="24"/>
                <w:szCs w:val="24"/>
                <w:highlight w:val="none"/>
                <w:lang w:val="en-US" w:eastAsia="zh-CN"/>
              </w:rPr>
            </w:pPr>
            <w:r>
              <w:rPr>
                <w:rFonts w:hint="eastAsia" w:ascii="宋体" w:hAnsi="宋体" w:eastAsia="宋体" w:cs="宋体"/>
                <w:b w:val="0"/>
                <w:bCs w:val="0"/>
                <w:i w:val="0"/>
                <w:iCs w:val="0"/>
                <w:color w:val="000000"/>
                <w:kern w:val="0"/>
                <w:sz w:val="24"/>
                <w:szCs w:val="24"/>
                <w:u w:val="none"/>
                <w:lang w:val="en-US" w:eastAsia="zh-CN" w:bidi="ar"/>
              </w:rPr>
              <w:t>总装机械化产线设备外购件</w:t>
            </w:r>
          </w:p>
        </w:tc>
      </w:tr>
      <w:tr w14:paraId="441A371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55BE602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序号</w:t>
            </w:r>
          </w:p>
        </w:tc>
        <w:tc>
          <w:tcPr>
            <w:tcW w:w="1105" w:type="pct"/>
            <w:vAlign w:val="center"/>
          </w:tcPr>
          <w:p w14:paraId="1BDCA35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名称</w:t>
            </w:r>
          </w:p>
        </w:tc>
        <w:tc>
          <w:tcPr>
            <w:tcW w:w="1870" w:type="pct"/>
            <w:vAlign w:val="center"/>
          </w:tcPr>
          <w:p w14:paraId="6C21D2D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bookmarkStart w:id="405" w:name="OLE_LINK19"/>
            <w:r>
              <w:rPr>
                <w:rFonts w:hint="eastAsia" w:asciiTheme="minorEastAsia" w:hAnsiTheme="minorEastAsia" w:eastAsiaTheme="minorEastAsia" w:cstheme="minorEastAsia"/>
                <w:b w:val="0"/>
                <w:bCs w:val="0"/>
                <w:kern w:val="0"/>
                <w:sz w:val="24"/>
                <w:szCs w:val="24"/>
                <w:highlight w:val="none"/>
                <w:lang w:val="en-US" w:eastAsia="zh-CN"/>
              </w:rPr>
              <w:t>相当于或优于以下</w:t>
            </w:r>
            <w:r>
              <w:rPr>
                <w:rFonts w:hint="eastAsia" w:asciiTheme="minorEastAsia" w:hAnsiTheme="minorEastAsia" w:eastAsiaTheme="minorEastAsia" w:cstheme="minorEastAsia"/>
                <w:b w:val="0"/>
                <w:bCs w:val="0"/>
                <w:kern w:val="0"/>
                <w:sz w:val="24"/>
                <w:szCs w:val="24"/>
                <w:highlight w:val="none"/>
              </w:rPr>
              <w:t>品牌</w:t>
            </w:r>
            <w:bookmarkEnd w:id="405"/>
          </w:p>
        </w:tc>
        <w:tc>
          <w:tcPr>
            <w:tcW w:w="1716" w:type="pct"/>
            <w:vAlign w:val="center"/>
          </w:tcPr>
          <w:p w14:paraId="32394EB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val="en-US" w:eastAsia="zh-CN"/>
              </w:rPr>
              <w:t>相当于或优于以下</w:t>
            </w:r>
            <w:r>
              <w:rPr>
                <w:rFonts w:hint="eastAsia" w:asciiTheme="minorEastAsia" w:hAnsiTheme="minorEastAsia" w:eastAsiaTheme="minorEastAsia" w:cstheme="minorEastAsia"/>
                <w:b w:val="0"/>
                <w:bCs w:val="0"/>
                <w:kern w:val="0"/>
                <w:sz w:val="24"/>
                <w:szCs w:val="24"/>
                <w:highlight w:val="none"/>
              </w:rPr>
              <w:t>品牌中文名称</w:t>
            </w:r>
          </w:p>
        </w:tc>
      </w:tr>
      <w:tr w14:paraId="103FAB6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DEE2FE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一</w:t>
            </w:r>
          </w:p>
        </w:tc>
        <w:tc>
          <w:tcPr>
            <w:tcW w:w="1105" w:type="pct"/>
            <w:vAlign w:val="center"/>
          </w:tcPr>
          <w:p w14:paraId="0A9DD89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机械设备</w:t>
            </w:r>
          </w:p>
        </w:tc>
        <w:tc>
          <w:tcPr>
            <w:tcW w:w="1870" w:type="pct"/>
            <w:vAlign w:val="center"/>
          </w:tcPr>
          <w:p w14:paraId="536E339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p>
        </w:tc>
        <w:tc>
          <w:tcPr>
            <w:tcW w:w="1716" w:type="pct"/>
            <w:vAlign w:val="center"/>
          </w:tcPr>
          <w:p w14:paraId="68EF29A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p>
        </w:tc>
      </w:tr>
      <w:tr w14:paraId="6CDCACC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A87496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w:t>
            </w:r>
          </w:p>
        </w:tc>
        <w:tc>
          <w:tcPr>
            <w:tcW w:w="1105" w:type="pct"/>
            <w:vAlign w:val="center"/>
          </w:tcPr>
          <w:p w14:paraId="4D80DD3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电机减速器</w:t>
            </w:r>
          </w:p>
        </w:tc>
        <w:tc>
          <w:tcPr>
            <w:tcW w:w="1870" w:type="pct"/>
            <w:vAlign w:val="center"/>
          </w:tcPr>
          <w:p w14:paraId="110F3EB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SEW/AB/西门子</w:t>
            </w:r>
          </w:p>
        </w:tc>
        <w:tc>
          <w:tcPr>
            <w:tcW w:w="1716" w:type="pct"/>
            <w:vAlign w:val="center"/>
          </w:tcPr>
          <w:p w14:paraId="023BF16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SEW/AB/西门子</w:t>
            </w:r>
          </w:p>
        </w:tc>
      </w:tr>
      <w:tr w14:paraId="6044717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ABA717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w:t>
            </w:r>
          </w:p>
        </w:tc>
        <w:tc>
          <w:tcPr>
            <w:tcW w:w="1105" w:type="pct"/>
            <w:vAlign w:val="center"/>
          </w:tcPr>
          <w:p w14:paraId="6B729D1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输送用升降台</w:t>
            </w:r>
          </w:p>
        </w:tc>
        <w:tc>
          <w:tcPr>
            <w:tcW w:w="1870" w:type="pct"/>
            <w:vAlign w:val="center"/>
          </w:tcPr>
          <w:p w14:paraId="194E863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Flexlift Pro-Hub/海格特/</w:t>
            </w:r>
            <w:r>
              <w:rPr>
                <w:rFonts w:hint="eastAsia" w:asciiTheme="minorEastAsia" w:hAnsiTheme="minorEastAsia" w:eastAsiaTheme="minorEastAsia" w:cstheme="minorEastAsia"/>
                <w:b w:val="0"/>
                <w:bCs w:val="0"/>
                <w:sz w:val="24"/>
                <w:szCs w:val="24"/>
                <w:highlight w:val="none"/>
              </w:rPr>
              <w:t>凯贺威</w:t>
            </w:r>
          </w:p>
        </w:tc>
        <w:tc>
          <w:tcPr>
            <w:tcW w:w="1716" w:type="pct"/>
            <w:vAlign w:val="center"/>
          </w:tcPr>
          <w:p w14:paraId="0BF338D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浮里特·普罗虎贲/海格特/</w:t>
            </w:r>
            <w:r>
              <w:rPr>
                <w:rFonts w:hint="eastAsia" w:asciiTheme="minorEastAsia" w:hAnsiTheme="minorEastAsia" w:eastAsiaTheme="minorEastAsia" w:cstheme="minorEastAsia"/>
                <w:b w:val="0"/>
                <w:bCs w:val="0"/>
                <w:sz w:val="24"/>
                <w:szCs w:val="24"/>
                <w:highlight w:val="none"/>
              </w:rPr>
              <w:t>凯贺威</w:t>
            </w:r>
          </w:p>
        </w:tc>
      </w:tr>
      <w:tr w14:paraId="33D5448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5DBEC82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eastAsia="zh-CN"/>
              </w:rPr>
              <w:t>3</w:t>
            </w:r>
          </w:p>
        </w:tc>
        <w:tc>
          <w:tcPr>
            <w:tcW w:w="1105" w:type="pct"/>
            <w:vAlign w:val="center"/>
          </w:tcPr>
          <w:p w14:paraId="1A77C8D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升降皮带</w:t>
            </w:r>
          </w:p>
        </w:tc>
        <w:tc>
          <w:tcPr>
            <w:tcW w:w="1870" w:type="pct"/>
            <w:vAlign w:val="center"/>
          </w:tcPr>
          <w:p w14:paraId="3529174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Contitech/</w:t>
            </w:r>
            <w:r>
              <w:rPr>
                <w:rFonts w:hint="eastAsia" w:asciiTheme="minorEastAsia" w:hAnsiTheme="minorEastAsia" w:eastAsiaTheme="minorEastAsia" w:cstheme="minorEastAsia"/>
                <w:b w:val="0"/>
                <w:bCs w:val="0"/>
                <w:color w:val="000000"/>
                <w:kern w:val="0"/>
                <w:sz w:val="24"/>
                <w:szCs w:val="24"/>
                <w:highlight w:val="none"/>
                <w:lang w:bidi="ar"/>
              </w:rPr>
              <w:t>Gummi/STRICKER</w:t>
            </w:r>
          </w:p>
        </w:tc>
        <w:tc>
          <w:tcPr>
            <w:tcW w:w="1716" w:type="pct"/>
            <w:vAlign w:val="center"/>
          </w:tcPr>
          <w:p w14:paraId="4F04A01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康迪泰克/</w:t>
            </w:r>
            <w:r>
              <w:rPr>
                <w:rFonts w:hint="eastAsia" w:asciiTheme="minorEastAsia" w:hAnsiTheme="minorEastAsia" w:eastAsiaTheme="minorEastAsia" w:cstheme="minorEastAsia"/>
                <w:b w:val="0"/>
                <w:bCs w:val="0"/>
                <w:color w:val="000000"/>
                <w:kern w:val="0"/>
                <w:sz w:val="24"/>
                <w:szCs w:val="24"/>
                <w:highlight w:val="none"/>
                <w:lang w:bidi="ar"/>
              </w:rPr>
              <w:t>Gummi/STRICKER</w:t>
            </w:r>
          </w:p>
        </w:tc>
      </w:tr>
      <w:tr w14:paraId="2598AEE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5D71648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val="en-US" w:eastAsia="zh-CN"/>
              </w:rPr>
              <w:t>4</w:t>
            </w:r>
          </w:p>
        </w:tc>
        <w:tc>
          <w:tcPr>
            <w:tcW w:w="1105" w:type="pct"/>
            <w:noWrap/>
            <w:vAlign w:val="center"/>
          </w:tcPr>
          <w:p w14:paraId="2B8FBD9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轴承</w:t>
            </w:r>
          </w:p>
        </w:tc>
        <w:tc>
          <w:tcPr>
            <w:tcW w:w="1870" w:type="pct"/>
            <w:noWrap/>
            <w:vAlign w:val="center"/>
          </w:tcPr>
          <w:p w14:paraId="67F9F00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带座轴承SKF/NSK/FAG</w:t>
            </w:r>
          </w:p>
        </w:tc>
        <w:tc>
          <w:tcPr>
            <w:tcW w:w="1716" w:type="pct"/>
            <w:noWrap/>
            <w:vAlign w:val="center"/>
          </w:tcPr>
          <w:p w14:paraId="7855E4B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斯凯孚/恩斯克/FAG</w:t>
            </w:r>
          </w:p>
        </w:tc>
      </w:tr>
      <w:tr w14:paraId="6BCB660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17E471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lang w:eastAsia="zh-CN"/>
              </w:rPr>
            </w:pPr>
            <w:r>
              <w:rPr>
                <w:rFonts w:hint="eastAsia" w:asciiTheme="minorEastAsia" w:hAnsiTheme="minorEastAsia" w:eastAsiaTheme="minorEastAsia" w:cstheme="minorEastAsia"/>
                <w:b w:val="0"/>
                <w:bCs w:val="0"/>
                <w:kern w:val="0"/>
                <w:sz w:val="24"/>
                <w:szCs w:val="24"/>
                <w:highlight w:val="none"/>
                <w:lang w:val="en-US" w:eastAsia="zh-CN"/>
              </w:rPr>
              <w:t>5</w:t>
            </w:r>
          </w:p>
        </w:tc>
        <w:tc>
          <w:tcPr>
            <w:tcW w:w="1105" w:type="pct"/>
            <w:noWrap/>
            <w:vAlign w:val="center"/>
          </w:tcPr>
          <w:p w14:paraId="1DFFCAF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直线导轨</w:t>
            </w:r>
          </w:p>
        </w:tc>
        <w:tc>
          <w:tcPr>
            <w:tcW w:w="1870" w:type="pct"/>
            <w:noWrap/>
            <w:vAlign w:val="center"/>
          </w:tcPr>
          <w:p w14:paraId="58ACBF1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THK/BOSCH/NSK</w:t>
            </w:r>
          </w:p>
        </w:tc>
        <w:tc>
          <w:tcPr>
            <w:tcW w:w="1716" w:type="pct"/>
            <w:noWrap/>
            <w:vAlign w:val="center"/>
          </w:tcPr>
          <w:p w14:paraId="24197A4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THK/博世/NSK</w:t>
            </w:r>
          </w:p>
        </w:tc>
      </w:tr>
      <w:tr w14:paraId="3960EF8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F4B632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val="en-US" w:eastAsia="zh-CN"/>
              </w:rPr>
              <w:t>6</w:t>
            </w:r>
          </w:p>
        </w:tc>
        <w:tc>
          <w:tcPr>
            <w:tcW w:w="1105" w:type="pct"/>
            <w:noWrap/>
            <w:vAlign w:val="center"/>
          </w:tcPr>
          <w:p w14:paraId="13DED4F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电动葫芦</w:t>
            </w:r>
          </w:p>
        </w:tc>
        <w:tc>
          <w:tcPr>
            <w:tcW w:w="1870" w:type="pct"/>
            <w:noWrap/>
            <w:vAlign w:val="center"/>
          </w:tcPr>
          <w:p w14:paraId="69C654E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德马格/高博/STAIL/科尼</w:t>
            </w:r>
          </w:p>
        </w:tc>
        <w:tc>
          <w:tcPr>
            <w:tcW w:w="1716" w:type="pct"/>
            <w:noWrap/>
            <w:vAlign w:val="center"/>
          </w:tcPr>
          <w:p w14:paraId="15FB6C1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德马格/高博/斯泰尔/科尼</w:t>
            </w:r>
          </w:p>
        </w:tc>
      </w:tr>
      <w:tr w14:paraId="7436562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133D376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eastAsia="zh-CN"/>
              </w:rPr>
              <w:t>7</w:t>
            </w:r>
          </w:p>
        </w:tc>
        <w:tc>
          <w:tcPr>
            <w:tcW w:w="1105" w:type="pct"/>
            <w:noWrap/>
            <w:vAlign w:val="center"/>
          </w:tcPr>
          <w:p w14:paraId="5F73053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齿形带及带轮</w:t>
            </w:r>
          </w:p>
        </w:tc>
        <w:tc>
          <w:tcPr>
            <w:tcW w:w="1870" w:type="pct"/>
            <w:noWrap/>
            <w:vAlign w:val="center"/>
          </w:tcPr>
          <w:p w14:paraId="40A77B7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Contitech/</w:t>
            </w:r>
            <w:r>
              <w:rPr>
                <w:rFonts w:hint="eastAsia" w:asciiTheme="minorEastAsia" w:hAnsiTheme="minorEastAsia" w:eastAsiaTheme="minorEastAsia" w:cstheme="minorEastAsia"/>
                <w:b w:val="0"/>
                <w:bCs w:val="0"/>
                <w:color w:val="000000"/>
                <w:kern w:val="0"/>
                <w:sz w:val="24"/>
                <w:szCs w:val="24"/>
                <w:highlight w:val="none"/>
                <w:lang w:bidi="ar"/>
              </w:rPr>
              <w:t>Gummi/STRICKER</w:t>
            </w:r>
          </w:p>
        </w:tc>
        <w:tc>
          <w:tcPr>
            <w:tcW w:w="1716" w:type="pct"/>
            <w:noWrap/>
            <w:vAlign w:val="center"/>
          </w:tcPr>
          <w:p w14:paraId="78B980C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康迪泰克/</w:t>
            </w:r>
            <w:r>
              <w:rPr>
                <w:rFonts w:hint="eastAsia" w:asciiTheme="minorEastAsia" w:hAnsiTheme="minorEastAsia" w:eastAsiaTheme="minorEastAsia" w:cstheme="minorEastAsia"/>
                <w:b w:val="0"/>
                <w:bCs w:val="0"/>
                <w:color w:val="000000"/>
                <w:kern w:val="0"/>
                <w:sz w:val="24"/>
                <w:szCs w:val="24"/>
                <w:highlight w:val="none"/>
                <w:lang w:bidi="ar"/>
              </w:rPr>
              <w:t>Gummi/STRICKER</w:t>
            </w:r>
          </w:p>
        </w:tc>
      </w:tr>
      <w:tr w14:paraId="68EF0F7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trHeight w:val="567" w:hRule="atLeast"/>
          <w:jc w:val="center"/>
        </w:trPr>
        <w:tc>
          <w:tcPr>
            <w:tcW w:w="307" w:type="pct"/>
            <w:tcBorders>
              <w:left w:val="single" w:color="auto" w:sz="4" w:space="0"/>
            </w:tcBorders>
            <w:vAlign w:val="center"/>
          </w:tcPr>
          <w:p w14:paraId="3119A36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eastAsia="zh-CN"/>
              </w:rPr>
              <w:t>8</w:t>
            </w:r>
          </w:p>
        </w:tc>
        <w:tc>
          <w:tcPr>
            <w:tcW w:w="1105" w:type="pct"/>
            <w:noWrap/>
            <w:vAlign w:val="center"/>
          </w:tcPr>
          <w:p w14:paraId="685ACF5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链条</w:t>
            </w:r>
          </w:p>
        </w:tc>
        <w:tc>
          <w:tcPr>
            <w:tcW w:w="1870" w:type="pct"/>
            <w:noWrap/>
            <w:vAlign w:val="center"/>
          </w:tcPr>
          <w:p w14:paraId="75F874A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活尔夫/东华/金盾/株洲</w:t>
            </w:r>
          </w:p>
        </w:tc>
        <w:tc>
          <w:tcPr>
            <w:tcW w:w="1716" w:type="pct"/>
            <w:noWrap/>
            <w:vAlign w:val="center"/>
          </w:tcPr>
          <w:p w14:paraId="1A7DE75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活尔夫/东华/金盾/株洲</w:t>
            </w:r>
          </w:p>
        </w:tc>
      </w:tr>
      <w:tr w14:paraId="6E541CA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FE55C7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eastAsia="zh-CN"/>
              </w:rPr>
              <w:t>9</w:t>
            </w:r>
          </w:p>
        </w:tc>
        <w:tc>
          <w:tcPr>
            <w:tcW w:w="1105" w:type="pct"/>
            <w:noWrap/>
            <w:vAlign w:val="center"/>
          </w:tcPr>
          <w:p w14:paraId="1FC157E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气动元件</w:t>
            </w:r>
          </w:p>
        </w:tc>
        <w:tc>
          <w:tcPr>
            <w:tcW w:w="1870" w:type="pct"/>
            <w:noWrap/>
            <w:vAlign w:val="center"/>
          </w:tcPr>
          <w:p w14:paraId="36745D0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SWC/FESTO</w:t>
            </w:r>
            <w:r>
              <w:rPr>
                <w:rFonts w:hint="eastAsia" w:asciiTheme="minorEastAsia" w:hAnsiTheme="minorEastAsia" w:eastAsiaTheme="minorEastAsia" w:cstheme="minorEastAsia"/>
                <w:b w:val="0"/>
                <w:bCs w:val="0"/>
                <w:kern w:val="0"/>
                <w:sz w:val="24"/>
                <w:szCs w:val="24"/>
                <w:highlight w:val="none"/>
                <w:lang w:val="en-US" w:eastAsia="zh-CN"/>
              </w:rPr>
              <w:t>/SMC</w:t>
            </w:r>
          </w:p>
        </w:tc>
        <w:tc>
          <w:tcPr>
            <w:tcW w:w="1716" w:type="pct"/>
            <w:noWrap/>
            <w:vAlign w:val="center"/>
          </w:tcPr>
          <w:p w14:paraId="3220DFC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SWC/费斯托</w:t>
            </w:r>
            <w:r>
              <w:rPr>
                <w:rFonts w:hint="eastAsia" w:asciiTheme="minorEastAsia" w:hAnsiTheme="minorEastAsia" w:eastAsiaTheme="minorEastAsia" w:cstheme="minorEastAsia"/>
                <w:b w:val="0"/>
                <w:bCs w:val="0"/>
                <w:kern w:val="0"/>
                <w:sz w:val="24"/>
                <w:szCs w:val="24"/>
                <w:highlight w:val="none"/>
                <w:lang w:val="en-US" w:eastAsia="zh-CN"/>
              </w:rPr>
              <w:t>/SMC</w:t>
            </w:r>
          </w:p>
        </w:tc>
      </w:tr>
      <w:tr w14:paraId="2935E6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4FD02A9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eastAsia="zh-CN"/>
              </w:rPr>
              <w:t>1</w:t>
            </w:r>
            <w:r>
              <w:rPr>
                <w:rFonts w:hint="eastAsia" w:asciiTheme="minorEastAsia" w:hAnsiTheme="minorEastAsia" w:eastAsiaTheme="minorEastAsia" w:cstheme="minorEastAsia"/>
                <w:b w:val="0"/>
                <w:bCs w:val="0"/>
                <w:kern w:val="0"/>
                <w:sz w:val="24"/>
                <w:szCs w:val="24"/>
                <w:highlight w:val="none"/>
                <w:lang w:val="en-US" w:eastAsia="zh-CN"/>
              </w:rPr>
              <w:t>0</w:t>
            </w:r>
          </w:p>
        </w:tc>
        <w:tc>
          <w:tcPr>
            <w:tcW w:w="1105" w:type="pct"/>
            <w:noWrap/>
            <w:vAlign w:val="center"/>
          </w:tcPr>
          <w:p w14:paraId="3E68D6E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照明灯具</w:t>
            </w:r>
          </w:p>
        </w:tc>
        <w:tc>
          <w:tcPr>
            <w:tcW w:w="1870" w:type="pct"/>
            <w:noWrap/>
            <w:vAlign w:val="center"/>
          </w:tcPr>
          <w:p w14:paraId="69446DF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欧司朗/松下/飞利浦</w:t>
            </w:r>
          </w:p>
        </w:tc>
        <w:tc>
          <w:tcPr>
            <w:tcW w:w="1716" w:type="pct"/>
            <w:noWrap/>
            <w:vAlign w:val="center"/>
          </w:tcPr>
          <w:p w14:paraId="65E880B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欧司朗/松下/飞利浦</w:t>
            </w:r>
          </w:p>
        </w:tc>
      </w:tr>
      <w:tr w14:paraId="53730E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21AAF3B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w:t>
            </w:r>
            <w:r>
              <w:rPr>
                <w:rFonts w:hint="eastAsia" w:asciiTheme="minorEastAsia" w:hAnsiTheme="minorEastAsia" w:eastAsiaTheme="minorEastAsia" w:cstheme="minorEastAsia"/>
                <w:b w:val="0"/>
                <w:bCs w:val="0"/>
                <w:kern w:val="0"/>
                <w:sz w:val="24"/>
                <w:szCs w:val="24"/>
                <w:highlight w:val="none"/>
                <w:lang w:val="en-US" w:eastAsia="zh-CN"/>
              </w:rPr>
              <w:t>1</w:t>
            </w:r>
          </w:p>
        </w:tc>
        <w:tc>
          <w:tcPr>
            <w:tcW w:w="1105" w:type="pct"/>
            <w:noWrap/>
            <w:vAlign w:val="center"/>
          </w:tcPr>
          <w:p w14:paraId="3397B4E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视觉系统</w:t>
            </w:r>
          </w:p>
        </w:tc>
        <w:tc>
          <w:tcPr>
            <w:tcW w:w="1870" w:type="pct"/>
            <w:noWrap/>
            <w:vAlign w:val="center"/>
          </w:tcPr>
          <w:p w14:paraId="427080F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基恩上/ISRA/易斯维</w:t>
            </w:r>
          </w:p>
        </w:tc>
        <w:tc>
          <w:tcPr>
            <w:tcW w:w="1716" w:type="pct"/>
            <w:noWrap/>
            <w:vAlign w:val="center"/>
          </w:tcPr>
          <w:p w14:paraId="1A2C895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基恩上/伊斯拉/易斯维</w:t>
            </w:r>
          </w:p>
        </w:tc>
      </w:tr>
      <w:tr w14:paraId="2E39638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8F6262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w:t>
            </w:r>
            <w:r>
              <w:rPr>
                <w:rFonts w:hint="eastAsia" w:asciiTheme="minorEastAsia" w:hAnsiTheme="minorEastAsia" w:eastAsiaTheme="minorEastAsia" w:cstheme="minorEastAsia"/>
                <w:b w:val="0"/>
                <w:bCs w:val="0"/>
                <w:kern w:val="0"/>
                <w:sz w:val="24"/>
                <w:szCs w:val="24"/>
                <w:highlight w:val="none"/>
                <w:lang w:val="en-US" w:eastAsia="zh-CN"/>
              </w:rPr>
              <w:t>2</w:t>
            </w:r>
          </w:p>
        </w:tc>
        <w:tc>
          <w:tcPr>
            <w:tcW w:w="1105" w:type="pct"/>
            <w:noWrap/>
            <w:vAlign w:val="center"/>
          </w:tcPr>
          <w:p w14:paraId="47EC93D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协作机器人</w:t>
            </w:r>
          </w:p>
        </w:tc>
        <w:tc>
          <w:tcPr>
            <w:tcW w:w="1870" w:type="pct"/>
            <w:noWrap/>
            <w:vAlign w:val="center"/>
          </w:tcPr>
          <w:p w14:paraId="39D015C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发那科/KUKA/安川</w:t>
            </w:r>
          </w:p>
        </w:tc>
        <w:tc>
          <w:tcPr>
            <w:tcW w:w="1716" w:type="pct"/>
            <w:noWrap/>
            <w:vAlign w:val="center"/>
          </w:tcPr>
          <w:p w14:paraId="0A4CEBE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发那科/KUKA/安川</w:t>
            </w:r>
          </w:p>
        </w:tc>
      </w:tr>
      <w:tr w14:paraId="415FEEC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A89A21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w:t>
            </w:r>
            <w:r>
              <w:rPr>
                <w:rFonts w:hint="eastAsia" w:asciiTheme="minorEastAsia" w:hAnsiTheme="minorEastAsia" w:eastAsiaTheme="minorEastAsia" w:cstheme="minorEastAsia"/>
                <w:b w:val="0"/>
                <w:bCs w:val="0"/>
                <w:kern w:val="0"/>
                <w:sz w:val="24"/>
                <w:szCs w:val="24"/>
                <w:highlight w:val="none"/>
                <w:lang w:val="en-US" w:eastAsia="zh-CN"/>
              </w:rPr>
              <w:t>3</w:t>
            </w:r>
          </w:p>
        </w:tc>
        <w:tc>
          <w:tcPr>
            <w:tcW w:w="1105" w:type="pct"/>
            <w:noWrap/>
            <w:vAlign w:val="center"/>
          </w:tcPr>
          <w:p w14:paraId="58B5A7E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工业机器人</w:t>
            </w:r>
          </w:p>
        </w:tc>
        <w:tc>
          <w:tcPr>
            <w:tcW w:w="1870" w:type="pct"/>
            <w:noWrap/>
            <w:vAlign w:val="center"/>
          </w:tcPr>
          <w:p w14:paraId="54A0E91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ABB/KUKA/发那科</w:t>
            </w:r>
          </w:p>
        </w:tc>
        <w:tc>
          <w:tcPr>
            <w:tcW w:w="1716" w:type="pct"/>
            <w:noWrap/>
            <w:vAlign w:val="center"/>
          </w:tcPr>
          <w:p w14:paraId="1B29D1E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ABB/KUKA/发那科</w:t>
            </w:r>
          </w:p>
        </w:tc>
      </w:tr>
      <w:tr w14:paraId="71088C0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4F7FD1F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二</w:t>
            </w:r>
          </w:p>
        </w:tc>
        <w:tc>
          <w:tcPr>
            <w:tcW w:w="1105" w:type="pct"/>
            <w:noWrap/>
            <w:vAlign w:val="center"/>
          </w:tcPr>
          <w:p w14:paraId="2C7D944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电气</w:t>
            </w:r>
          </w:p>
        </w:tc>
        <w:tc>
          <w:tcPr>
            <w:tcW w:w="1870" w:type="pct"/>
            <w:noWrap/>
            <w:vAlign w:val="center"/>
          </w:tcPr>
          <w:p w14:paraId="7937429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p>
        </w:tc>
        <w:tc>
          <w:tcPr>
            <w:tcW w:w="1716" w:type="pct"/>
            <w:noWrap/>
            <w:vAlign w:val="center"/>
          </w:tcPr>
          <w:p w14:paraId="4E359FF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p>
        </w:tc>
      </w:tr>
      <w:tr w14:paraId="73AA77A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7F7D5B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w:t>
            </w:r>
          </w:p>
        </w:tc>
        <w:tc>
          <w:tcPr>
            <w:tcW w:w="1105" w:type="pct"/>
            <w:noWrap/>
            <w:vAlign w:val="center"/>
          </w:tcPr>
          <w:p w14:paraId="04BE17E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PLC</w:t>
            </w:r>
          </w:p>
        </w:tc>
        <w:tc>
          <w:tcPr>
            <w:tcW w:w="1870" w:type="pct"/>
            <w:noWrap/>
            <w:vAlign w:val="center"/>
          </w:tcPr>
          <w:p w14:paraId="2118BD3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Siemens/AB</w:t>
            </w:r>
            <w:r>
              <w:rPr>
                <w:rFonts w:hint="eastAsia" w:asciiTheme="minorEastAsia" w:hAnsiTheme="minorEastAsia" w:eastAsiaTheme="minorEastAsia" w:cstheme="minorEastAsia"/>
                <w:b w:val="0"/>
                <w:bCs w:val="0"/>
                <w:kern w:val="0"/>
                <w:sz w:val="24"/>
                <w:szCs w:val="24"/>
                <w:highlight w:val="none"/>
                <w:lang w:val="en-US" w:eastAsia="zh-CN"/>
              </w:rPr>
              <w:t>/三菱</w:t>
            </w:r>
          </w:p>
        </w:tc>
        <w:tc>
          <w:tcPr>
            <w:tcW w:w="1716" w:type="pct"/>
            <w:noWrap/>
            <w:vAlign w:val="center"/>
          </w:tcPr>
          <w:p w14:paraId="2CB45B9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西门子/AB</w:t>
            </w:r>
            <w:r>
              <w:rPr>
                <w:rFonts w:hint="eastAsia" w:asciiTheme="minorEastAsia" w:hAnsiTheme="minorEastAsia" w:eastAsiaTheme="minorEastAsia" w:cstheme="minorEastAsia"/>
                <w:b w:val="0"/>
                <w:bCs w:val="0"/>
                <w:kern w:val="0"/>
                <w:sz w:val="24"/>
                <w:szCs w:val="24"/>
                <w:highlight w:val="none"/>
                <w:lang w:val="en-US" w:eastAsia="zh-CN"/>
              </w:rPr>
              <w:t>/三菱</w:t>
            </w:r>
          </w:p>
        </w:tc>
      </w:tr>
      <w:tr w14:paraId="7933AFF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899D55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w:t>
            </w:r>
          </w:p>
        </w:tc>
        <w:tc>
          <w:tcPr>
            <w:tcW w:w="1105" w:type="pct"/>
            <w:noWrap/>
            <w:vAlign w:val="center"/>
          </w:tcPr>
          <w:p w14:paraId="339D501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柜内I/O模块（IP20）</w:t>
            </w:r>
          </w:p>
        </w:tc>
        <w:tc>
          <w:tcPr>
            <w:tcW w:w="1870" w:type="pct"/>
            <w:noWrap/>
            <w:vAlign w:val="center"/>
          </w:tcPr>
          <w:p w14:paraId="41D167B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Siemens/Murr/Phoenix</w:t>
            </w:r>
          </w:p>
        </w:tc>
        <w:tc>
          <w:tcPr>
            <w:tcW w:w="1716" w:type="pct"/>
            <w:noWrap/>
            <w:vAlign w:val="center"/>
          </w:tcPr>
          <w:p w14:paraId="52BFD82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西门子/穆尔/菲尼克斯</w:t>
            </w:r>
          </w:p>
        </w:tc>
      </w:tr>
      <w:tr w14:paraId="37AD702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2985551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3</w:t>
            </w:r>
          </w:p>
        </w:tc>
        <w:tc>
          <w:tcPr>
            <w:tcW w:w="1105" w:type="pct"/>
            <w:noWrap/>
            <w:vAlign w:val="center"/>
          </w:tcPr>
          <w:p w14:paraId="766A7BA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现场I/O模块（IP67）</w:t>
            </w:r>
          </w:p>
        </w:tc>
        <w:tc>
          <w:tcPr>
            <w:tcW w:w="1870" w:type="pct"/>
            <w:noWrap/>
            <w:vAlign w:val="center"/>
          </w:tcPr>
          <w:p w14:paraId="2ED20CE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P+F/GSEE/TURCK</w:t>
            </w:r>
          </w:p>
        </w:tc>
        <w:tc>
          <w:tcPr>
            <w:tcW w:w="1716" w:type="pct"/>
            <w:noWrap/>
            <w:vAlign w:val="center"/>
          </w:tcPr>
          <w:p w14:paraId="2808759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倍加福/吉诺/图尔克</w:t>
            </w:r>
          </w:p>
        </w:tc>
      </w:tr>
      <w:tr w14:paraId="621AEBE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71AD68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4</w:t>
            </w:r>
          </w:p>
        </w:tc>
        <w:tc>
          <w:tcPr>
            <w:tcW w:w="1105" w:type="pct"/>
            <w:noWrap/>
            <w:vAlign w:val="center"/>
          </w:tcPr>
          <w:p w14:paraId="5801640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工控一体机</w:t>
            </w:r>
          </w:p>
        </w:tc>
        <w:tc>
          <w:tcPr>
            <w:tcW w:w="1870" w:type="pct"/>
            <w:noWrap/>
            <w:vAlign w:val="center"/>
          </w:tcPr>
          <w:p w14:paraId="2F26312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研华/大普/Siemens</w:t>
            </w:r>
          </w:p>
        </w:tc>
        <w:tc>
          <w:tcPr>
            <w:tcW w:w="1716" w:type="pct"/>
            <w:noWrap/>
            <w:vAlign w:val="center"/>
          </w:tcPr>
          <w:p w14:paraId="2FE7F9A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研华/大普/西门子</w:t>
            </w:r>
          </w:p>
        </w:tc>
      </w:tr>
      <w:tr w14:paraId="0DAE53A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D2C20A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5</w:t>
            </w:r>
          </w:p>
        </w:tc>
        <w:tc>
          <w:tcPr>
            <w:tcW w:w="1105" w:type="pct"/>
            <w:noWrap/>
            <w:vAlign w:val="center"/>
          </w:tcPr>
          <w:p w14:paraId="1C61FED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触摸屏HMI</w:t>
            </w:r>
          </w:p>
        </w:tc>
        <w:tc>
          <w:tcPr>
            <w:tcW w:w="1870" w:type="pct"/>
            <w:noWrap/>
            <w:vAlign w:val="center"/>
          </w:tcPr>
          <w:p w14:paraId="1D89375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昆仑通态/汇川/Siemens</w:t>
            </w:r>
          </w:p>
        </w:tc>
        <w:tc>
          <w:tcPr>
            <w:tcW w:w="1716" w:type="pct"/>
            <w:noWrap/>
            <w:vAlign w:val="center"/>
          </w:tcPr>
          <w:p w14:paraId="49F7EC6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昆仑通态/汇川/西门子</w:t>
            </w:r>
          </w:p>
        </w:tc>
      </w:tr>
      <w:tr w14:paraId="4F88848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DCCB8F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6</w:t>
            </w:r>
          </w:p>
        </w:tc>
        <w:tc>
          <w:tcPr>
            <w:tcW w:w="1105" w:type="pct"/>
            <w:noWrap/>
            <w:vAlign w:val="center"/>
          </w:tcPr>
          <w:p w14:paraId="3729999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EMS系统</w:t>
            </w:r>
          </w:p>
        </w:tc>
        <w:tc>
          <w:tcPr>
            <w:tcW w:w="1870" w:type="pct"/>
            <w:noWrap/>
            <w:vAlign w:val="center"/>
          </w:tcPr>
          <w:p w14:paraId="77C47EE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LJU/法勒/SEW</w:t>
            </w:r>
          </w:p>
        </w:tc>
        <w:tc>
          <w:tcPr>
            <w:tcW w:w="1716" w:type="pct"/>
            <w:noWrap/>
            <w:vAlign w:val="center"/>
          </w:tcPr>
          <w:p w14:paraId="2685BFD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LJU/法勒/SEW</w:t>
            </w:r>
          </w:p>
        </w:tc>
      </w:tr>
      <w:tr w14:paraId="05205AE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1AFA357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7</w:t>
            </w:r>
          </w:p>
        </w:tc>
        <w:tc>
          <w:tcPr>
            <w:tcW w:w="1105" w:type="pct"/>
            <w:noWrap/>
            <w:vAlign w:val="center"/>
          </w:tcPr>
          <w:p w14:paraId="2C424E9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变频器（机械化输送）</w:t>
            </w:r>
          </w:p>
        </w:tc>
        <w:tc>
          <w:tcPr>
            <w:tcW w:w="1870" w:type="pct"/>
            <w:noWrap/>
            <w:vAlign w:val="center"/>
          </w:tcPr>
          <w:p w14:paraId="247A511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Siemens/施耐德/SEW</w:t>
            </w:r>
          </w:p>
        </w:tc>
        <w:tc>
          <w:tcPr>
            <w:tcW w:w="1716" w:type="pct"/>
            <w:noWrap/>
            <w:vAlign w:val="center"/>
          </w:tcPr>
          <w:p w14:paraId="50B7518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西门子/施耐德/SEW</w:t>
            </w:r>
          </w:p>
        </w:tc>
      </w:tr>
      <w:tr w14:paraId="6D07D32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9C37F0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8</w:t>
            </w:r>
          </w:p>
        </w:tc>
        <w:tc>
          <w:tcPr>
            <w:tcW w:w="1105" w:type="pct"/>
            <w:noWrap/>
            <w:vAlign w:val="center"/>
          </w:tcPr>
          <w:p w14:paraId="6D51FE3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直流电源</w:t>
            </w:r>
          </w:p>
        </w:tc>
        <w:tc>
          <w:tcPr>
            <w:tcW w:w="1870" w:type="pct"/>
            <w:noWrap/>
            <w:vAlign w:val="center"/>
          </w:tcPr>
          <w:p w14:paraId="7122FB3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MW/Siemens/菲尼克斯</w:t>
            </w:r>
          </w:p>
        </w:tc>
        <w:tc>
          <w:tcPr>
            <w:tcW w:w="1716" w:type="pct"/>
            <w:noWrap/>
            <w:vAlign w:val="center"/>
          </w:tcPr>
          <w:p w14:paraId="254F6C7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明伟/西门子/菲尼克斯</w:t>
            </w:r>
          </w:p>
        </w:tc>
      </w:tr>
      <w:tr w14:paraId="16B5354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A2F5F5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9</w:t>
            </w:r>
          </w:p>
        </w:tc>
        <w:tc>
          <w:tcPr>
            <w:tcW w:w="1105" w:type="pct"/>
            <w:noWrap/>
            <w:vAlign w:val="center"/>
          </w:tcPr>
          <w:p w14:paraId="631C01A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软启动器</w:t>
            </w:r>
          </w:p>
        </w:tc>
        <w:tc>
          <w:tcPr>
            <w:tcW w:w="1870" w:type="pct"/>
            <w:shd w:val="clear" w:color="auto" w:fill="auto"/>
            <w:noWrap/>
            <w:vAlign w:val="center"/>
          </w:tcPr>
          <w:p w14:paraId="0B748F9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Siemens/施耐德/</w:t>
            </w:r>
            <w:r>
              <w:rPr>
                <w:rFonts w:hint="eastAsia" w:asciiTheme="minorEastAsia" w:hAnsiTheme="minorEastAsia" w:eastAsiaTheme="minorEastAsia" w:cstheme="minorEastAsia"/>
                <w:b w:val="0"/>
                <w:bCs w:val="0"/>
                <w:kern w:val="0"/>
                <w:sz w:val="24"/>
                <w:szCs w:val="24"/>
                <w:highlight w:val="none"/>
                <w:lang w:val="en-US" w:eastAsia="zh-CN"/>
              </w:rPr>
              <w:t>丹佛斯</w:t>
            </w:r>
          </w:p>
        </w:tc>
        <w:tc>
          <w:tcPr>
            <w:tcW w:w="1716" w:type="pct"/>
            <w:shd w:val="clear" w:color="auto" w:fill="auto"/>
            <w:noWrap/>
            <w:vAlign w:val="center"/>
          </w:tcPr>
          <w:p w14:paraId="7525069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西门子/施耐德/</w:t>
            </w:r>
            <w:r>
              <w:rPr>
                <w:rFonts w:hint="eastAsia" w:asciiTheme="minorEastAsia" w:hAnsiTheme="minorEastAsia" w:eastAsiaTheme="minorEastAsia" w:cstheme="minorEastAsia"/>
                <w:b w:val="0"/>
                <w:bCs w:val="0"/>
                <w:kern w:val="0"/>
                <w:sz w:val="24"/>
                <w:szCs w:val="24"/>
                <w:highlight w:val="none"/>
                <w:lang w:val="en-US" w:eastAsia="zh-CN"/>
              </w:rPr>
              <w:t>丹佛斯</w:t>
            </w:r>
          </w:p>
        </w:tc>
      </w:tr>
      <w:tr w14:paraId="10CF9DE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E18E5E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10</w:t>
            </w:r>
          </w:p>
        </w:tc>
        <w:tc>
          <w:tcPr>
            <w:tcW w:w="1105" w:type="pct"/>
            <w:noWrap/>
            <w:vAlign w:val="center"/>
          </w:tcPr>
          <w:p w14:paraId="40B5634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断路器/主开关/接触器/</w:t>
            </w:r>
          </w:p>
        </w:tc>
        <w:tc>
          <w:tcPr>
            <w:tcW w:w="1870" w:type="pct"/>
            <w:noWrap/>
            <w:vAlign w:val="center"/>
          </w:tcPr>
          <w:p w14:paraId="476B744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Siemens/Schneider/AB</w:t>
            </w:r>
          </w:p>
        </w:tc>
        <w:tc>
          <w:tcPr>
            <w:tcW w:w="1716" w:type="pct"/>
            <w:noWrap/>
            <w:vAlign w:val="center"/>
          </w:tcPr>
          <w:p w14:paraId="7242909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西门子/施耐德/AB</w:t>
            </w:r>
          </w:p>
        </w:tc>
      </w:tr>
      <w:tr w14:paraId="00AE239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2B6399A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11</w:t>
            </w:r>
          </w:p>
        </w:tc>
        <w:tc>
          <w:tcPr>
            <w:tcW w:w="1105" w:type="pct"/>
            <w:noWrap/>
            <w:vAlign w:val="center"/>
          </w:tcPr>
          <w:p w14:paraId="5999786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指示灯/按钮</w:t>
            </w:r>
          </w:p>
        </w:tc>
        <w:tc>
          <w:tcPr>
            <w:tcW w:w="1870" w:type="pct"/>
            <w:noWrap/>
            <w:vAlign w:val="center"/>
          </w:tcPr>
          <w:p w14:paraId="2D00544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TAYEE/APT/CHNT</w:t>
            </w:r>
          </w:p>
        </w:tc>
        <w:tc>
          <w:tcPr>
            <w:tcW w:w="1716" w:type="pct"/>
            <w:noWrap/>
            <w:vAlign w:val="center"/>
          </w:tcPr>
          <w:p w14:paraId="51CD0B5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天逸/APT/正泰</w:t>
            </w:r>
          </w:p>
        </w:tc>
      </w:tr>
      <w:tr w14:paraId="412038E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7E56D38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12</w:t>
            </w:r>
          </w:p>
        </w:tc>
        <w:tc>
          <w:tcPr>
            <w:tcW w:w="1105" w:type="pct"/>
            <w:noWrap/>
            <w:vAlign w:val="center"/>
          </w:tcPr>
          <w:p w14:paraId="365E844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RFID产品</w:t>
            </w:r>
          </w:p>
        </w:tc>
        <w:tc>
          <w:tcPr>
            <w:tcW w:w="1870" w:type="pct"/>
            <w:noWrap/>
            <w:vAlign w:val="center"/>
          </w:tcPr>
          <w:p w14:paraId="71917B0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IFM/SICK/P+F</w:t>
            </w:r>
          </w:p>
        </w:tc>
        <w:tc>
          <w:tcPr>
            <w:tcW w:w="1716" w:type="pct"/>
            <w:noWrap/>
            <w:vAlign w:val="center"/>
          </w:tcPr>
          <w:p w14:paraId="334DA2B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易福门/SICK/倍加福</w:t>
            </w:r>
          </w:p>
        </w:tc>
      </w:tr>
      <w:tr w14:paraId="3F4BDFC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B2F55F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13</w:t>
            </w:r>
          </w:p>
        </w:tc>
        <w:tc>
          <w:tcPr>
            <w:tcW w:w="1105" w:type="pct"/>
            <w:noWrap/>
            <w:vAlign w:val="center"/>
          </w:tcPr>
          <w:p w14:paraId="3C5A5D2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接近开关（普通/防爆）</w:t>
            </w:r>
          </w:p>
        </w:tc>
        <w:tc>
          <w:tcPr>
            <w:tcW w:w="1870" w:type="pct"/>
            <w:noWrap/>
            <w:vAlign w:val="center"/>
          </w:tcPr>
          <w:p w14:paraId="1A4FA91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欧姆龙/P+F/Turck</w:t>
            </w:r>
          </w:p>
        </w:tc>
        <w:tc>
          <w:tcPr>
            <w:tcW w:w="1716" w:type="pct"/>
            <w:noWrap/>
            <w:vAlign w:val="center"/>
          </w:tcPr>
          <w:p w14:paraId="3323EA6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欧姆龙/倍加福/图尔克</w:t>
            </w:r>
          </w:p>
        </w:tc>
      </w:tr>
      <w:tr w14:paraId="34B1C36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95135C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14</w:t>
            </w:r>
          </w:p>
        </w:tc>
        <w:tc>
          <w:tcPr>
            <w:tcW w:w="1105" w:type="pct"/>
            <w:noWrap/>
            <w:vAlign w:val="center"/>
          </w:tcPr>
          <w:p w14:paraId="3B7FC13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光电开关</w:t>
            </w:r>
          </w:p>
        </w:tc>
        <w:tc>
          <w:tcPr>
            <w:tcW w:w="1870" w:type="pct"/>
            <w:noWrap/>
            <w:vAlign w:val="center"/>
          </w:tcPr>
          <w:p w14:paraId="36EEC19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SICK/P+F/SICK</w:t>
            </w:r>
          </w:p>
        </w:tc>
        <w:tc>
          <w:tcPr>
            <w:tcW w:w="1716" w:type="pct"/>
            <w:noWrap/>
            <w:vAlign w:val="center"/>
          </w:tcPr>
          <w:p w14:paraId="23A5D52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西克/倍加福/西克</w:t>
            </w:r>
          </w:p>
        </w:tc>
      </w:tr>
      <w:tr w14:paraId="6FC9A17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7B69CB6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15</w:t>
            </w:r>
          </w:p>
        </w:tc>
        <w:tc>
          <w:tcPr>
            <w:tcW w:w="1105" w:type="pct"/>
            <w:noWrap/>
            <w:vAlign w:val="center"/>
          </w:tcPr>
          <w:p w14:paraId="7C4D259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行程开关</w:t>
            </w:r>
          </w:p>
        </w:tc>
        <w:tc>
          <w:tcPr>
            <w:tcW w:w="1870" w:type="pct"/>
            <w:noWrap/>
            <w:vAlign w:val="center"/>
          </w:tcPr>
          <w:p w14:paraId="2B295CC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OMRON/Schneider/西门子</w:t>
            </w:r>
          </w:p>
        </w:tc>
        <w:tc>
          <w:tcPr>
            <w:tcW w:w="1716" w:type="pct"/>
            <w:noWrap/>
            <w:vAlign w:val="center"/>
          </w:tcPr>
          <w:p w14:paraId="5CB2463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欧姆龙/施耐德/西门子</w:t>
            </w:r>
          </w:p>
        </w:tc>
      </w:tr>
      <w:tr w14:paraId="56C15E83">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160BE95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16</w:t>
            </w:r>
          </w:p>
        </w:tc>
        <w:tc>
          <w:tcPr>
            <w:tcW w:w="1105" w:type="pct"/>
            <w:noWrap/>
            <w:vAlign w:val="center"/>
          </w:tcPr>
          <w:p w14:paraId="01092BA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激光测距仪</w:t>
            </w:r>
          </w:p>
        </w:tc>
        <w:tc>
          <w:tcPr>
            <w:tcW w:w="1870" w:type="pct"/>
            <w:noWrap/>
            <w:vAlign w:val="center"/>
          </w:tcPr>
          <w:p w14:paraId="6BCD7DB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SICK/P+F/ELCO</w:t>
            </w:r>
          </w:p>
        </w:tc>
        <w:tc>
          <w:tcPr>
            <w:tcW w:w="1716" w:type="pct"/>
            <w:noWrap/>
            <w:vAlign w:val="center"/>
          </w:tcPr>
          <w:p w14:paraId="13B8128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SICK/倍加福/宜科</w:t>
            </w:r>
          </w:p>
        </w:tc>
      </w:tr>
      <w:tr w14:paraId="16B1848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4D3669A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17</w:t>
            </w:r>
          </w:p>
        </w:tc>
        <w:tc>
          <w:tcPr>
            <w:tcW w:w="1105" w:type="pct"/>
            <w:noWrap/>
            <w:vAlign w:val="center"/>
          </w:tcPr>
          <w:p w14:paraId="58D6DD2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安全门开关</w:t>
            </w:r>
          </w:p>
        </w:tc>
        <w:tc>
          <w:tcPr>
            <w:tcW w:w="1870" w:type="pct"/>
            <w:noWrap/>
            <w:vAlign w:val="center"/>
          </w:tcPr>
          <w:p w14:paraId="0841FB9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Euchner/Pilz/KEYENCE</w:t>
            </w:r>
          </w:p>
        </w:tc>
        <w:tc>
          <w:tcPr>
            <w:tcW w:w="1716" w:type="pct"/>
            <w:noWrap/>
            <w:vAlign w:val="center"/>
          </w:tcPr>
          <w:p w14:paraId="01649CAE">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安士能/皮尔兹/基恩士</w:t>
            </w:r>
          </w:p>
        </w:tc>
      </w:tr>
      <w:tr w14:paraId="0CBAB2F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4C6F498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18</w:t>
            </w:r>
          </w:p>
        </w:tc>
        <w:tc>
          <w:tcPr>
            <w:tcW w:w="1105" w:type="pct"/>
            <w:noWrap/>
            <w:vAlign w:val="center"/>
          </w:tcPr>
          <w:p w14:paraId="46D1822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安全光幕</w:t>
            </w:r>
          </w:p>
        </w:tc>
        <w:tc>
          <w:tcPr>
            <w:tcW w:w="1870" w:type="pct"/>
            <w:noWrap/>
            <w:vAlign w:val="center"/>
          </w:tcPr>
          <w:p w14:paraId="4BAAF73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Sick/Pilz/ KEYENCE</w:t>
            </w:r>
          </w:p>
        </w:tc>
        <w:tc>
          <w:tcPr>
            <w:tcW w:w="1716" w:type="pct"/>
            <w:noWrap/>
            <w:vAlign w:val="center"/>
          </w:tcPr>
          <w:p w14:paraId="3983393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西克/皮尔兹/基恩士</w:t>
            </w:r>
          </w:p>
        </w:tc>
      </w:tr>
      <w:tr w14:paraId="595C96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4D9BDC3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19</w:t>
            </w:r>
          </w:p>
        </w:tc>
        <w:tc>
          <w:tcPr>
            <w:tcW w:w="1105" w:type="pct"/>
            <w:noWrap/>
            <w:vAlign w:val="center"/>
          </w:tcPr>
          <w:p w14:paraId="799F0EF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安全区域扫描</w:t>
            </w:r>
          </w:p>
        </w:tc>
        <w:tc>
          <w:tcPr>
            <w:tcW w:w="1870" w:type="pct"/>
            <w:noWrap/>
            <w:vAlign w:val="center"/>
          </w:tcPr>
          <w:p w14:paraId="289AB58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Sick/Pilz/ KEYENCE</w:t>
            </w:r>
          </w:p>
        </w:tc>
        <w:tc>
          <w:tcPr>
            <w:tcW w:w="1716" w:type="pct"/>
            <w:noWrap/>
            <w:vAlign w:val="center"/>
          </w:tcPr>
          <w:p w14:paraId="3CD55AE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西克/皮尔兹/基恩士</w:t>
            </w:r>
          </w:p>
        </w:tc>
      </w:tr>
      <w:tr w14:paraId="35BEF23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547C029">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20</w:t>
            </w:r>
          </w:p>
        </w:tc>
        <w:tc>
          <w:tcPr>
            <w:tcW w:w="1105" w:type="pct"/>
            <w:noWrap/>
            <w:vAlign w:val="center"/>
          </w:tcPr>
          <w:p w14:paraId="577D0DE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无线AP</w:t>
            </w:r>
          </w:p>
        </w:tc>
        <w:tc>
          <w:tcPr>
            <w:tcW w:w="1870" w:type="pct"/>
            <w:noWrap/>
            <w:vAlign w:val="center"/>
          </w:tcPr>
          <w:p w14:paraId="43362A6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Phoenix/Siemens</w:t>
            </w:r>
          </w:p>
        </w:tc>
        <w:tc>
          <w:tcPr>
            <w:tcW w:w="1716" w:type="pct"/>
            <w:noWrap/>
            <w:vAlign w:val="center"/>
          </w:tcPr>
          <w:p w14:paraId="3825A23D">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菲尼克斯/西门子</w:t>
            </w:r>
          </w:p>
        </w:tc>
      </w:tr>
      <w:tr w14:paraId="52B51E8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765A1FB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21</w:t>
            </w:r>
          </w:p>
        </w:tc>
        <w:tc>
          <w:tcPr>
            <w:tcW w:w="1105" w:type="pct"/>
            <w:noWrap/>
            <w:vAlign w:val="center"/>
          </w:tcPr>
          <w:p w14:paraId="2DBC28B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预制线缆/接插件</w:t>
            </w:r>
          </w:p>
        </w:tc>
        <w:tc>
          <w:tcPr>
            <w:tcW w:w="1870" w:type="pct"/>
            <w:noWrap/>
            <w:vAlign w:val="center"/>
          </w:tcPr>
          <w:p w14:paraId="052AEC3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GSEE/P+F/TURCK/ELCO/IFM</w:t>
            </w:r>
          </w:p>
        </w:tc>
        <w:tc>
          <w:tcPr>
            <w:tcW w:w="1716" w:type="pct"/>
            <w:noWrap/>
            <w:vAlign w:val="center"/>
          </w:tcPr>
          <w:p w14:paraId="39A53DB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吉诺/倍加福/图尔克/宜科/易福门</w:t>
            </w:r>
          </w:p>
        </w:tc>
      </w:tr>
      <w:tr w14:paraId="26F4BA0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7AF91E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22</w:t>
            </w:r>
          </w:p>
        </w:tc>
        <w:tc>
          <w:tcPr>
            <w:tcW w:w="1105" w:type="pct"/>
            <w:noWrap/>
            <w:vAlign w:val="center"/>
          </w:tcPr>
          <w:p w14:paraId="7364E33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接线端子</w:t>
            </w:r>
          </w:p>
        </w:tc>
        <w:tc>
          <w:tcPr>
            <w:tcW w:w="1870" w:type="pct"/>
            <w:noWrap/>
            <w:vAlign w:val="center"/>
          </w:tcPr>
          <w:p w14:paraId="7750F83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Phoenix/Weidermuller/WAGO/正基电气</w:t>
            </w:r>
          </w:p>
        </w:tc>
        <w:tc>
          <w:tcPr>
            <w:tcW w:w="1716" w:type="pct"/>
            <w:noWrap/>
            <w:vAlign w:val="center"/>
          </w:tcPr>
          <w:p w14:paraId="1638486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菲尼克斯/魏德米勒/万可/正基电气</w:t>
            </w:r>
          </w:p>
        </w:tc>
      </w:tr>
      <w:tr w14:paraId="5BB9BF1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8D9C54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23</w:t>
            </w:r>
          </w:p>
        </w:tc>
        <w:tc>
          <w:tcPr>
            <w:tcW w:w="1105" w:type="pct"/>
            <w:noWrap/>
            <w:vAlign w:val="center"/>
          </w:tcPr>
          <w:p w14:paraId="32A138C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普通电缆/高柔拖链电缆</w:t>
            </w:r>
          </w:p>
        </w:tc>
        <w:tc>
          <w:tcPr>
            <w:tcW w:w="1870" w:type="pct"/>
            <w:noWrap/>
            <w:vAlign w:val="center"/>
          </w:tcPr>
          <w:p w14:paraId="00D1D4D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宝胜/上上/起帆</w:t>
            </w:r>
          </w:p>
        </w:tc>
        <w:tc>
          <w:tcPr>
            <w:tcW w:w="1716" w:type="pct"/>
            <w:noWrap/>
            <w:vAlign w:val="center"/>
          </w:tcPr>
          <w:p w14:paraId="124515BA">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宝胜/上上/起帆</w:t>
            </w:r>
          </w:p>
        </w:tc>
      </w:tr>
      <w:tr w14:paraId="3DF74E6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5E2B429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24</w:t>
            </w:r>
          </w:p>
        </w:tc>
        <w:tc>
          <w:tcPr>
            <w:tcW w:w="1105" w:type="pct"/>
            <w:noWrap/>
            <w:vAlign w:val="center"/>
          </w:tcPr>
          <w:p w14:paraId="4C0C2AD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Profinet电缆</w:t>
            </w:r>
          </w:p>
        </w:tc>
        <w:tc>
          <w:tcPr>
            <w:tcW w:w="1870" w:type="pct"/>
            <w:noWrap/>
            <w:vAlign w:val="center"/>
          </w:tcPr>
          <w:p w14:paraId="4D69C6B1">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Siemens/菲尼克斯/WAGO</w:t>
            </w:r>
          </w:p>
        </w:tc>
        <w:tc>
          <w:tcPr>
            <w:tcW w:w="1716" w:type="pct"/>
            <w:noWrap/>
            <w:vAlign w:val="center"/>
          </w:tcPr>
          <w:p w14:paraId="719C343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西门子/菲尼克斯/WAGO</w:t>
            </w:r>
          </w:p>
        </w:tc>
      </w:tr>
      <w:tr w14:paraId="3421705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1AB0F3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w:t>
            </w:r>
            <w:r>
              <w:rPr>
                <w:rFonts w:hint="eastAsia" w:asciiTheme="minorEastAsia" w:hAnsiTheme="minorEastAsia" w:eastAsiaTheme="minorEastAsia" w:cstheme="minorEastAsia"/>
                <w:b w:val="0"/>
                <w:bCs w:val="0"/>
                <w:kern w:val="0"/>
                <w:sz w:val="24"/>
                <w:szCs w:val="24"/>
                <w:highlight w:val="none"/>
                <w:lang w:val="en-US" w:eastAsia="zh-CN"/>
              </w:rPr>
              <w:t>5</w:t>
            </w:r>
          </w:p>
        </w:tc>
        <w:tc>
          <w:tcPr>
            <w:tcW w:w="1105" w:type="pct"/>
            <w:noWrap/>
            <w:vAlign w:val="center"/>
          </w:tcPr>
          <w:p w14:paraId="704FB34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控制柜</w:t>
            </w:r>
          </w:p>
        </w:tc>
        <w:tc>
          <w:tcPr>
            <w:tcW w:w="1870" w:type="pct"/>
            <w:noWrap/>
            <w:vAlign w:val="center"/>
          </w:tcPr>
          <w:p w14:paraId="02A14F4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COMBEI/XINLI/ RITTAL</w:t>
            </w:r>
          </w:p>
        </w:tc>
        <w:tc>
          <w:tcPr>
            <w:tcW w:w="1716" w:type="pct"/>
            <w:noWrap/>
            <w:vAlign w:val="center"/>
          </w:tcPr>
          <w:p w14:paraId="7E1FEC5B">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康贝/新利同创/威图</w:t>
            </w:r>
          </w:p>
        </w:tc>
      </w:tr>
      <w:tr w14:paraId="780687E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6D9D497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w:t>
            </w:r>
            <w:r>
              <w:rPr>
                <w:rFonts w:hint="eastAsia" w:asciiTheme="minorEastAsia" w:hAnsiTheme="minorEastAsia" w:eastAsiaTheme="minorEastAsia" w:cstheme="minorEastAsia"/>
                <w:b w:val="0"/>
                <w:bCs w:val="0"/>
                <w:kern w:val="0"/>
                <w:sz w:val="24"/>
                <w:szCs w:val="24"/>
                <w:highlight w:val="none"/>
                <w:lang w:val="en-US" w:eastAsia="zh-CN"/>
              </w:rPr>
              <w:t>6</w:t>
            </w:r>
          </w:p>
        </w:tc>
        <w:tc>
          <w:tcPr>
            <w:tcW w:w="1105" w:type="pct"/>
            <w:noWrap/>
            <w:vAlign w:val="center"/>
          </w:tcPr>
          <w:p w14:paraId="0DE85897">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总线箱/交换机箱</w:t>
            </w:r>
          </w:p>
        </w:tc>
        <w:tc>
          <w:tcPr>
            <w:tcW w:w="1870" w:type="pct"/>
            <w:noWrap/>
            <w:vAlign w:val="center"/>
          </w:tcPr>
          <w:p w14:paraId="528468A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COMBEI/XINLI/ RITTAL</w:t>
            </w:r>
          </w:p>
        </w:tc>
        <w:tc>
          <w:tcPr>
            <w:tcW w:w="1716" w:type="pct"/>
            <w:noWrap/>
            <w:vAlign w:val="center"/>
          </w:tcPr>
          <w:p w14:paraId="1208C515">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康贝/新利同创/威图</w:t>
            </w:r>
          </w:p>
        </w:tc>
      </w:tr>
      <w:tr w14:paraId="2981D64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06E417A4">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2</w:t>
            </w:r>
            <w:r>
              <w:rPr>
                <w:rFonts w:hint="eastAsia" w:asciiTheme="minorEastAsia" w:hAnsiTheme="minorEastAsia" w:eastAsiaTheme="minorEastAsia" w:cstheme="minorEastAsia"/>
                <w:b w:val="0"/>
                <w:bCs w:val="0"/>
                <w:kern w:val="0"/>
                <w:sz w:val="24"/>
                <w:szCs w:val="24"/>
                <w:highlight w:val="none"/>
                <w:lang w:val="en-US" w:eastAsia="zh-CN"/>
              </w:rPr>
              <w:t>7</w:t>
            </w:r>
          </w:p>
        </w:tc>
        <w:tc>
          <w:tcPr>
            <w:tcW w:w="1105" w:type="pct"/>
            <w:noWrap/>
            <w:vAlign w:val="center"/>
          </w:tcPr>
          <w:p w14:paraId="479817A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控制柜空调及照明</w:t>
            </w:r>
          </w:p>
        </w:tc>
        <w:tc>
          <w:tcPr>
            <w:tcW w:w="1870" w:type="pct"/>
            <w:noWrap/>
            <w:vAlign w:val="center"/>
          </w:tcPr>
          <w:p w14:paraId="7A44A7D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雷博/LEIZIG/ RITTAL</w:t>
            </w:r>
          </w:p>
        </w:tc>
        <w:tc>
          <w:tcPr>
            <w:tcW w:w="1716" w:type="pct"/>
            <w:noWrap/>
            <w:vAlign w:val="center"/>
          </w:tcPr>
          <w:p w14:paraId="6643C3F3">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雷博/雷子克/威图</w:t>
            </w:r>
          </w:p>
        </w:tc>
      </w:tr>
      <w:tr w14:paraId="3904324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78FDB47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eastAsia="zh-CN"/>
              </w:rPr>
              <w:t>2</w:t>
            </w:r>
            <w:r>
              <w:rPr>
                <w:rFonts w:hint="eastAsia" w:asciiTheme="minorEastAsia" w:hAnsiTheme="minorEastAsia" w:eastAsiaTheme="minorEastAsia" w:cstheme="minorEastAsia"/>
                <w:b w:val="0"/>
                <w:bCs w:val="0"/>
                <w:kern w:val="0"/>
                <w:sz w:val="24"/>
                <w:szCs w:val="24"/>
                <w:highlight w:val="none"/>
                <w:lang w:val="en-US" w:eastAsia="zh-CN"/>
              </w:rPr>
              <w:t>8</w:t>
            </w:r>
          </w:p>
        </w:tc>
        <w:tc>
          <w:tcPr>
            <w:tcW w:w="1105" w:type="pct"/>
            <w:noWrap/>
            <w:vAlign w:val="center"/>
          </w:tcPr>
          <w:p w14:paraId="6BC538E8">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编码器</w:t>
            </w:r>
          </w:p>
        </w:tc>
        <w:tc>
          <w:tcPr>
            <w:tcW w:w="1870" w:type="pct"/>
            <w:noWrap/>
            <w:vAlign w:val="center"/>
          </w:tcPr>
          <w:p w14:paraId="72855760">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Turck/SICK（西克）/P+F</w:t>
            </w:r>
          </w:p>
        </w:tc>
        <w:tc>
          <w:tcPr>
            <w:tcW w:w="1716" w:type="pct"/>
            <w:noWrap/>
            <w:vAlign w:val="center"/>
          </w:tcPr>
          <w:p w14:paraId="35F3282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Turck/SICK（西克）/倍加福</w:t>
            </w:r>
          </w:p>
        </w:tc>
      </w:tr>
      <w:tr w14:paraId="79DCC587">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7" w:type="pct"/>
            <w:tcBorders>
              <w:left w:val="single" w:color="auto" w:sz="4" w:space="0"/>
            </w:tcBorders>
            <w:vAlign w:val="center"/>
          </w:tcPr>
          <w:p w14:paraId="3B9E8C92">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lang w:val="en-US" w:eastAsia="zh-CN"/>
              </w:rPr>
              <w:t>29</w:t>
            </w:r>
          </w:p>
        </w:tc>
        <w:tc>
          <w:tcPr>
            <w:tcW w:w="1105" w:type="pct"/>
            <w:noWrap/>
            <w:vAlign w:val="center"/>
          </w:tcPr>
          <w:tbl>
            <w:tblPr>
              <w:tblStyle w:val="44"/>
              <w:tblW w:w="240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00"/>
            </w:tblGrid>
            <w:tr w14:paraId="445334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400" w:type="dxa"/>
                  <w:tcBorders>
                    <w:top w:val="nil"/>
                    <w:left w:val="nil"/>
                    <w:bottom w:val="nil"/>
                    <w:right w:val="nil"/>
                  </w:tcBorders>
                  <w:vAlign w:val="center"/>
                </w:tcPr>
                <w:p w14:paraId="7D74663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kern w:val="0"/>
                      <w:sz w:val="24"/>
                      <w:szCs w:val="24"/>
                      <w:highlight w:val="none"/>
                      <w:lang w:bidi="ar"/>
                    </w:rPr>
                    <w:t>以太网交换机</w:t>
                  </w:r>
                </w:p>
              </w:tc>
            </w:tr>
          </w:tbl>
          <w:p w14:paraId="7560A41F">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p>
        </w:tc>
        <w:tc>
          <w:tcPr>
            <w:tcW w:w="1870" w:type="pct"/>
            <w:noWrap/>
            <w:vAlign w:val="center"/>
          </w:tcPr>
          <w:p w14:paraId="59A56986">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AB /Siemens/Phoenix</w:t>
            </w:r>
          </w:p>
        </w:tc>
        <w:tc>
          <w:tcPr>
            <w:tcW w:w="1716" w:type="pct"/>
            <w:noWrap/>
            <w:vAlign w:val="center"/>
          </w:tcPr>
          <w:p w14:paraId="489BFEAC">
            <w:pPr>
              <w:keepNext w:val="0"/>
              <w:keepLines w:val="0"/>
              <w:pageBreakBefore w:val="0"/>
              <w:widowControl/>
              <w:kinsoku/>
              <w:overflowPunct/>
              <w:topLinePunct w:val="0"/>
              <w:bidi w:val="0"/>
              <w:adjustRightInd w:val="0"/>
              <w:snapToGrid w:val="0"/>
              <w:spacing w:afterAutospacing="0" w:line="240" w:lineRule="auto"/>
              <w:jc w:val="center"/>
              <w:rPr>
                <w:rFonts w:hint="eastAsia" w:asciiTheme="minorEastAsia" w:hAnsiTheme="minorEastAsia" w:eastAsiaTheme="minorEastAsia" w:cstheme="minorEastAsia"/>
                <w:b w:val="0"/>
                <w:bCs w:val="0"/>
                <w:kern w:val="0"/>
                <w:sz w:val="24"/>
                <w:szCs w:val="24"/>
                <w:highlight w:val="none"/>
              </w:rPr>
            </w:pPr>
            <w:r>
              <w:rPr>
                <w:rFonts w:hint="eastAsia" w:asciiTheme="minorEastAsia" w:hAnsiTheme="minorEastAsia" w:eastAsiaTheme="minorEastAsia" w:cstheme="minorEastAsia"/>
                <w:b w:val="0"/>
                <w:bCs w:val="0"/>
                <w:kern w:val="0"/>
                <w:sz w:val="24"/>
                <w:szCs w:val="24"/>
                <w:highlight w:val="none"/>
              </w:rPr>
              <w:t>AB /西门子/菲尼克斯</w:t>
            </w:r>
          </w:p>
        </w:tc>
      </w:tr>
    </w:tbl>
    <w:p w14:paraId="4AC951E1">
      <w:pPr>
        <w:pageBreakBefore w:val="0"/>
        <w:kinsoku/>
        <w:topLinePunct w:val="0"/>
        <w:bidi w:val="0"/>
        <w:adjustRightInd w:val="0"/>
        <w:snapToGrid w:val="0"/>
        <w:spacing w:afterAutospacing="0" w:line="360" w:lineRule="auto"/>
        <w:jc w:val="both"/>
        <w:rPr>
          <w:rFonts w:hint="eastAsia" w:ascii="宋体" w:hAnsi="宋体" w:eastAsia="宋体" w:cs="宋体"/>
          <w:b/>
          <w:bCs/>
          <w:sz w:val="30"/>
          <w:szCs w:val="30"/>
        </w:rPr>
      </w:pPr>
    </w:p>
    <w:p w14:paraId="0937101C">
      <w:pPr>
        <w:pageBreakBefore w:val="0"/>
        <w:kinsoku/>
        <w:topLinePunct w:val="0"/>
        <w:bidi w:val="0"/>
        <w:adjustRightInd w:val="0"/>
        <w:snapToGrid w:val="0"/>
        <w:spacing w:afterAutospacing="0" w:line="360" w:lineRule="auto"/>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rPr>
        <w:t>附件</w:t>
      </w:r>
      <w:r>
        <w:rPr>
          <w:rFonts w:hint="eastAsia" w:ascii="宋体" w:hAnsi="宋体" w:eastAsia="宋体" w:cs="宋体"/>
          <w:b/>
          <w:bCs/>
          <w:sz w:val="30"/>
          <w:szCs w:val="30"/>
          <w:lang w:val="en-US" w:eastAsia="zh-CN"/>
        </w:rPr>
        <w:t>十</w:t>
      </w:r>
      <w:bookmarkStart w:id="406" w:name="OLE_LINK42"/>
      <w:r>
        <w:rPr>
          <w:rFonts w:hint="eastAsia" w:ascii="宋体" w:hAnsi="宋体" w:cs="宋体"/>
          <w:b/>
          <w:bCs/>
          <w:sz w:val="30"/>
          <w:szCs w:val="30"/>
          <w:lang w:val="en-US" w:eastAsia="zh-CN"/>
        </w:rPr>
        <w:t>、</w:t>
      </w:r>
      <w:bookmarkStart w:id="407" w:name="OLE_LINK45"/>
      <w:r>
        <w:rPr>
          <w:rFonts w:hint="eastAsia" w:ascii="宋体" w:hAnsi="宋体" w:eastAsia="宋体" w:cs="宋体"/>
          <w:b/>
          <w:bCs/>
          <w:sz w:val="30"/>
          <w:szCs w:val="30"/>
          <w:lang w:val="en-US" w:eastAsia="zh-CN"/>
        </w:rPr>
        <w:t>车间工程界面划分</w:t>
      </w:r>
    </w:p>
    <w:bookmarkEnd w:id="406"/>
    <w:bookmarkEnd w:id="407"/>
    <w:p w14:paraId="5F5F2984">
      <w:pPr>
        <w:keepNext w:val="0"/>
        <w:keepLines w:val="0"/>
        <w:pageBreakBefore w:val="0"/>
        <w:widowControl w:val="0"/>
        <w:numPr>
          <w:ilvl w:val="0"/>
          <w:numId w:val="0"/>
        </w:numPr>
        <w:kinsoku/>
        <w:overflowPunct/>
        <w:topLinePunct w:val="0"/>
        <w:bidi w:val="0"/>
        <w:adjustRightInd w:val="0"/>
        <w:snapToGrid w:val="0"/>
        <w:spacing w:afterAutospacing="0" w:line="360" w:lineRule="auto"/>
        <w:rPr>
          <w:rFonts w:hint="default"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1.分工界面</w:t>
      </w:r>
    </w:p>
    <w:p w14:paraId="5288A5E5">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招标人</w:t>
      </w:r>
      <w:r>
        <w:rPr>
          <w:rFonts w:ascii="Times New Roman" w:hAnsi="Times New Roman" w:eastAsia="宋体" w:cs="Times New Roman"/>
          <w:sz w:val="24"/>
        </w:rPr>
        <w:t>负责提供</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施工期间的临时用水、用气、用电。</w:t>
      </w:r>
    </w:p>
    <w:p w14:paraId="1E3C8609">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负责提供设备基础图纸（包含预埋件图纸），</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负责设备基础的施工，需要多次</w:t>
      </w:r>
      <w:r>
        <w:rPr>
          <w:rFonts w:hint="eastAsia" w:ascii="Times New Roman" w:hAnsi="Times New Roman" w:eastAsia="宋体" w:cs="Times New Roman"/>
          <w:sz w:val="24"/>
          <w:lang w:eastAsia="zh-CN"/>
        </w:rPr>
        <w:t>浇筑</w:t>
      </w:r>
      <w:r>
        <w:rPr>
          <w:rFonts w:ascii="Times New Roman" w:hAnsi="Times New Roman" w:eastAsia="宋体" w:cs="Times New Roman"/>
          <w:sz w:val="24"/>
        </w:rPr>
        <w:t>的</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须在图纸中明确标定，双方共同协商施工方式、时间节点、配合事项等。因</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设计失误造成基础二次开挖、预埋、回填等情况，所有相关施工工作及费用均</w:t>
      </w:r>
      <w:r>
        <w:rPr>
          <w:rFonts w:hint="eastAsia" w:ascii="Times New Roman" w:hAnsi="Times New Roman" w:eastAsia="宋体" w:cs="Times New Roman"/>
          <w:sz w:val="24"/>
          <w:lang w:eastAsia="zh-CN"/>
        </w:rPr>
        <w:t>由投标人</w:t>
      </w:r>
      <w:r>
        <w:rPr>
          <w:rFonts w:ascii="Times New Roman" w:hAnsi="Times New Roman" w:eastAsia="宋体" w:cs="Times New Roman"/>
          <w:sz w:val="24"/>
        </w:rPr>
        <w:t>负责。</w:t>
      </w:r>
    </w:p>
    <w:p w14:paraId="04722DC5">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负责设备的包装、运输、装卸、安装、调试及相关全部费用。</w:t>
      </w:r>
    </w:p>
    <w:p w14:paraId="045124EA">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设备外观颜色由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在项目确定后，提供设备油漆颜色方案，由</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选择，并签字确认。</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按确认的油漆颜色方案施工。</w:t>
      </w:r>
    </w:p>
    <w:p w14:paraId="6B461AAE">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设备的安装、调试过程中现场施工场所每天的卫生打扫清理并保持清洁均由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w:t>
      </w:r>
    </w:p>
    <w:p w14:paraId="3C77A3D1">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所有设备在运输、安装的起重搬运设备均由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w:t>
      </w:r>
    </w:p>
    <w:p w14:paraId="06EA51DF">
      <w:pPr>
        <w:keepNext w:val="0"/>
        <w:keepLines w:val="0"/>
        <w:pageBreakBefore w:val="0"/>
        <w:widowControl w:val="0"/>
        <w:numPr>
          <w:ilvl w:val="0"/>
          <w:numId w:val="701"/>
        </w:numPr>
        <w:kinsoku/>
        <w:wordWrap/>
        <w:overflowPunct/>
        <w:topLinePunct w:val="0"/>
        <w:autoSpaceDE/>
        <w:autoSpaceDN/>
        <w:bidi w:val="0"/>
        <w:adjustRightInd w:val="0"/>
        <w:snapToGrid w:val="0"/>
        <w:spacing w:afterAutospacing="0" w:line="360" w:lineRule="auto"/>
        <w:ind w:left="0" w:leftChars="0" w:firstLine="0" w:firstLineChars="0"/>
        <w:textAlignment w:val="auto"/>
        <w:rPr>
          <w:rFonts w:ascii="Times New Roman" w:hAnsi="Times New Roman" w:eastAsia="宋体" w:cs="Times New Roman"/>
          <w:b w:val="0"/>
          <w:sz w:val="24"/>
        </w:rPr>
      </w:pPr>
      <w:r>
        <w:rPr>
          <w:rFonts w:ascii="Times New Roman" w:hAnsi="Times New Roman" w:eastAsia="宋体" w:cs="Times New Roman"/>
          <w:sz w:val="24"/>
        </w:rPr>
        <w:t>在整个项目过程中，</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人员全部由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负责管理并遵守</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的相关管理制度，</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人员的安全管理全部由</w:t>
      </w:r>
      <w:r>
        <w:rPr>
          <w:rFonts w:hint="eastAsia" w:ascii="Times New Roman" w:hAnsi="Times New Roman" w:eastAsia="宋体" w:cs="Times New Roman"/>
          <w:sz w:val="24"/>
          <w:lang w:eastAsia="zh-CN"/>
        </w:rPr>
        <w:t>投标人</w:t>
      </w:r>
      <w:r>
        <w:rPr>
          <w:rFonts w:ascii="Times New Roman" w:hAnsi="Times New Roman" w:eastAsia="宋体" w:cs="Times New Roman"/>
          <w:sz w:val="24"/>
        </w:rPr>
        <w:t>负责，必须符合</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安全要求，并服从</w:t>
      </w:r>
      <w:r>
        <w:rPr>
          <w:rFonts w:hint="eastAsia" w:ascii="Times New Roman" w:hAnsi="Times New Roman" w:eastAsia="宋体" w:cs="Times New Roman"/>
          <w:sz w:val="24"/>
          <w:lang w:eastAsia="zh-CN"/>
        </w:rPr>
        <w:t>招标人</w:t>
      </w:r>
      <w:r>
        <w:rPr>
          <w:rFonts w:ascii="Times New Roman" w:hAnsi="Times New Roman" w:eastAsia="宋体" w:cs="Times New Roman"/>
          <w:sz w:val="24"/>
        </w:rPr>
        <w:t>管理。</w:t>
      </w:r>
    </w:p>
    <w:p w14:paraId="37EB203F">
      <w:pPr>
        <w:pageBreakBefore w:val="0"/>
        <w:kinsoku/>
        <w:topLinePunct w:val="0"/>
        <w:bidi w:val="0"/>
        <w:adjustRightInd w:val="0"/>
        <w:snapToGrid w:val="0"/>
        <w:spacing w:afterAutospacing="0" w:line="360" w:lineRule="auto"/>
        <w:jc w:val="both"/>
        <w:rPr>
          <w:rFonts w:hint="eastAsia" w:ascii="宋体" w:hAnsi="宋体" w:eastAsia="宋体" w:cs="宋体"/>
          <w:b/>
          <w:bCs/>
          <w:sz w:val="30"/>
          <w:szCs w:val="30"/>
          <w:lang w:val="en-US" w:eastAsia="zh-CN"/>
        </w:rPr>
      </w:pP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96"/>
        <w:gridCol w:w="936"/>
        <w:gridCol w:w="7056"/>
        <w:gridCol w:w="479"/>
        <w:gridCol w:w="487"/>
      </w:tblGrid>
      <w:tr w14:paraId="2051C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7" w:hRule="atLeast"/>
          <w:jc w:val="center"/>
        </w:trPr>
        <w:tc>
          <w:tcPr>
            <w:tcW w:w="5000" w:type="pct"/>
            <w:gridSpan w:val="5"/>
            <w:shd w:val="clear" w:color="auto" w:fill="auto"/>
            <w:vAlign w:val="center"/>
          </w:tcPr>
          <w:p w14:paraId="1E89D0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bookmarkStart w:id="408" w:name="OLE_LINK39"/>
            <w:r>
              <w:rPr>
                <w:rFonts w:hint="eastAsia" w:ascii="宋体" w:hAnsi="宋体" w:eastAsia="宋体" w:cs="宋体"/>
                <w:b w:val="0"/>
                <w:bCs w:val="0"/>
                <w:i w:val="0"/>
                <w:iCs w:val="0"/>
                <w:color w:val="000000"/>
                <w:kern w:val="0"/>
                <w:sz w:val="24"/>
                <w:szCs w:val="24"/>
                <w:u w:val="none"/>
                <w:lang w:val="en-US" w:eastAsia="zh-CN" w:bidi="ar"/>
              </w:rPr>
              <w:t>南宁智诚工厂项目-涂装车间工程界面划分</w:t>
            </w:r>
            <w:bookmarkEnd w:id="408"/>
          </w:p>
        </w:tc>
      </w:tr>
      <w:tr w14:paraId="4AC57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3" w:hRule="atLeast"/>
          <w:jc w:val="center"/>
        </w:trPr>
        <w:tc>
          <w:tcPr>
            <w:tcW w:w="342" w:type="pct"/>
            <w:shd w:val="clear" w:color="auto" w:fill="auto"/>
            <w:noWrap/>
            <w:vAlign w:val="center"/>
          </w:tcPr>
          <w:p w14:paraId="77E461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序号</w:t>
            </w:r>
          </w:p>
        </w:tc>
        <w:tc>
          <w:tcPr>
            <w:tcW w:w="455" w:type="pct"/>
            <w:shd w:val="clear" w:color="auto" w:fill="auto"/>
            <w:noWrap/>
            <w:vAlign w:val="center"/>
          </w:tcPr>
          <w:p w14:paraId="70744A5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项目</w:t>
            </w:r>
          </w:p>
        </w:tc>
        <w:tc>
          <w:tcPr>
            <w:tcW w:w="3309" w:type="pct"/>
            <w:shd w:val="clear" w:color="auto" w:fill="FFFFFF"/>
            <w:noWrap/>
            <w:vAlign w:val="center"/>
          </w:tcPr>
          <w:p w14:paraId="41C902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内容</w:t>
            </w:r>
          </w:p>
        </w:tc>
        <w:tc>
          <w:tcPr>
            <w:tcW w:w="445" w:type="pct"/>
            <w:shd w:val="clear" w:color="auto" w:fill="auto"/>
            <w:vAlign w:val="center"/>
          </w:tcPr>
          <w:p w14:paraId="7271106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投标人</w:t>
            </w:r>
          </w:p>
        </w:tc>
        <w:tc>
          <w:tcPr>
            <w:tcW w:w="446" w:type="pct"/>
            <w:shd w:val="clear" w:color="auto" w:fill="auto"/>
            <w:vAlign w:val="center"/>
          </w:tcPr>
          <w:p w14:paraId="69CCA2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招标人</w:t>
            </w:r>
          </w:p>
        </w:tc>
      </w:tr>
      <w:tr w14:paraId="647A3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27867E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w:t>
            </w:r>
          </w:p>
        </w:tc>
        <w:tc>
          <w:tcPr>
            <w:tcW w:w="455" w:type="pct"/>
            <w:shd w:val="clear" w:color="auto" w:fill="auto"/>
            <w:vAlign w:val="center"/>
          </w:tcPr>
          <w:p w14:paraId="29C2888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设计、施工</w:t>
            </w:r>
          </w:p>
        </w:tc>
        <w:tc>
          <w:tcPr>
            <w:tcW w:w="3309" w:type="pct"/>
            <w:shd w:val="clear" w:color="auto" w:fill="FFFFFF"/>
            <w:noWrap/>
            <w:vAlign w:val="center"/>
          </w:tcPr>
          <w:p w14:paraId="042B151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5" w:type="pct"/>
            <w:shd w:val="clear" w:color="auto" w:fill="auto"/>
            <w:noWrap/>
            <w:vAlign w:val="center"/>
          </w:tcPr>
          <w:p w14:paraId="485C68F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0246D54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3268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1E1B66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w:t>
            </w:r>
          </w:p>
        </w:tc>
        <w:tc>
          <w:tcPr>
            <w:tcW w:w="455" w:type="pct"/>
            <w:vMerge w:val="restart"/>
            <w:shd w:val="clear" w:color="auto" w:fill="auto"/>
            <w:vAlign w:val="center"/>
          </w:tcPr>
          <w:p w14:paraId="249041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建筑、结构</w:t>
            </w:r>
          </w:p>
        </w:tc>
        <w:tc>
          <w:tcPr>
            <w:tcW w:w="3309" w:type="pct"/>
            <w:shd w:val="clear" w:color="auto" w:fill="FFFFFF"/>
            <w:noWrap/>
            <w:vAlign w:val="center"/>
          </w:tcPr>
          <w:p w14:paraId="0720E6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设备基础及特构土建工程</w:t>
            </w:r>
          </w:p>
        </w:tc>
        <w:tc>
          <w:tcPr>
            <w:tcW w:w="445" w:type="pct"/>
            <w:shd w:val="clear" w:color="auto" w:fill="auto"/>
            <w:noWrap/>
            <w:vAlign w:val="center"/>
          </w:tcPr>
          <w:p w14:paraId="6379220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6FB76A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1E60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2629A6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w:t>
            </w:r>
          </w:p>
        </w:tc>
        <w:tc>
          <w:tcPr>
            <w:tcW w:w="455" w:type="pct"/>
            <w:vMerge w:val="continue"/>
            <w:shd w:val="clear" w:color="auto" w:fill="auto"/>
            <w:vAlign w:val="center"/>
          </w:tcPr>
          <w:p w14:paraId="155CD9F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36B54F4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工艺设备防撞柱、围栏</w:t>
            </w:r>
          </w:p>
        </w:tc>
        <w:tc>
          <w:tcPr>
            <w:tcW w:w="445" w:type="pct"/>
            <w:shd w:val="clear" w:color="auto" w:fill="auto"/>
            <w:noWrap/>
            <w:vAlign w:val="center"/>
          </w:tcPr>
          <w:p w14:paraId="28DF857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09D994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4C4D3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342" w:type="pct"/>
            <w:shd w:val="clear" w:color="auto" w:fill="auto"/>
            <w:noWrap/>
            <w:vAlign w:val="center"/>
          </w:tcPr>
          <w:p w14:paraId="2F3C3D8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w:t>
            </w:r>
          </w:p>
        </w:tc>
        <w:tc>
          <w:tcPr>
            <w:tcW w:w="455" w:type="pct"/>
            <w:vMerge w:val="continue"/>
            <w:shd w:val="clear" w:color="auto" w:fill="auto"/>
            <w:vAlign w:val="center"/>
          </w:tcPr>
          <w:p w14:paraId="0611AB9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219267F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车间其他（除工艺设备）防撞柱、防撞栏、地坑围护（非工艺设备类防撞柱、围栏）</w:t>
            </w:r>
          </w:p>
        </w:tc>
        <w:tc>
          <w:tcPr>
            <w:tcW w:w="445" w:type="pct"/>
            <w:shd w:val="clear" w:color="auto" w:fill="auto"/>
            <w:noWrap/>
            <w:vAlign w:val="center"/>
          </w:tcPr>
          <w:p w14:paraId="1A25AE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FFFFFF"/>
            <w:noWrap/>
            <w:vAlign w:val="center"/>
          </w:tcPr>
          <w:p w14:paraId="3F38C9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4025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68B5B2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5</w:t>
            </w:r>
          </w:p>
        </w:tc>
        <w:tc>
          <w:tcPr>
            <w:tcW w:w="455" w:type="pct"/>
            <w:vMerge w:val="continue"/>
            <w:shd w:val="clear" w:color="auto" w:fill="auto"/>
            <w:vAlign w:val="center"/>
          </w:tcPr>
          <w:p w14:paraId="7B367C0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1551D30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工艺设备钢平台及其栏杆、钢梯的油漆</w:t>
            </w:r>
          </w:p>
        </w:tc>
        <w:tc>
          <w:tcPr>
            <w:tcW w:w="445" w:type="pct"/>
            <w:shd w:val="clear" w:color="auto" w:fill="auto"/>
            <w:noWrap/>
            <w:vAlign w:val="center"/>
          </w:tcPr>
          <w:p w14:paraId="634E241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2591A6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3CDA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377757A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6</w:t>
            </w:r>
          </w:p>
        </w:tc>
        <w:tc>
          <w:tcPr>
            <w:tcW w:w="455" w:type="pct"/>
            <w:vMerge w:val="continue"/>
            <w:shd w:val="clear" w:color="auto" w:fill="auto"/>
            <w:vAlign w:val="center"/>
          </w:tcPr>
          <w:p w14:paraId="7BA4B6F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6AAFD0B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与厂方结构相关的电柜（含工艺）平台、行车平台</w:t>
            </w:r>
          </w:p>
        </w:tc>
        <w:tc>
          <w:tcPr>
            <w:tcW w:w="445" w:type="pct"/>
            <w:shd w:val="clear" w:color="auto" w:fill="auto"/>
            <w:noWrap/>
            <w:vAlign w:val="center"/>
          </w:tcPr>
          <w:p w14:paraId="0EE54D6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4A03EBE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60C6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5DF097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7</w:t>
            </w:r>
          </w:p>
        </w:tc>
        <w:tc>
          <w:tcPr>
            <w:tcW w:w="455" w:type="pct"/>
            <w:vMerge w:val="continue"/>
            <w:shd w:val="clear" w:color="auto" w:fill="auto"/>
            <w:vAlign w:val="center"/>
          </w:tcPr>
          <w:p w14:paraId="2CAF460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3106D94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工艺设备的油漆</w:t>
            </w:r>
          </w:p>
        </w:tc>
        <w:tc>
          <w:tcPr>
            <w:tcW w:w="445" w:type="pct"/>
            <w:shd w:val="clear" w:color="auto" w:fill="auto"/>
            <w:noWrap/>
            <w:vAlign w:val="center"/>
          </w:tcPr>
          <w:p w14:paraId="509DE87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268FEDC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2ECA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1696ED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8</w:t>
            </w:r>
          </w:p>
        </w:tc>
        <w:tc>
          <w:tcPr>
            <w:tcW w:w="455" w:type="pct"/>
            <w:vMerge w:val="continue"/>
            <w:shd w:val="clear" w:color="auto" w:fill="auto"/>
            <w:vAlign w:val="center"/>
          </w:tcPr>
          <w:p w14:paraId="53A8F27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4039CA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车间内的工艺吊架及工艺输送设备</w:t>
            </w:r>
          </w:p>
        </w:tc>
        <w:tc>
          <w:tcPr>
            <w:tcW w:w="445" w:type="pct"/>
            <w:shd w:val="clear" w:color="auto" w:fill="auto"/>
            <w:noWrap/>
            <w:vAlign w:val="center"/>
          </w:tcPr>
          <w:p w14:paraId="423146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3879DB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75A88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33C35F5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9</w:t>
            </w:r>
          </w:p>
        </w:tc>
        <w:tc>
          <w:tcPr>
            <w:tcW w:w="455" w:type="pct"/>
            <w:vMerge w:val="continue"/>
            <w:shd w:val="clear" w:color="auto" w:fill="auto"/>
            <w:vAlign w:val="center"/>
          </w:tcPr>
          <w:p w14:paraId="245306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1CACF5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工艺设备洁净间(含墙地面及门窗)</w:t>
            </w:r>
          </w:p>
        </w:tc>
        <w:tc>
          <w:tcPr>
            <w:tcW w:w="445" w:type="pct"/>
            <w:shd w:val="clear" w:color="auto" w:fill="auto"/>
            <w:noWrap/>
            <w:vAlign w:val="center"/>
          </w:tcPr>
          <w:p w14:paraId="6DD81C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05FDDEA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2376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1EC3902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10</w:t>
            </w:r>
          </w:p>
        </w:tc>
        <w:tc>
          <w:tcPr>
            <w:tcW w:w="455" w:type="pct"/>
            <w:vMerge w:val="continue"/>
            <w:shd w:val="clear" w:color="auto" w:fill="auto"/>
            <w:vAlign w:val="center"/>
          </w:tcPr>
          <w:p w14:paraId="2748292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auto"/>
            <w:vAlign w:val="center"/>
          </w:tcPr>
          <w:p w14:paraId="7B4A9C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设备预埋板</w:t>
            </w:r>
          </w:p>
        </w:tc>
        <w:tc>
          <w:tcPr>
            <w:tcW w:w="445" w:type="pct"/>
            <w:shd w:val="clear" w:color="auto" w:fill="auto"/>
            <w:noWrap/>
            <w:vAlign w:val="center"/>
          </w:tcPr>
          <w:p w14:paraId="56C663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435D4F6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54E7D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342" w:type="pct"/>
            <w:shd w:val="clear" w:color="auto" w:fill="auto"/>
            <w:noWrap/>
            <w:vAlign w:val="center"/>
          </w:tcPr>
          <w:p w14:paraId="1488746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11</w:t>
            </w:r>
          </w:p>
        </w:tc>
        <w:tc>
          <w:tcPr>
            <w:tcW w:w="455" w:type="pct"/>
            <w:vMerge w:val="continue"/>
            <w:shd w:val="clear" w:color="auto" w:fill="auto"/>
            <w:vAlign w:val="center"/>
          </w:tcPr>
          <w:p w14:paraId="43E23B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auto"/>
            <w:vAlign w:val="center"/>
          </w:tcPr>
          <w:p w14:paraId="6B35CA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建筑物墙面、门窗、屋面采光窗\排烟窗、屋面的开洞、修补、加强（管道、管路等）</w:t>
            </w:r>
          </w:p>
        </w:tc>
        <w:tc>
          <w:tcPr>
            <w:tcW w:w="445" w:type="pct"/>
            <w:shd w:val="clear" w:color="auto" w:fill="auto"/>
            <w:noWrap/>
            <w:vAlign w:val="center"/>
          </w:tcPr>
          <w:p w14:paraId="261D185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1963DB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4C50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3F54AB0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12</w:t>
            </w:r>
          </w:p>
        </w:tc>
        <w:tc>
          <w:tcPr>
            <w:tcW w:w="455" w:type="pct"/>
            <w:vMerge w:val="continue"/>
            <w:shd w:val="clear" w:color="auto" w:fill="auto"/>
            <w:vAlign w:val="center"/>
          </w:tcPr>
          <w:p w14:paraId="535F35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7E8E3B8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屋面风管拉索点</w:t>
            </w:r>
          </w:p>
        </w:tc>
        <w:tc>
          <w:tcPr>
            <w:tcW w:w="445" w:type="pct"/>
            <w:shd w:val="clear" w:color="auto" w:fill="auto"/>
            <w:noWrap/>
            <w:vAlign w:val="center"/>
          </w:tcPr>
          <w:p w14:paraId="053AE1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7A96F99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3FDDE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7A24872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13</w:t>
            </w:r>
          </w:p>
        </w:tc>
        <w:tc>
          <w:tcPr>
            <w:tcW w:w="455" w:type="pct"/>
            <w:vMerge w:val="continue"/>
            <w:shd w:val="clear" w:color="auto" w:fill="auto"/>
            <w:vAlign w:val="center"/>
          </w:tcPr>
          <w:p w14:paraId="1A0CCBD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4116F9D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地坪垫层及饰面层</w:t>
            </w:r>
          </w:p>
        </w:tc>
        <w:tc>
          <w:tcPr>
            <w:tcW w:w="445" w:type="pct"/>
            <w:shd w:val="clear" w:color="auto" w:fill="auto"/>
            <w:noWrap/>
            <w:vAlign w:val="center"/>
          </w:tcPr>
          <w:p w14:paraId="75E245B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73C45E7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0B5A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342" w:type="pct"/>
            <w:shd w:val="clear" w:color="auto" w:fill="auto"/>
            <w:noWrap/>
            <w:vAlign w:val="center"/>
          </w:tcPr>
          <w:p w14:paraId="61B5BCB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14</w:t>
            </w:r>
          </w:p>
        </w:tc>
        <w:tc>
          <w:tcPr>
            <w:tcW w:w="455" w:type="pct"/>
            <w:vMerge w:val="continue"/>
            <w:shd w:val="clear" w:color="auto" w:fill="auto"/>
            <w:vAlign w:val="center"/>
          </w:tcPr>
          <w:p w14:paraId="796A526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0F1E0A2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油漆车间地下排烟道及防腐</w:t>
            </w:r>
          </w:p>
        </w:tc>
        <w:tc>
          <w:tcPr>
            <w:tcW w:w="445" w:type="pct"/>
            <w:shd w:val="clear" w:color="auto" w:fill="auto"/>
            <w:noWrap/>
            <w:vAlign w:val="center"/>
          </w:tcPr>
          <w:p w14:paraId="44DB95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43FBA3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7BF8C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3B80A4E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15</w:t>
            </w:r>
          </w:p>
        </w:tc>
        <w:tc>
          <w:tcPr>
            <w:tcW w:w="455" w:type="pct"/>
            <w:vMerge w:val="restart"/>
            <w:shd w:val="clear" w:color="auto" w:fill="auto"/>
            <w:noWrap/>
            <w:vAlign w:val="center"/>
          </w:tcPr>
          <w:p w14:paraId="7337E7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给排水</w:t>
            </w:r>
          </w:p>
        </w:tc>
        <w:tc>
          <w:tcPr>
            <w:tcW w:w="3309" w:type="pct"/>
            <w:shd w:val="clear" w:color="auto" w:fill="FFFFFF"/>
            <w:vAlign w:val="center"/>
          </w:tcPr>
          <w:p w14:paraId="4E7522F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设备水消防</w:t>
            </w:r>
          </w:p>
        </w:tc>
        <w:tc>
          <w:tcPr>
            <w:tcW w:w="445" w:type="pct"/>
            <w:shd w:val="clear" w:color="auto" w:fill="auto"/>
            <w:noWrap/>
            <w:vAlign w:val="center"/>
          </w:tcPr>
          <w:p w14:paraId="090633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31E087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794D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56058C4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16</w:t>
            </w:r>
          </w:p>
        </w:tc>
        <w:tc>
          <w:tcPr>
            <w:tcW w:w="455" w:type="pct"/>
            <w:vMerge w:val="continue"/>
            <w:shd w:val="clear" w:color="auto" w:fill="auto"/>
            <w:noWrap/>
            <w:vAlign w:val="center"/>
          </w:tcPr>
          <w:p w14:paraId="66811B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5341372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纯水站及纯水管路</w:t>
            </w:r>
          </w:p>
        </w:tc>
        <w:tc>
          <w:tcPr>
            <w:tcW w:w="445" w:type="pct"/>
            <w:shd w:val="clear" w:color="auto" w:fill="auto"/>
            <w:noWrap/>
            <w:vAlign w:val="center"/>
          </w:tcPr>
          <w:p w14:paraId="27C3469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026DF7F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7526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3321055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17</w:t>
            </w:r>
          </w:p>
        </w:tc>
        <w:tc>
          <w:tcPr>
            <w:tcW w:w="455" w:type="pct"/>
            <w:vMerge w:val="continue"/>
            <w:shd w:val="clear" w:color="auto" w:fill="auto"/>
            <w:noWrap/>
            <w:vAlign w:val="center"/>
          </w:tcPr>
          <w:p w14:paraId="28AB201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030E7D3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制冷站循环水系统</w:t>
            </w:r>
          </w:p>
        </w:tc>
        <w:tc>
          <w:tcPr>
            <w:tcW w:w="445" w:type="pct"/>
            <w:shd w:val="clear" w:color="auto" w:fill="auto"/>
            <w:noWrap/>
            <w:vAlign w:val="center"/>
          </w:tcPr>
          <w:p w14:paraId="3934D9A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78B2893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71D42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342" w:type="pct"/>
            <w:shd w:val="clear" w:color="auto" w:fill="auto"/>
            <w:noWrap/>
            <w:vAlign w:val="center"/>
          </w:tcPr>
          <w:p w14:paraId="4CBCEC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18</w:t>
            </w:r>
          </w:p>
        </w:tc>
        <w:tc>
          <w:tcPr>
            <w:tcW w:w="455" w:type="pct"/>
            <w:vMerge w:val="continue"/>
            <w:shd w:val="clear" w:color="auto" w:fill="auto"/>
            <w:noWrap/>
            <w:vAlign w:val="center"/>
          </w:tcPr>
          <w:p w14:paraId="724FA7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5D27BB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设备内部生产给水系统（入户阀门组后端车间全部管网）</w:t>
            </w:r>
          </w:p>
        </w:tc>
        <w:tc>
          <w:tcPr>
            <w:tcW w:w="445" w:type="pct"/>
            <w:shd w:val="clear" w:color="auto" w:fill="auto"/>
            <w:noWrap/>
            <w:vAlign w:val="center"/>
          </w:tcPr>
          <w:p w14:paraId="2CA1AEF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3C94B2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55A91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3E8A224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19</w:t>
            </w:r>
          </w:p>
        </w:tc>
        <w:tc>
          <w:tcPr>
            <w:tcW w:w="455" w:type="pct"/>
            <w:vMerge w:val="continue"/>
            <w:shd w:val="clear" w:color="auto" w:fill="auto"/>
            <w:noWrap/>
            <w:vAlign w:val="center"/>
          </w:tcPr>
          <w:p w14:paraId="2F53FB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4B2A5A5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生产重力排水系统，排水点至地面预留管道（工艺负责对接）</w:t>
            </w:r>
          </w:p>
        </w:tc>
        <w:tc>
          <w:tcPr>
            <w:tcW w:w="445" w:type="pct"/>
            <w:shd w:val="clear" w:color="auto" w:fill="auto"/>
            <w:noWrap/>
            <w:vAlign w:val="center"/>
          </w:tcPr>
          <w:p w14:paraId="388F98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78EC8D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432D9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128D85C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20</w:t>
            </w:r>
          </w:p>
        </w:tc>
        <w:tc>
          <w:tcPr>
            <w:tcW w:w="455" w:type="pct"/>
            <w:vMerge w:val="continue"/>
            <w:shd w:val="clear" w:color="auto" w:fill="auto"/>
            <w:noWrap/>
            <w:vAlign w:val="center"/>
          </w:tcPr>
          <w:p w14:paraId="3303AF6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1162B1A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纯水管道至PDI空调阀组附近</w:t>
            </w:r>
          </w:p>
        </w:tc>
        <w:tc>
          <w:tcPr>
            <w:tcW w:w="445" w:type="pct"/>
            <w:shd w:val="clear" w:color="auto" w:fill="FFFFFF"/>
            <w:noWrap/>
            <w:vAlign w:val="center"/>
          </w:tcPr>
          <w:p w14:paraId="199DEE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1583EC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0539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563A9F0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21</w:t>
            </w:r>
          </w:p>
        </w:tc>
        <w:tc>
          <w:tcPr>
            <w:tcW w:w="455" w:type="pct"/>
            <w:vMerge w:val="continue"/>
            <w:shd w:val="clear" w:color="auto" w:fill="auto"/>
            <w:noWrap/>
            <w:vAlign w:val="center"/>
          </w:tcPr>
          <w:p w14:paraId="25FD2AA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3C40C7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厂房内部排水坑排水</w:t>
            </w:r>
          </w:p>
        </w:tc>
        <w:tc>
          <w:tcPr>
            <w:tcW w:w="445" w:type="pct"/>
            <w:shd w:val="clear" w:color="auto" w:fill="auto"/>
            <w:noWrap/>
            <w:vAlign w:val="center"/>
          </w:tcPr>
          <w:p w14:paraId="010E09B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25E10B0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6858B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8" w:hRule="atLeast"/>
          <w:jc w:val="center"/>
        </w:trPr>
        <w:tc>
          <w:tcPr>
            <w:tcW w:w="342" w:type="pct"/>
            <w:shd w:val="clear" w:color="auto" w:fill="auto"/>
            <w:noWrap/>
            <w:vAlign w:val="center"/>
          </w:tcPr>
          <w:p w14:paraId="1F46FE6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22</w:t>
            </w:r>
          </w:p>
        </w:tc>
        <w:tc>
          <w:tcPr>
            <w:tcW w:w="455" w:type="pct"/>
            <w:vMerge w:val="restart"/>
            <w:shd w:val="clear" w:color="auto" w:fill="auto"/>
            <w:noWrap/>
            <w:vAlign w:val="center"/>
          </w:tcPr>
          <w:p w14:paraId="77B9487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暖通</w:t>
            </w:r>
          </w:p>
        </w:tc>
        <w:tc>
          <w:tcPr>
            <w:tcW w:w="3309" w:type="pct"/>
            <w:shd w:val="clear" w:color="auto" w:fill="FFFFFF"/>
            <w:vAlign w:val="center"/>
          </w:tcPr>
          <w:p w14:paraId="3D942AF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工艺辅房通风、空调（含调漆间、滑橇清洗间、化验间、夹具清洗间、干式文丘里间）</w:t>
            </w:r>
          </w:p>
        </w:tc>
        <w:tc>
          <w:tcPr>
            <w:tcW w:w="445" w:type="pct"/>
            <w:shd w:val="clear" w:color="auto" w:fill="auto"/>
            <w:noWrap/>
            <w:vAlign w:val="center"/>
          </w:tcPr>
          <w:p w14:paraId="7DD563E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0197285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271D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2" w:hRule="atLeast"/>
          <w:jc w:val="center"/>
        </w:trPr>
        <w:tc>
          <w:tcPr>
            <w:tcW w:w="342" w:type="pct"/>
            <w:shd w:val="clear" w:color="auto" w:fill="auto"/>
            <w:noWrap/>
            <w:vAlign w:val="center"/>
          </w:tcPr>
          <w:p w14:paraId="07E5C5E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23</w:t>
            </w:r>
          </w:p>
        </w:tc>
        <w:tc>
          <w:tcPr>
            <w:tcW w:w="455" w:type="pct"/>
            <w:vMerge w:val="continue"/>
            <w:shd w:val="clear" w:color="auto" w:fill="auto"/>
            <w:noWrap/>
            <w:vAlign w:val="center"/>
          </w:tcPr>
          <w:p w14:paraId="23EB42C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76763F0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公用辅房通风、空调（设备维修间、辅料间等其他辅房）</w:t>
            </w:r>
          </w:p>
        </w:tc>
        <w:tc>
          <w:tcPr>
            <w:tcW w:w="445" w:type="pct"/>
            <w:shd w:val="clear" w:color="auto" w:fill="auto"/>
            <w:noWrap/>
            <w:vAlign w:val="center"/>
          </w:tcPr>
          <w:p w14:paraId="1AB2C3B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6EE60B4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229B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1B8B9B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24</w:t>
            </w:r>
          </w:p>
        </w:tc>
        <w:tc>
          <w:tcPr>
            <w:tcW w:w="455" w:type="pct"/>
            <w:vMerge w:val="continue"/>
            <w:shd w:val="clear" w:color="auto" w:fill="auto"/>
            <w:noWrap/>
            <w:vAlign w:val="center"/>
          </w:tcPr>
          <w:p w14:paraId="4D478D5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269600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车间送风（组合空调机组）</w:t>
            </w:r>
          </w:p>
        </w:tc>
        <w:tc>
          <w:tcPr>
            <w:tcW w:w="445" w:type="pct"/>
            <w:shd w:val="clear" w:color="auto" w:fill="auto"/>
            <w:noWrap/>
            <w:vAlign w:val="center"/>
          </w:tcPr>
          <w:p w14:paraId="7068BDA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3DD864D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1DE3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319264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25</w:t>
            </w:r>
          </w:p>
        </w:tc>
        <w:tc>
          <w:tcPr>
            <w:tcW w:w="455" w:type="pct"/>
            <w:vMerge w:val="continue"/>
            <w:shd w:val="clear" w:color="auto" w:fill="auto"/>
            <w:noWrap/>
            <w:vAlign w:val="center"/>
          </w:tcPr>
          <w:p w14:paraId="6856259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56DCF42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车间排风系统（含风管、排风机）</w:t>
            </w:r>
          </w:p>
        </w:tc>
        <w:tc>
          <w:tcPr>
            <w:tcW w:w="445" w:type="pct"/>
            <w:shd w:val="clear" w:color="auto" w:fill="auto"/>
            <w:noWrap/>
            <w:vAlign w:val="center"/>
          </w:tcPr>
          <w:p w14:paraId="6785018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0FCBAC6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57CD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7330BBE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26</w:t>
            </w:r>
          </w:p>
        </w:tc>
        <w:tc>
          <w:tcPr>
            <w:tcW w:w="455" w:type="pct"/>
            <w:vMerge w:val="continue"/>
            <w:shd w:val="clear" w:color="auto" w:fill="auto"/>
            <w:noWrap/>
            <w:vAlign w:val="center"/>
          </w:tcPr>
          <w:p w14:paraId="5D9A8EF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3D6685E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制冷站冷冻水系统</w:t>
            </w:r>
          </w:p>
        </w:tc>
        <w:tc>
          <w:tcPr>
            <w:tcW w:w="445" w:type="pct"/>
            <w:shd w:val="clear" w:color="auto" w:fill="auto"/>
            <w:noWrap/>
            <w:vAlign w:val="center"/>
          </w:tcPr>
          <w:p w14:paraId="258F15A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5CFEB91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0121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569F6FA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27</w:t>
            </w:r>
          </w:p>
        </w:tc>
        <w:tc>
          <w:tcPr>
            <w:tcW w:w="455" w:type="pct"/>
            <w:vMerge w:val="continue"/>
            <w:shd w:val="clear" w:color="auto" w:fill="auto"/>
            <w:noWrap/>
            <w:vAlign w:val="center"/>
          </w:tcPr>
          <w:p w14:paraId="580C1D1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21756F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涂装车间冷冻水主管道、支管及阀组（至设备2米处）</w:t>
            </w:r>
          </w:p>
        </w:tc>
        <w:tc>
          <w:tcPr>
            <w:tcW w:w="445" w:type="pct"/>
            <w:shd w:val="clear" w:color="auto" w:fill="auto"/>
            <w:noWrap/>
            <w:vAlign w:val="center"/>
          </w:tcPr>
          <w:p w14:paraId="4CD8F2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7EA3488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60EC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433ADE5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28</w:t>
            </w:r>
          </w:p>
        </w:tc>
        <w:tc>
          <w:tcPr>
            <w:tcW w:w="455" w:type="pct"/>
            <w:vMerge w:val="continue"/>
            <w:shd w:val="clear" w:color="auto" w:fill="auto"/>
            <w:noWrap/>
            <w:vAlign w:val="center"/>
          </w:tcPr>
          <w:p w14:paraId="619A72A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1A4A35B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涂装车间冷冻水：设备2米处阀组后端至设备使用点</w:t>
            </w:r>
          </w:p>
        </w:tc>
        <w:tc>
          <w:tcPr>
            <w:tcW w:w="445" w:type="pct"/>
            <w:shd w:val="clear" w:color="auto" w:fill="auto"/>
            <w:noWrap/>
            <w:vAlign w:val="center"/>
          </w:tcPr>
          <w:p w14:paraId="0CE6C1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73D863B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4EE2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5CDE930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29</w:t>
            </w:r>
          </w:p>
        </w:tc>
        <w:tc>
          <w:tcPr>
            <w:tcW w:w="455" w:type="pct"/>
            <w:vMerge w:val="continue"/>
            <w:shd w:val="clear" w:color="auto" w:fill="auto"/>
            <w:noWrap/>
            <w:vAlign w:val="center"/>
          </w:tcPr>
          <w:p w14:paraId="5BD9EB9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4549C49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热水主管道及支管至设备使用点2m处（含阀组）</w:t>
            </w:r>
          </w:p>
        </w:tc>
        <w:tc>
          <w:tcPr>
            <w:tcW w:w="445" w:type="pct"/>
            <w:shd w:val="clear" w:color="auto" w:fill="auto"/>
            <w:noWrap/>
            <w:vAlign w:val="center"/>
          </w:tcPr>
          <w:p w14:paraId="1059AF7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FFFFFF"/>
            <w:noWrap/>
            <w:vAlign w:val="center"/>
          </w:tcPr>
          <w:p w14:paraId="0444902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1679F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1A3D156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30</w:t>
            </w:r>
          </w:p>
        </w:tc>
        <w:tc>
          <w:tcPr>
            <w:tcW w:w="455" w:type="pct"/>
            <w:vMerge w:val="continue"/>
            <w:shd w:val="clear" w:color="auto" w:fill="auto"/>
            <w:noWrap/>
            <w:vAlign w:val="center"/>
          </w:tcPr>
          <w:p w14:paraId="476336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2F0EA0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热水：2米公用预留阀组后端至设备使用点</w:t>
            </w:r>
          </w:p>
        </w:tc>
        <w:tc>
          <w:tcPr>
            <w:tcW w:w="445" w:type="pct"/>
            <w:shd w:val="clear" w:color="auto" w:fill="auto"/>
            <w:noWrap/>
            <w:vAlign w:val="center"/>
          </w:tcPr>
          <w:p w14:paraId="2CE75C9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FFFFFF"/>
            <w:noWrap/>
            <w:vAlign w:val="center"/>
          </w:tcPr>
          <w:p w14:paraId="6C0AEF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5ACB5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0EF625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31</w:t>
            </w:r>
          </w:p>
        </w:tc>
        <w:tc>
          <w:tcPr>
            <w:tcW w:w="455" w:type="pct"/>
            <w:vMerge w:val="continue"/>
            <w:shd w:val="clear" w:color="auto" w:fill="auto"/>
            <w:noWrap/>
            <w:vAlign w:val="center"/>
          </w:tcPr>
          <w:p w14:paraId="52CC9A5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6D076E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车间入口风淋室</w:t>
            </w:r>
          </w:p>
        </w:tc>
        <w:tc>
          <w:tcPr>
            <w:tcW w:w="445" w:type="pct"/>
            <w:shd w:val="clear" w:color="auto" w:fill="auto"/>
            <w:noWrap/>
            <w:vAlign w:val="center"/>
          </w:tcPr>
          <w:p w14:paraId="31A9DB9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7173B2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6238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32D183E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32</w:t>
            </w:r>
          </w:p>
        </w:tc>
        <w:tc>
          <w:tcPr>
            <w:tcW w:w="455" w:type="pct"/>
            <w:vMerge w:val="continue"/>
            <w:shd w:val="clear" w:color="auto" w:fill="auto"/>
            <w:noWrap/>
            <w:vAlign w:val="center"/>
          </w:tcPr>
          <w:p w14:paraId="4E0621C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2B6F693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焊涂、涂总交汇物流门处风幕机</w:t>
            </w:r>
          </w:p>
        </w:tc>
        <w:tc>
          <w:tcPr>
            <w:tcW w:w="445" w:type="pct"/>
            <w:shd w:val="clear" w:color="auto" w:fill="auto"/>
            <w:noWrap/>
            <w:vAlign w:val="center"/>
          </w:tcPr>
          <w:p w14:paraId="7335CE1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FFFFFF"/>
            <w:noWrap/>
            <w:vAlign w:val="center"/>
          </w:tcPr>
          <w:p w14:paraId="4941D8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32A36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137450D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33</w:t>
            </w:r>
          </w:p>
        </w:tc>
        <w:tc>
          <w:tcPr>
            <w:tcW w:w="455" w:type="pct"/>
            <w:vMerge w:val="continue"/>
            <w:shd w:val="clear" w:color="auto" w:fill="auto"/>
            <w:noWrap/>
            <w:vAlign w:val="center"/>
          </w:tcPr>
          <w:p w14:paraId="06EE62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585137E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输调漆间的送风管线及排风系统</w:t>
            </w:r>
          </w:p>
        </w:tc>
        <w:tc>
          <w:tcPr>
            <w:tcW w:w="445" w:type="pct"/>
            <w:shd w:val="clear" w:color="auto" w:fill="auto"/>
            <w:noWrap/>
            <w:vAlign w:val="center"/>
          </w:tcPr>
          <w:p w14:paraId="2A3F20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141F424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7A99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6" w:hRule="atLeast"/>
          <w:jc w:val="center"/>
        </w:trPr>
        <w:tc>
          <w:tcPr>
            <w:tcW w:w="342" w:type="pct"/>
            <w:shd w:val="clear" w:color="auto" w:fill="auto"/>
            <w:noWrap/>
            <w:vAlign w:val="center"/>
          </w:tcPr>
          <w:p w14:paraId="338B1AB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34</w:t>
            </w:r>
          </w:p>
        </w:tc>
        <w:tc>
          <w:tcPr>
            <w:tcW w:w="455" w:type="pct"/>
            <w:vMerge w:val="continue"/>
            <w:shd w:val="clear" w:color="auto" w:fill="auto"/>
            <w:noWrap/>
            <w:vAlign w:val="center"/>
          </w:tcPr>
          <w:p w14:paraId="1DF8591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607B96C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工艺排风系统（全套系统，含出屋面风管、风帽）</w:t>
            </w:r>
          </w:p>
        </w:tc>
        <w:tc>
          <w:tcPr>
            <w:tcW w:w="445" w:type="pct"/>
            <w:shd w:val="clear" w:color="auto" w:fill="auto"/>
            <w:noWrap/>
            <w:vAlign w:val="center"/>
          </w:tcPr>
          <w:p w14:paraId="1FF9155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7296D61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704C8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3" w:hRule="atLeast"/>
          <w:jc w:val="center"/>
        </w:trPr>
        <w:tc>
          <w:tcPr>
            <w:tcW w:w="342" w:type="pct"/>
            <w:shd w:val="clear" w:color="auto" w:fill="auto"/>
            <w:noWrap/>
            <w:vAlign w:val="center"/>
          </w:tcPr>
          <w:p w14:paraId="14AA5A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35</w:t>
            </w:r>
          </w:p>
        </w:tc>
        <w:tc>
          <w:tcPr>
            <w:tcW w:w="455" w:type="pct"/>
            <w:vMerge w:val="restart"/>
            <w:shd w:val="clear" w:color="auto" w:fill="auto"/>
            <w:noWrap/>
            <w:vAlign w:val="center"/>
          </w:tcPr>
          <w:p w14:paraId="23B6EA9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动力</w:t>
            </w:r>
          </w:p>
        </w:tc>
        <w:tc>
          <w:tcPr>
            <w:tcW w:w="3309" w:type="pct"/>
            <w:shd w:val="clear" w:color="auto" w:fill="FFFFFF"/>
            <w:vAlign w:val="center"/>
          </w:tcPr>
          <w:p w14:paraId="3EADF79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涂装车间压缩空气、燃气、热水主管网（拆改），计量阀组；</w:t>
            </w:r>
          </w:p>
        </w:tc>
        <w:tc>
          <w:tcPr>
            <w:tcW w:w="445" w:type="pct"/>
            <w:shd w:val="clear" w:color="auto" w:fill="auto"/>
            <w:noWrap/>
            <w:vAlign w:val="center"/>
          </w:tcPr>
          <w:p w14:paraId="305F90D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3007358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03750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3" w:hRule="atLeast"/>
          <w:jc w:val="center"/>
        </w:trPr>
        <w:tc>
          <w:tcPr>
            <w:tcW w:w="342" w:type="pct"/>
            <w:shd w:val="clear" w:color="auto" w:fill="auto"/>
            <w:noWrap/>
            <w:vAlign w:val="center"/>
          </w:tcPr>
          <w:p w14:paraId="4BC3BA1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36</w:t>
            </w:r>
          </w:p>
        </w:tc>
        <w:tc>
          <w:tcPr>
            <w:tcW w:w="455" w:type="pct"/>
            <w:vMerge w:val="continue"/>
            <w:shd w:val="clear" w:color="auto" w:fill="auto"/>
            <w:noWrap/>
            <w:vAlign w:val="center"/>
          </w:tcPr>
          <w:p w14:paraId="223995A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7E7C241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燃气主管道至PDI空调阀组附近1.5m处（含阀组）</w:t>
            </w:r>
          </w:p>
        </w:tc>
        <w:tc>
          <w:tcPr>
            <w:tcW w:w="445" w:type="pct"/>
            <w:shd w:val="clear" w:color="auto" w:fill="auto"/>
            <w:noWrap/>
            <w:vAlign w:val="center"/>
          </w:tcPr>
          <w:p w14:paraId="7988989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6658D44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5325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3" w:hRule="atLeast"/>
          <w:jc w:val="center"/>
        </w:trPr>
        <w:tc>
          <w:tcPr>
            <w:tcW w:w="342" w:type="pct"/>
            <w:shd w:val="clear" w:color="auto" w:fill="auto"/>
            <w:noWrap/>
            <w:vAlign w:val="center"/>
          </w:tcPr>
          <w:p w14:paraId="7A7766E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37</w:t>
            </w:r>
          </w:p>
        </w:tc>
        <w:tc>
          <w:tcPr>
            <w:tcW w:w="455" w:type="pct"/>
            <w:vMerge w:val="continue"/>
            <w:shd w:val="clear" w:color="auto" w:fill="auto"/>
            <w:noWrap/>
            <w:vAlign w:val="center"/>
          </w:tcPr>
          <w:p w14:paraId="0CEFBBB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20EB1A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燃气：1.5米公用预留阀组后端至设备使用点</w:t>
            </w:r>
          </w:p>
        </w:tc>
        <w:tc>
          <w:tcPr>
            <w:tcW w:w="445" w:type="pct"/>
            <w:shd w:val="clear" w:color="auto" w:fill="auto"/>
            <w:noWrap/>
            <w:vAlign w:val="center"/>
          </w:tcPr>
          <w:p w14:paraId="458D3BB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6C4B758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4FD92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3" w:hRule="atLeast"/>
          <w:jc w:val="center"/>
        </w:trPr>
        <w:tc>
          <w:tcPr>
            <w:tcW w:w="342" w:type="pct"/>
            <w:shd w:val="clear" w:color="auto" w:fill="auto"/>
            <w:noWrap/>
            <w:vAlign w:val="center"/>
          </w:tcPr>
          <w:p w14:paraId="66EF7E8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38</w:t>
            </w:r>
          </w:p>
        </w:tc>
        <w:tc>
          <w:tcPr>
            <w:tcW w:w="455" w:type="pct"/>
            <w:vMerge w:val="continue"/>
            <w:shd w:val="clear" w:color="auto" w:fill="auto"/>
            <w:noWrap/>
            <w:vAlign w:val="center"/>
          </w:tcPr>
          <w:p w14:paraId="734D837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0F2D9AC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涂装车间压缩空气主管网及预留接口阀组（阀组下翻20cm即可）</w:t>
            </w:r>
          </w:p>
        </w:tc>
        <w:tc>
          <w:tcPr>
            <w:tcW w:w="445" w:type="pct"/>
            <w:shd w:val="clear" w:color="auto" w:fill="auto"/>
            <w:noWrap/>
            <w:vAlign w:val="center"/>
          </w:tcPr>
          <w:p w14:paraId="7E59BBF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60DC186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6DD0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3" w:hRule="atLeast"/>
          <w:jc w:val="center"/>
        </w:trPr>
        <w:tc>
          <w:tcPr>
            <w:tcW w:w="342" w:type="pct"/>
            <w:shd w:val="clear" w:color="auto" w:fill="auto"/>
            <w:noWrap/>
            <w:vAlign w:val="center"/>
          </w:tcPr>
          <w:p w14:paraId="42F3D6C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39</w:t>
            </w:r>
          </w:p>
        </w:tc>
        <w:tc>
          <w:tcPr>
            <w:tcW w:w="455" w:type="pct"/>
            <w:vMerge w:val="continue"/>
            <w:shd w:val="clear" w:color="auto" w:fill="auto"/>
            <w:noWrap/>
            <w:vAlign w:val="center"/>
          </w:tcPr>
          <w:p w14:paraId="70A40FBA">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4EFCF22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涂装车间压缩空气预留接口阀门后端全部</w:t>
            </w:r>
          </w:p>
        </w:tc>
        <w:tc>
          <w:tcPr>
            <w:tcW w:w="445" w:type="pct"/>
            <w:shd w:val="clear" w:color="auto" w:fill="auto"/>
            <w:noWrap/>
            <w:vAlign w:val="center"/>
          </w:tcPr>
          <w:p w14:paraId="5AC8ED8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11F148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5DB29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342" w:type="pct"/>
            <w:shd w:val="clear" w:color="auto" w:fill="auto"/>
            <w:noWrap/>
            <w:vAlign w:val="center"/>
          </w:tcPr>
          <w:p w14:paraId="0FDFA4B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40</w:t>
            </w:r>
          </w:p>
        </w:tc>
        <w:tc>
          <w:tcPr>
            <w:tcW w:w="455" w:type="pct"/>
            <w:vMerge w:val="restart"/>
            <w:shd w:val="clear" w:color="auto" w:fill="auto"/>
            <w:noWrap/>
            <w:vAlign w:val="center"/>
          </w:tcPr>
          <w:p w14:paraId="427DE29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电气</w:t>
            </w:r>
          </w:p>
        </w:tc>
        <w:tc>
          <w:tcPr>
            <w:tcW w:w="3309" w:type="pct"/>
            <w:shd w:val="clear" w:color="auto" w:fill="FFFFFF"/>
            <w:noWrap/>
            <w:vAlign w:val="center"/>
          </w:tcPr>
          <w:p w14:paraId="2EA6D1C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车间母线（从变电所低压柜始端箱）、插接箱</w:t>
            </w:r>
          </w:p>
        </w:tc>
        <w:tc>
          <w:tcPr>
            <w:tcW w:w="445" w:type="pct"/>
            <w:shd w:val="clear" w:color="auto" w:fill="auto"/>
            <w:noWrap/>
            <w:vAlign w:val="center"/>
          </w:tcPr>
          <w:p w14:paraId="2DF66B6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5BA0D51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r w14:paraId="79459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342" w:type="pct"/>
            <w:shd w:val="clear" w:color="auto" w:fill="auto"/>
            <w:noWrap/>
            <w:vAlign w:val="center"/>
          </w:tcPr>
          <w:p w14:paraId="4C107A3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41</w:t>
            </w:r>
          </w:p>
        </w:tc>
        <w:tc>
          <w:tcPr>
            <w:tcW w:w="455" w:type="pct"/>
            <w:vMerge w:val="continue"/>
            <w:shd w:val="clear" w:color="auto" w:fill="auto"/>
            <w:noWrap/>
            <w:vAlign w:val="center"/>
          </w:tcPr>
          <w:p w14:paraId="324AFB7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40C4821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车间设备配电桥架</w:t>
            </w:r>
          </w:p>
        </w:tc>
        <w:tc>
          <w:tcPr>
            <w:tcW w:w="445" w:type="pct"/>
            <w:shd w:val="clear" w:color="auto" w:fill="auto"/>
            <w:noWrap/>
            <w:vAlign w:val="center"/>
          </w:tcPr>
          <w:p w14:paraId="5C8BB037">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4EE75890">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55E06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42" w:type="pct"/>
            <w:shd w:val="clear" w:color="auto" w:fill="auto"/>
            <w:noWrap/>
            <w:vAlign w:val="center"/>
          </w:tcPr>
          <w:p w14:paraId="03C609A6">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42</w:t>
            </w:r>
          </w:p>
        </w:tc>
        <w:tc>
          <w:tcPr>
            <w:tcW w:w="455" w:type="pct"/>
            <w:vMerge w:val="continue"/>
            <w:shd w:val="clear" w:color="auto" w:fill="auto"/>
            <w:noWrap/>
            <w:vAlign w:val="center"/>
          </w:tcPr>
          <w:p w14:paraId="24DD908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5AEDC82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插接箱下端出口至主电气柜配电</w:t>
            </w:r>
          </w:p>
        </w:tc>
        <w:tc>
          <w:tcPr>
            <w:tcW w:w="445" w:type="pct"/>
            <w:shd w:val="clear" w:color="auto" w:fill="auto"/>
            <w:noWrap/>
            <w:vAlign w:val="center"/>
          </w:tcPr>
          <w:p w14:paraId="1698F7A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271F2E0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37E4C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342" w:type="pct"/>
            <w:shd w:val="clear" w:color="auto" w:fill="auto"/>
            <w:noWrap/>
            <w:vAlign w:val="center"/>
          </w:tcPr>
          <w:p w14:paraId="38F95A4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43</w:t>
            </w:r>
          </w:p>
        </w:tc>
        <w:tc>
          <w:tcPr>
            <w:tcW w:w="455" w:type="pct"/>
            <w:vMerge w:val="continue"/>
            <w:shd w:val="clear" w:color="auto" w:fill="auto"/>
            <w:noWrap/>
            <w:vAlign w:val="center"/>
          </w:tcPr>
          <w:p w14:paraId="6ED2173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4C60D98E">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车间接地点到设备的接地线</w:t>
            </w:r>
          </w:p>
        </w:tc>
        <w:tc>
          <w:tcPr>
            <w:tcW w:w="445" w:type="pct"/>
            <w:shd w:val="clear" w:color="auto" w:fill="auto"/>
            <w:noWrap/>
            <w:vAlign w:val="center"/>
          </w:tcPr>
          <w:p w14:paraId="6503633F">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0BAB0493">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4EDC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5" w:hRule="atLeast"/>
          <w:jc w:val="center"/>
        </w:trPr>
        <w:tc>
          <w:tcPr>
            <w:tcW w:w="342" w:type="pct"/>
            <w:shd w:val="clear" w:color="auto" w:fill="auto"/>
            <w:noWrap/>
            <w:vAlign w:val="center"/>
          </w:tcPr>
          <w:p w14:paraId="32ADC65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44</w:t>
            </w:r>
          </w:p>
        </w:tc>
        <w:tc>
          <w:tcPr>
            <w:tcW w:w="455" w:type="pct"/>
            <w:vMerge w:val="continue"/>
            <w:shd w:val="clear" w:color="auto" w:fill="auto"/>
            <w:noWrap/>
            <w:vAlign w:val="center"/>
          </w:tcPr>
          <w:p w14:paraId="31DE35A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53F5C05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工艺室体内，工艺局部照明，工艺钢平台下，洁净室内照明</w:t>
            </w:r>
          </w:p>
        </w:tc>
        <w:tc>
          <w:tcPr>
            <w:tcW w:w="445" w:type="pct"/>
            <w:shd w:val="clear" w:color="auto" w:fill="auto"/>
            <w:noWrap/>
            <w:vAlign w:val="center"/>
          </w:tcPr>
          <w:p w14:paraId="5F8C17E9">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5639222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50C1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342" w:type="pct"/>
            <w:shd w:val="clear" w:color="auto" w:fill="auto"/>
            <w:noWrap/>
            <w:vAlign w:val="center"/>
          </w:tcPr>
          <w:p w14:paraId="39E84868">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45</w:t>
            </w:r>
          </w:p>
        </w:tc>
        <w:tc>
          <w:tcPr>
            <w:tcW w:w="455" w:type="pct"/>
            <w:vMerge w:val="continue"/>
            <w:shd w:val="clear" w:color="auto" w:fill="auto"/>
            <w:noWrap/>
            <w:vAlign w:val="center"/>
          </w:tcPr>
          <w:p w14:paraId="0A11E44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noWrap/>
            <w:vAlign w:val="center"/>
          </w:tcPr>
          <w:p w14:paraId="6A5A8CB5">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设备主电气柜至工艺设备或工艺控制柜等用电点的管线</w:t>
            </w:r>
          </w:p>
        </w:tc>
        <w:tc>
          <w:tcPr>
            <w:tcW w:w="445" w:type="pct"/>
            <w:shd w:val="clear" w:color="auto" w:fill="auto"/>
            <w:noWrap/>
            <w:vAlign w:val="center"/>
          </w:tcPr>
          <w:p w14:paraId="5575E9FB">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c>
          <w:tcPr>
            <w:tcW w:w="446" w:type="pct"/>
            <w:shd w:val="clear" w:color="auto" w:fill="auto"/>
            <w:noWrap/>
            <w:vAlign w:val="center"/>
          </w:tcPr>
          <w:p w14:paraId="6C9C2BB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r>
      <w:tr w14:paraId="2712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8" w:hRule="atLeast"/>
          <w:jc w:val="center"/>
        </w:trPr>
        <w:tc>
          <w:tcPr>
            <w:tcW w:w="342" w:type="pct"/>
            <w:shd w:val="clear" w:color="auto" w:fill="auto"/>
            <w:noWrap/>
            <w:vAlign w:val="center"/>
          </w:tcPr>
          <w:p w14:paraId="332498D2">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46</w:t>
            </w:r>
          </w:p>
        </w:tc>
        <w:tc>
          <w:tcPr>
            <w:tcW w:w="455" w:type="pct"/>
            <w:vMerge w:val="continue"/>
            <w:shd w:val="clear" w:color="auto" w:fill="auto"/>
            <w:noWrap/>
            <w:vAlign w:val="center"/>
          </w:tcPr>
          <w:p w14:paraId="5FFC9314">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3309" w:type="pct"/>
            <w:shd w:val="clear" w:color="auto" w:fill="FFFFFF"/>
            <w:vAlign w:val="center"/>
          </w:tcPr>
          <w:p w14:paraId="7E0EFBE1">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设备消防（输调漆间，储漆间，喷漆室，小修室等设备实体内），设备消防主机满足与整厂消防系统联网的功能</w:t>
            </w:r>
          </w:p>
        </w:tc>
        <w:tc>
          <w:tcPr>
            <w:tcW w:w="445" w:type="pct"/>
            <w:shd w:val="clear" w:color="auto" w:fill="auto"/>
            <w:noWrap/>
            <w:vAlign w:val="center"/>
          </w:tcPr>
          <w:p w14:paraId="6ED5E8CD">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p>
        </w:tc>
        <w:tc>
          <w:tcPr>
            <w:tcW w:w="446" w:type="pct"/>
            <w:shd w:val="clear" w:color="auto" w:fill="auto"/>
            <w:noWrap/>
            <w:vAlign w:val="center"/>
          </w:tcPr>
          <w:p w14:paraId="3C9D747C">
            <w:pPr>
              <w:keepNext w:val="0"/>
              <w:keepLines w:val="0"/>
              <w:pageBreakBefore w:val="0"/>
              <w:widowControl/>
              <w:suppressLineNumbers w:val="0"/>
              <w:kinsoku/>
              <w:topLinePunct w:val="0"/>
              <w:bidi w:val="0"/>
              <w:adjustRightInd w:val="0"/>
              <w:snapToGrid w:val="0"/>
              <w:spacing w:afterAutospacing="0" w:line="240" w:lineRule="auto"/>
              <w:jc w:val="center"/>
              <w:textAlignment w:val="center"/>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kern w:val="0"/>
                <w:sz w:val="24"/>
                <w:szCs w:val="24"/>
              </w:rPr>
              <w:t>√</w:t>
            </w:r>
          </w:p>
        </w:tc>
      </w:tr>
    </w:tbl>
    <w:p w14:paraId="389C163F">
      <w:pPr>
        <w:pageBreakBefore w:val="0"/>
        <w:kinsoku/>
        <w:topLinePunct w:val="0"/>
        <w:bidi w:val="0"/>
        <w:adjustRightInd w:val="0"/>
        <w:snapToGrid w:val="0"/>
        <w:spacing w:afterAutospacing="0" w:line="360" w:lineRule="auto"/>
      </w:pPr>
    </w:p>
    <w:tbl>
      <w:tblPr>
        <w:tblStyle w:val="44"/>
        <w:tblpPr w:leftFromText="180" w:rightFromText="180" w:vertAnchor="text" w:horzAnchor="page" w:tblpX="1328" w:tblpY="355"/>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133"/>
        <w:gridCol w:w="3089"/>
        <w:gridCol w:w="2865"/>
        <w:gridCol w:w="707"/>
        <w:gridCol w:w="709"/>
        <w:gridCol w:w="695"/>
      </w:tblGrid>
      <w:tr w14:paraId="5F25C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shd w:val="clear" w:color="000000" w:fill="auto"/>
            <w:vAlign w:val="center"/>
          </w:tcPr>
          <w:p w14:paraId="1D79C92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 w:val="0"/>
                <w:bCs w:val="0"/>
                <w:kern w:val="0"/>
                <w:sz w:val="24"/>
                <w:szCs w:val="24"/>
              </w:rPr>
            </w:pPr>
            <w:r>
              <w:rPr>
                <w:rFonts w:hint="eastAsia" w:ascii="宋体" w:hAnsi="宋体" w:eastAsia="宋体" w:cs="宋体"/>
                <w:b w:val="0"/>
                <w:bCs w:val="0"/>
                <w:i w:val="0"/>
                <w:iCs w:val="0"/>
                <w:color w:val="000000"/>
                <w:kern w:val="0"/>
                <w:sz w:val="24"/>
                <w:szCs w:val="24"/>
                <w:u w:val="none"/>
                <w:lang w:val="en-US" w:eastAsia="zh-CN" w:bidi="ar"/>
              </w:rPr>
              <w:t>南宁智诚工厂项目-总装车间工程界面划分</w:t>
            </w:r>
          </w:p>
        </w:tc>
      </w:tr>
      <w:tr w14:paraId="32677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6" w:type="pct"/>
            <w:shd w:val="clear" w:color="000000" w:fill="auto"/>
            <w:vAlign w:val="center"/>
          </w:tcPr>
          <w:p w14:paraId="26D57E14">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序号</w:t>
            </w:r>
          </w:p>
        </w:tc>
        <w:tc>
          <w:tcPr>
            <w:tcW w:w="587" w:type="pct"/>
            <w:shd w:val="clear" w:color="000000" w:fill="auto"/>
            <w:vAlign w:val="center"/>
          </w:tcPr>
          <w:p w14:paraId="35B7E36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xml:space="preserve">事项  </w:t>
            </w:r>
          </w:p>
        </w:tc>
        <w:tc>
          <w:tcPr>
            <w:tcW w:w="3084" w:type="pct"/>
            <w:gridSpan w:val="2"/>
            <w:shd w:val="clear" w:color="000000" w:fill="auto"/>
            <w:vAlign w:val="center"/>
          </w:tcPr>
          <w:p w14:paraId="5E5ED5C6">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 xml:space="preserve">详细说明 </w:t>
            </w:r>
          </w:p>
        </w:tc>
        <w:tc>
          <w:tcPr>
            <w:tcW w:w="366" w:type="pct"/>
            <w:shd w:val="clear" w:color="000000" w:fill="auto"/>
            <w:textDirection w:val="tbRlV"/>
            <w:vAlign w:val="center"/>
          </w:tcPr>
          <w:p w14:paraId="05CE4E95">
            <w:pPr>
              <w:keepNext w:val="0"/>
              <w:keepLines w:val="0"/>
              <w:pageBreakBefore w:val="0"/>
              <w:widowControl/>
              <w:kinsoku/>
              <w:overflowPunct/>
              <w:topLinePunct w:val="0"/>
              <w:bidi w:val="0"/>
              <w:adjustRightInd w:val="0"/>
              <w:snapToGrid w:val="0"/>
              <w:spacing w:afterAutospacing="0" w:line="240" w:lineRule="auto"/>
              <w:ind w:left="113" w:right="113"/>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eastAsia="zh-CN"/>
              </w:rPr>
              <w:t>招标人</w:t>
            </w:r>
          </w:p>
        </w:tc>
        <w:tc>
          <w:tcPr>
            <w:tcW w:w="367" w:type="pct"/>
            <w:shd w:val="clear" w:color="000000" w:fill="auto"/>
            <w:textDirection w:val="tbRlV"/>
            <w:vAlign w:val="center"/>
          </w:tcPr>
          <w:p w14:paraId="04F991D6">
            <w:pPr>
              <w:keepNext w:val="0"/>
              <w:keepLines w:val="0"/>
              <w:pageBreakBefore w:val="0"/>
              <w:widowControl/>
              <w:kinsoku/>
              <w:overflowPunct/>
              <w:topLinePunct w:val="0"/>
              <w:bidi w:val="0"/>
              <w:adjustRightInd w:val="0"/>
              <w:snapToGrid w:val="0"/>
              <w:spacing w:afterAutospacing="0" w:line="240" w:lineRule="auto"/>
              <w:ind w:left="113" w:right="113"/>
              <w:jc w:val="center"/>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eastAsia="zh-CN"/>
              </w:rPr>
              <w:t>投标人</w:t>
            </w:r>
          </w:p>
        </w:tc>
        <w:tc>
          <w:tcPr>
            <w:tcW w:w="357" w:type="pct"/>
            <w:shd w:val="clear" w:color="000000" w:fill="auto"/>
            <w:vAlign w:val="center"/>
          </w:tcPr>
          <w:p w14:paraId="1E56DA50">
            <w:pPr>
              <w:keepNext w:val="0"/>
              <w:keepLines w:val="0"/>
              <w:pageBreakBefore w:val="0"/>
              <w:widowControl/>
              <w:kinsoku/>
              <w:overflowPunct/>
              <w:topLinePunct w:val="0"/>
              <w:bidi w:val="0"/>
              <w:adjustRightInd w:val="0"/>
              <w:snapToGrid w:val="0"/>
              <w:spacing w:afterAutospacing="0" w:line="240" w:lineRule="auto"/>
              <w:ind w:left="113" w:right="113"/>
              <w:jc w:val="left"/>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备注</w:t>
            </w:r>
          </w:p>
        </w:tc>
      </w:tr>
      <w:tr w14:paraId="0D586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28B5EB13">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587" w:type="pct"/>
            <w:vMerge w:val="restart"/>
            <w:shd w:val="clear" w:color="auto" w:fill="auto"/>
            <w:vAlign w:val="center"/>
          </w:tcPr>
          <w:p w14:paraId="20CEA3D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厂房建设</w:t>
            </w:r>
          </w:p>
        </w:tc>
        <w:tc>
          <w:tcPr>
            <w:tcW w:w="3084" w:type="pct"/>
            <w:gridSpan w:val="2"/>
            <w:shd w:val="clear" w:color="auto" w:fill="auto"/>
            <w:vAlign w:val="center"/>
          </w:tcPr>
          <w:p w14:paraId="26DDA956">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设计提资：针对合同内所包含的设备类型以及与用户进行会签后的方案图纸，提出各个设备对地面的需求，对特构基础的需求，对屋面开洞、墙面开洞的需求，对空中吊点的需求，以及对能源的需求等。</w:t>
            </w:r>
          </w:p>
        </w:tc>
        <w:tc>
          <w:tcPr>
            <w:tcW w:w="366" w:type="pct"/>
            <w:shd w:val="clear" w:color="auto" w:fill="auto"/>
            <w:vAlign w:val="center"/>
          </w:tcPr>
          <w:p w14:paraId="573E8B6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47A8B0A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bookmarkStart w:id="409" w:name="OLE_LINK40"/>
            <w:r>
              <w:rPr>
                <w:rFonts w:hint="eastAsia" w:ascii="宋体" w:hAnsi="宋体" w:eastAsia="宋体" w:cs="宋体"/>
                <w:kern w:val="0"/>
                <w:sz w:val="24"/>
                <w:szCs w:val="24"/>
              </w:rPr>
              <w:t>√</w:t>
            </w:r>
            <w:bookmarkEnd w:id="409"/>
          </w:p>
        </w:tc>
        <w:tc>
          <w:tcPr>
            <w:tcW w:w="357" w:type="pct"/>
            <w:shd w:val="clear" w:color="auto" w:fill="auto"/>
            <w:vAlign w:val="center"/>
          </w:tcPr>
          <w:p w14:paraId="4B9813F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FF0000"/>
                <w:kern w:val="0"/>
                <w:sz w:val="24"/>
                <w:szCs w:val="24"/>
              </w:rPr>
            </w:pPr>
          </w:p>
        </w:tc>
      </w:tr>
      <w:tr w14:paraId="36DC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63E20AA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4D569C7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76258117">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工程设计及土建建设工程（包含建筑、结构、水暖动电、通信、自控等） </w:t>
            </w:r>
          </w:p>
        </w:tc>
        <w:tc>
          <w:tcPr>
            <w:tcW w:w="366" w:type="pct"/>
            <w:shd w:val="clear" w:color="auto" w:fill="auto"/>
            <w:vAlign w:val="center"/>
          </w:tcPr>
          <w:p w14:paraId="11A62AE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475EEBE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28A92B05">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0D48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0BA35793">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587" w:type="pct"/>
            <w:vMerge w:val="restart"/>
            <w:shd w:val="clear" w:color="auto" w:fill="auto"/>
            <w:vAlign w:val="center"/>
          </w:tcPr>
          <w:p w14:paraId="26F61F5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配电系统</w:t>
            </w:r>
          </w:p>
        </w:tc>
        <w:tc>
          <w:tcPr>
            <w:tcW w:w="3084" w:type="pct"/>
            <w:gridSpan w:val="2"/>
            <w:shd w:val="clear" w:color="auto" w:fill="auto"/>
            <w:vAlign w:val="center"/>
          </w:tcPr>
          <w:p w14:paraId="6EEC2D6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设计提资：（针对合同内的设备）插接箱位置和容量 </w:t>
            </w:r>
          </w:p>
        </w:tc>
        <w:tc>
          <w:tcPr>
            <w:tcW w:w="366" w:type="pct"/>
            <w:shd w:val="clear" w:color="auto" w:fill="auto"/>
            <w:vAlign w:val="center"/>
          </w:tcPr>
          <w:p w14:paraId="2CD2E98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32599923">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14B4383B">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2D005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0D549F76">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4841F15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21E33EC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变压站、厂房内的主干母线、主干桥架、厂房照明、生活间内照明 </w:t>
            </w:r>
          </w:p>
        </w:tc>
        <w:tc>
          <w:tcPr>
            <w:tcW w:w="366" w:type="pct"/>
            <w:shd w:val="clear" w:color="auto" w:fill="auto"/>
            <w:vAlign w:val="center"/>
          </w:tcPr>
          <w:p w14:paraId="75FA7F2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5C4DE46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3E61D52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42241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1C56821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1875024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4701C4E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母线上的插接箱以及动力配电柜空开</w:t>
            </w:r>
          </w:p>
        </w:tc>
        <w:tc>
          <w:tcPr>
            <w:tcW w:w="366" w:type="pct"/>
            <w:shd w:val="clear" w:color="auto" w:fill="auto"/>
            <w:vAlign w:val="center"/>
          </w:tcPr>
          <w:p w14:paraId="5015550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2D92075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58E32476">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53FB4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70479BB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32EE212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4026142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从插接箱出口或动力配电柜后空开后的电缆、桥架等 </w:t>
            </w:r>
          </w:p>
        </w:tc>
        <w:tc>
          <w:tcPr>
            <w:tcW w:w="366" w:type="pct"/>
            <w:shd w:val="clear" w:color="auto" w:fill="auto"/>
            <w:vAlign w:val="center"/>
          </w:tcPr>
          <w:p w14:paraId="49D9A9C2">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39602BF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76D2E5E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3FCC6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020F7CB0">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4A52CB2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0D69398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照明电箱、风扇电箱，以及给灯具、岗位风扇的配电 </w:t>
            </w:r>
          </w:p>
        </w:tc>
        <w:tc>
          <w:tcPr>
            <w:tcW w:w="366" w:type="pct"/>
            <w:shd w:val="clear" w:color="auto" w:fill="auto"/>
            <w:vAlign w:val="center"/>
          </w:tcPr>
          <w:p w14:paraId="6044B3F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222D8C06">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205BB2B7">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1FEA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2966D39A">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7DDEC41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75EF0CD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维修及备用用电：各区域内维修电源及备用电源（含地沟/坑备用电源） </w:t>
            </w:r>
          </w:p>
        </w:tc>
        <w:tc>
          <w:tcPr>
            <w:tcW w:w="366" w:type="pct"/>
            <w:shd w:val="clear" w:color="auto" w:fill="auto"/>
            <w:vAlign w:val="center"/>
          </w:tcPr>
          <w:p w14:paraId="754A85D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6918E9D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7B42D79D">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2CFF6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264FF31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587" w:type="pct"/>
            <w:vMerge w:val="restart"/>
            <w:shd w:val="clear" w:color="auto" w:fill="auto"/>
            <w:vAlign w:val="center"/>
          </w:tcPr>
          <w:p w14:paraId="2A6AC9CC">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照明</w:t>
            </w:r>
          </w:p>
        </w:tc>
        <w:tc>
          <w:tcPr>
            <w:tcW w:w="3084" w:type="pct"/>
            <w:gridSpan w:val="2"/>
            <w:shd w:val="clear" w:color="auto" w:fill="auto"/>
            <w:vAlign w:val="center"/>
          </w:tcPr>
          <w:p w14:paraId="56CD5AA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厂房照明  </w:t>
            </w:r>
          </w:p>
        </w:tc>
        <w:tc>
          <w:tcPr>
            <w:tcW w:w="366" w:type="pct"/>
            <w:shd w:val="clear" w:color="auto" w:fill="auto"/>
            <w:vAlign w:val="center"/>
          </w:tcPr>
          <w:p w14:paraId="6BAA071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08358D3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14E1589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1839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7A924DC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748370D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360EB060">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工位照明  </w:t>
            </w:r>
          </w:p>
        </w:tc>
        <w:tc>
          <w:tcPr>
            <w:tcW w:w="366" w:type="pct"/>
            <w:shd w:val="clear" w:color="auto" w:fill="auto"/>
            <w:vAlign w:val="center"/>
          </w:tcPr>
          <w:p w14:paraId="78E4474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0F76D612">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1F422D2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5497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2FD83264">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1851ACF3">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56726D6F">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设备钢结构下方照明  </w:t>
            </w:r>
          </w:p>
        </w:tc>
        <w:tc>
          <w:tcPr>
            <w:tcW w:w="366" w:type="pct"/>
            <w:shd w:val="clear" w:color="auto" w:fill="auto"/>
            <w:vAlign w:val="center"/>
          </w:tcPr>
          <w:p w14:paraId="43E8EDE6">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2FBACA2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5ACFD1DD">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61AED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50ED14B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7E8687E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4EE21BD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地坑内照明</w:t>
            </w:r>
          </w:p>
        </w:tc>
        <w:tc>
          <w:tcPr>
            <w:tcW w:w="366" w:type="pct"/>
            <w:shd w:val="clear" w:color="auto" w:fill="auto"/>
            <w:vAlign w:val="center"/>
          </w:tcPr>
          <w:p w14:paraId="1440F0E4">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560E71B3">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633D159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FF0000"/>
                <w:kern w:val="0"/>
                <w:sz w:val="24"/>
                <w:szCs w:val="24"/>
              </w:rPr>
            </w:pPr>
          </w:p>
        </w:tc>
      </w:tr>
      <w:tr w14:paraId="5BA7D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5851CE6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587" w:type="pct"/>
            <w:vMerge w:val="restart"/>
            <w:shd w:val="clear" w:color="auto" w:fill="auto"/>
            <w:vAlign w:val="center"/>
          </w:tcPr>
          <w:p w14:paraId="1B4FEFE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压缩空气</w:t>
            </w:r>
          </w:p>
        </w:tc>
        <w:tc>
          <w:tcPr>
            <w:tcW w:w="3084" w:type="pct"/>
            <w:gridSpan w:val="2"/>
            <w:shd w:val="clear" w:color="auto" w:fill="auto"/>
            <w:vAlign w:val="center"/>
          </w:tcPr>
          <w:p w14:paraId="500E080A">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设计提资</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 xml:space="preserve">（针对合同内的设备）压缩空气主干管指定位置和指定高度，预留DN80阀门 </w:t>
            </w:r>
          </w:p>
        </w:tc>
        <w:tc>
          <w:tcPr>
            <w:tcW w:w="366" w:type="pct"/>
            <w:shd w:val="clear" w:color="auto" w:fill="auto"/>
            <w:vAlign w:val="center"/>
          </w:tcPr>
          <w:p w14:paraId="3A7E8D2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49787BAC">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2538949D">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5F37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45E1CD4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202FE65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7051029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压缩空气站、厂房内压缩空气主干以及预留的阀门、房间内的压缩空气支管及阀门等 </w:t>
            </w:r>
          </w:p>
        </w:tc>
        <w:tc>
          <w:tcPr>
            <w:tcW w:w="366" w:type="pct"/>
            <w:shd w:val="clear" w:color="auto" w:fill="auto"/>
            <w:vAlign w:val="center"/>
          </w:tcPr>
          <w:p w14:paraId="373EB0C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5C32725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445573C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2D8C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178DC7F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07468E9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1600" w:type="pct"/>
            <w:vMerge w:val="restart"/>
            <w:shd w:val="clear" w:color="auto" w:fill="auto"/>
            <w:vAlign w:val="center"/>
          </w:tcPr>
          <w:p w14:paraId="512C9AB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从指定位置预留的阀门向下的二次气源、支管、阀门、三联件 </w:t>
            </w:r>
          </w:p>
        </w:tc>
        <w:tc>
          <w:tcPr>
            <w:tcW w:w="1483" w:type="pct"/>
            <w:shd w:val="clear" w:color="auto" w:fill="auto"/>
            <w:vAlign w:val="center"/>
          </w:tcPr>
          <w:p w14:paraId="79470AEF">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为本合同范围内设备接气的 </w:t>
            </w:r>
          </w:p>
        </w:tc>
        <w:tc>
          <w:tcPr>
            <w:tcW w:w="366" w:type="pct"/>
            <w:shd w:val="clear" w:color="auto" w:fill="auto"/>
            <w:vAlign w:val="center"/>
          </w:tcPr>
          <w:p w14:paraId="4861386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785F0FE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35B0D3F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02596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0AFF85C0">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1B682966">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1600" w:type="pct"/>
            <w:vMerge w:val="continue"/>
            <w:vAlign w:val="center"/>
          </w:tcPr>
          <w:p w14:paraId="65625C9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1483" w:type="pct"/>
            <w:shd w:val="clear" w:color="auto" w:fill="auto"/>
            <w:vAlign w:val="center"/>
          </w:tcPr>
          <w:p w14:paraId="1A9FABAA">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非本合同范围内设备接气的 </w:t>
            </w:r>
          </w:p>
        </w:tc>
        <w:tc>
          <w:tcPr>
            <w:tcW w:w="366" w:type="pct"/>
            <w:shd w:val="clear" w:color="auto" w:fill="auto"/>
            <w:vAlign w:val="center"/>
          </w:tcPr>
          <w:p w14:paraId="5AC6CB7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5E52D021">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764F438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6217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3580082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715F486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1600" w:type="pct"/>
            <w:vMerge w:val="continue"/>
            <w:vAlign w:val="center"/>
          </w:tcPr>
          <w:p w14:paraId="21280AB4">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1483" w:type="pct"/>
            <w:shd w:val="clear" w:color="auto" w:fill="auto"/>
            <w:vAlign w:val="center"/>
          </w:tcPr>
          <w:p w14:paraId="66A8D80F">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需要埋地进行敷设的气源 </w:t>
            </w:r>
          </w:p>
        </w:tc>
        <w:tc>
          <w:tcPr>
            <w:tcW w:w="366" w:type="pct"/>
            <w:shd w:val="clear" w:color="auto" w:fill="auto"/>
            <w:vAlign w:val="center"/>
          </w:tcPr>
          <w:p w14:paraId="1618A301">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1B24A4A4">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3E11E000">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041FD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738049B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587" w:type="pct"/>
            <w:vMerge w:val="restart"/>
            <w:shd w:val="clear" w:color="auto" w:fill="auto"/>
            <w:vAlign w:val="center"/>
          </w:tcPr>
          <w:p w14:paraId="7513756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给排水</w:t>
            </w:r>
          </w:p>
        </w:tc>
        <w:tc>
          <w:tcPr>
            <w:tcW w:w="3084" w:type="pct"/>
            <w:gridSpan w:val="2"/>
            <w:shd w:val="clear" w:color="auto" w:fill="auto"/>
            <w:vAlign w:val="center"/>
          </w:tcPr>
          <w:p w14:paraId="132D4595">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厂房及生活间的给水、排水、污水处理系统 </w:t>
            </w:r>
          </w:p>
        </w:tc>
        <w:tc>
          <w:tcPr>
            <w:tcW w:w="366" w:type="pct"/>
            <w:shd w:val="clear" w:color="auto" w:fill="auto"/>
            <w:vAlign w:val="center"/>
          </w:tcPr>
          <w:p w14:paraId="2D0DA481">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15569D65">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5A9E053F">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3243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3F4DA9AD">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5520419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30BEDD92">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提资：淋雨线及点补间的给水和排水位置、耗量 </w:t>
            </w:r>
          </w:p>
        </w:tc>
        <w:tc>
          <w:tcPr>
            <w:tcW w:w="366" w:type="pct"/>
            <w:shd w:val="clear" w:color="auto" w:fill="auto"/>
            <w:vAlign w:val="center"/>
          </w:tcPr>
          <w:p w14:paraId="0FEC9934">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32D2A2F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5D34408A">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094DE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3E1F1F92">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3FAB7AE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0F16103A">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按照提资位置和当地法规，进行给排水、以及污水处理的设计和实施 </w:t>
            </w:r>
          </w:p>
        </w:tc>
        <w:tc>
          <w:tcPr>
            <w:tcW w:w="366" w:type="pct"/>
            <w:shd w:val="clear" w:color="auto" w:fill="auto"/>
            <w:vAlign w:val="center"/>
          </w:tcPr>
          <w:p w14:paraId="0E7D265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50AEACDC">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55962BD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62902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20BC5171">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587" w:type="pct"/>
            <w:vMerge w:val="restart"/>
            <w:shd w:val="clear" w:color="auto" w:fill="auto"/>
            <w:vAlign w:val="center"/>
          </w:tcPr>
          <w:p w14:paraId="090CF14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空调及通风系统</w:t>
            </w:r>
          </w:p>
        </w:tc>
        <w:tc>
          <w:tcPr>
            <w:tcW w:w="3084" w:type="pct"/>
            <w:gridSpan w:val="2"/>
            <w:shd w:val="clear" w:color="auto" w:fill="auto"/>
            <w:vAlign w:val="center"/>
          </w:tcPr>
          <w:p w14:paraId="0D4BA58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装配线上的岗位风扇及岗位风扇配电 </w:t>
            </w:r>
          </w:p>
        </w:tc>
        <w:tc>
          <w:tcPr>
            <w:tcW w:w="366" w:type="pct"/>
            <w:shd w:val="clear" w:color="auto" w:fill="auto"/>
            <w:vAlign w:val="center"/>
          </w:tcPr>
          <w:p w14:paraId="7AF1E382">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488F7C74">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67B1CC27">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6CA17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6E848A5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43F90C6A">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3084" w:type="pct"/>
            <w:gridSpan w:val="2"/>
            <w:shd w:val="clear" w:color="auto" w:fill="auto"/>
            <w:vAlign w:val="center"/>
          </w:tcPr>
          <w:p w14:paraId="0E25D50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厂房空调，或者送风/排风系统，例如空调机组、大风扇、排风机等 </w:t>
            </w:r>
          </w:p>
        </w:tc>
        <w:tc>
          <w:tcPr>
            <w:tcW w:w="366" w:type="pct"/>
            <w:shd w:val="clear" w:color="auto" w:fill="auto"/>
            <w:vAlign w:val="center"/>
          </w:tcPr>
          <w:p w14:paraId="33D9018F">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3F376EE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7FA635A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148E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1F524F8E">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486632E3">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3084" w:type="pct"/>
            <w:gridSpan w:val="2"/>
            <w:shd w:val="clear" w:color="auto" w:fill="auto"/>
            <w:vAlign w:val="center"/>
          </w:tcPr>
          <w:p w14:paraId="26B6DF14">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如检测线以及返修区区域涉及到以改善环境为目的的地下排风系统，由业主设计并实施 </w:t>
            </w:r>
          </w:p>
        </w:tc>
        <w:tc>
          <w:tcPr>
            <w:tcW w:w="366" w:type="pct"/>
            <w:shd w:val="clear" w:color="auto" w:fill="auto"/>
            <w:vAlign w:val="center"/>
          </w:tcPr>
          <w:p w14:paraId="2E28F947">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31BD144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387798A2">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010E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6FA96BED">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172FA1A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3084" w:type="pct"/>
            <w:gridSpan w:val="2"/>
            <w:shd w:val="clear" w:color="auto" w:fill="auto"/>
            <w:vAlign w:val="center"/>
          </w:tcPr>
          <w:p w14:paraId="682938FD">
            <w:pPr>
              <w:keepNext w:val="0"/>
              <w:keepLines w:val="0"/>
              <w:pageBreakBefore w:val="0"/>
              <w:widowControl/>
              <w:kinsoku/>
              <w:overflowPunct/>
              <w:topLinePunct w:val="0"/>
              <w:bidi w:val="0"/>
              <w:adjustRightInd w:val="0"/>
              <w:snapToGrid w:val="0"/>
              <w:spacing w:afterAutospacing="0" w:line="240" w:lineRule="auto"/>
              <w:rPr>
                <w:rFonts w:hint="eastAsia" w:ascii="宋体" w:hAnsi="宋体" w:eastAsia="宋体" w:cs="宋体"/>
                <w:kern w:val="0"/>
                <w:sz w:val="24"/>
                <w:szCs w:val="24"/>
              </w:rPr>
            </w:pPr>
            <w:r>
              <w:rPr>
                <w:rFonts w:hint="eastAsia" w:ascii="宋体" w:hAnsi="宋体" w:eastAsia="宋体" w:cs="宋体"/>
                <w:kern w:val="0"/>
                <w:sz w:val="24"/>
                <w:szCs w:val="24"/>
              </w:rPr>
              <w:t>在总装厂房内布置3个临时用电接口</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设备安装期间</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 xml:space="preserve"> </w:t>
            </w:r>
          </w:p>
        </w:tc>
        <w:tc>
          <w:tcPr>
            <w:tcW w:w="366" w:type="pct"/>
            <w:shd w:val="clear" w:color="auto" w:fill="auto"/>
            <w:vAlign w:val="center"/>
          </w:tcPr>
          <w:p w14:paraId="1497BB2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4EA8AFE6">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rPr>
            </w:pPr>
          </w:p>
        </w:tc>
        <w:tc>
          <w:tcPr>
            <w:tcW w:w="357" w:type="pct"/>
            <w:shd w:val="clear" w:color="auto" w:fill="auto"/>
            <w:vAlign w:val="center"/>
          </w:tcPr>
          <w:p w14:paraId="493E4B1D">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11292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1800004B">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5A587A9B">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3084" w:type="pct"/>
            <w:gridSpan w:val="2"/>
            <w:shd w:val="clear" w:color="auto" w:fill="auto"/>
            <w:vAlign w:val="center"/>
          </w:tcPr>
          <w:p w14:paraId="5952A768">
            <w:pPr>
              <w:keepNext w:val="0"/>
              <w:keepLines w:val="0"/>
              <w:pageBreakBefore w:val="0"/>
              <w:widowControl/>
              <w:kinsoku/>
              <w:overflowPunct/>
              <w:topLinePunct w:val="0"/>
              <w:bidi w:val="0"/>
              <w:adjustRightInd w:val="0"/>
              <w:snapToGrid w:val="0"/>
              <w:spacing w:afterAutospacing="0" w:line="240" w:lineRule="auto"/>
              <w:rPr>
                <w:rFonts w:hint="eastAsia" w:ascii="宋体" w:hAnsi="宋体" w:eastAsia="宋体" w:cs="宋体"/>
                <w:kern w:val="0"/>
                <w:sz w:val="24"/>
                <w:szCs w:val="24"/>
              </w:rPr>
            </w:pPr>
            <w:r>
              <w:rPr>
                <w:rFonts w:hint="eastAsia" w:ascii="宋体" w:hAnsi="宋体" w:eastAsia="宋体" w:cs="宋体"/>
                <w:kern w:val="0"/>
                <w:sz w:val="24"/>
                <w:szCs w:val="24"/>
              </w:rPr>
              <w:t xml:space="preserve">到临时用电点接电施工并安装电表 </w:t>
            </w:r>
          </w:p>
        </w:tc>
        <w:tc>
          <w:tcPr>
            <w:tcW w:w="366" w:type="pct"/>
            <w:shd w:val="clear" w:color="auto" w:fill="auto"/>
            <w:vAlign w:val="center"/>
          </w:tcPr>
          <w:p w14:paraId="3372A12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rPr>
            </w:pPr>
          </w:p>
        </w:tc>
        <w:tc>
          <w:tcPr>
            <w:tcW w:w="367" w:type="pct"/>
            <w:shd w:val="clear" w:color="auto" w:fill="auto"/>
            <w:vAlign w:val="center"/>
          </w:tcPr>
          <w:p w14:paraId="18BC882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p>
        </w:tc>
        <w:tc>
          <w:tcPr>
            <w:tcW w:w="357" w:type="pct"/>
            <w:shd w:val="clear" w:color="auto" w:fill="auto"/>
            <w:vAlign w:val="center"/>
          </w:tcPr>
          <w:p w14:paraId="2741E29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FF0000"/>
                <w:kern w:val="0"/>
                <w:sz w:val="24"/>
                <w:szCs w:val="24"/>
              </w:rPr>
            </w:pPr>
          </w:p>
        </w:tc>
      </w:tr>
      <w:tr w14:paraId="10E52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76921EEE">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587" w:type="pct"/>
            <w:vMerge w:val="restart"/>
            <w:shd w:val="clear" w:color="auto" w:fill="auto"/>
            <w:vAlign w:val="center"/>
          </w:tcPr>
          <w:p w14:paraId="538258B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点补间</w:t>
            </w:r>
          </w:p>
        </w:tc>
        <w:tc>
          <w:tcPr>
            <w:tcW w:w="3084" w:type="pct"/>
            <w:gridSpan w:val="2"/>
            <w:shd w:val="clear" w:color="auto" w:fill="auto"/>
            <w:vAlign w:val="center"/>
          </w:tcPr>
          <w:p w14:paraId="2F8F3E14">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根据业主当地的设计规范，如果点补间需要做水喷淋或其它相关消防措施，由业主实施。 </w:t>
            </w:r>
          </w:p>
        </w:tc>
        <w:tc>
          <w:tcPr>
            <w:tcW w:w="366" w:type="pct"/>
            <w:shd w:val="clear" w:color="auto" w:fill="auto"/>
            <w:vAlign w:val="center"/>
          </w:tcPr>
          <w:p w14:paraId="53BBC4C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593C487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21005B1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FF0000"/>
                <w:kern w:val="0"/>
                <w:sz w:val="24"/>
                <w:szCs w:val="24"/>
              </w:rPr>
            </w:pPr>
          </w:p>
        </w:tc>
      </w:tr>
      <w:tr w14:paraId="19276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215798C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3F5CDA0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1EDE475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根据业主当地的设计规范，如果点补间需要做有害气体报警，并与消防控制室进行信号</w:t>
            </w:r>
            <w:r>
              <w:rPr>
                <w:rFonts w:hint="eastAsia" w:ascii="宋体" w:hAnsi="宋体" w:eastAsia="宋体" w:cs="宋体"/>
                <w:kern w:val="0"/>
                <w:sz w:val="24"/>
                <w:szCs w:val="24"/>
                <w:lang w:eastAsia="zh-CN"/>
              </w:rPr>
              <w:t>联锁</w:t>
            </w:r>
            <w:r>
              <w:rPr>
                <w:rFonts w:hint="eastAsia" w:ascii="宋体" w:hAnsi="宋体" w:eastAsia="宋体" w:cs="宋体"/>
                <w:kern w:val="0"/>
                <w:sz w:val="24"/>
                <w:szCs w:val="24"/>
              </w:rPr>
              <w:t xml:space="preserve">，由业主实施。 </w:t>
            </w:r>
          </w:p>
        </w:tc>
        <w:tc>
          <w:tcPr>
            <w:tcW w:w="366" w:type="pct"/>
            <w:shd w:val="clear" w:color="auto" w:fill="auto"/>
            <w:vAlign w:val="center"/>
          </w:tcPr>
          <w:p w14:paraId="5DC149E1">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1E6E4EF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2461B804">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7E9B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2339652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6197080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4D930832">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点补间设备本体、点补间排风设施、点补间内烤灯  </w:t>
            </w:r>
          </w:p>
        </w:tc>
        <w:tc>
          <w:tcPr>
            <w:tcW w:w="366" w:type="pct"/>
            <w:shd w:val="clear" w:color="auto" w:fill="auto"/>
            <w:vAlign w:val="center"/>
          </w:tcPr>
          <w:p w14:paraId="2CB8FE6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44B2B32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76340922">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6F3B1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13702C9D">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8</w:t>
            </w:r>
          </w:p>
        </w:tc>
        <w:tc>
          <w:tcPr>
            <w:tcW w:w="587" w:type="pct"/>
            <w:vMerge w:val="restart"/>
            <w:shd w:val="clear" w:color="auto" w:fill="auto"/>
            <w:vAlign w:val="center"/>
          </w:tcPr>
          <w:p w14:paraId="66CA87E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护栏</w:t>
            </w:r>
          </w:p>
        </w:tc>
        <w:tc>
          <w:tcPr>
            <w:tcW w:w="3084" w:type="pct"/>
            <w:gridSpan w:val="2"/>
            <w:shd w:val="clear" w:color="auto" w:fill="auto"/>
            <w:vAlign w:val="center"/>
          </w:tcPr>
          <w:p w14:paraId="528F0F9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设备转运工位的安全围栏 </w:t>
            </w:r>
          </w:p>
        </w:tc>
        <w:tc>
          <w:tcPr>
            <w:tcW w:w="366" w:type="pct"/>
            <w:shd w:val="clear" w:color="auto" w:fill="auto"/>
            <w:vAlign w:val="center"/>
          </w:tcPr>
          <w:p w14:paraId="426FCF7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22E488E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63F2B054">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FF0000"/>
                <w:kern w:val="0"/>
                <w:sz w:val="24"/>
                <w:szCs w:val="24"/>
              </w:rPr>
            </w:pPr>
          </w:p>
        </w:tc>
      </w:tr>
      <w:tr w14:paraId="433A0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042BDC4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33F1FC7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084" w:type="pct"/>
            <w:gridSpan w:val="2"/>
            <w:shd w:val="clear" w:color="auto" w:fill="auto"/>
            <w:vAlign w:val="center"/>
          </w:tcPr>
          <w:p w14:paraId="4359DC31">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防撞护栏 </w:t>
            </w:r>
          </w:p>
        </w:tc>
        <w:tc>
          <w:tcPr>
            <w:tcW w:w="366" w:type="pct"/>
            <w:shd w:val="clear" w:color="auto" w:fill="auto"/>
            <w:vAlign w:val="center"/>
          </w:tcPr>
          <w:p w14:paraId="16A6AAB9">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432BB55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4C403AE5">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color w:val="FF0000"/>
                <w:kern w:val="0"/>
                <w:sz w:val="24"/>
                <w:szCs w:val="24"/>
              </w:rPr>
            </w:pPr>
          </w:p>
        </w:tc>
      </w:tr>
      <w:tr w14:paraId="7897B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restart"/>
            <w:shd w:val="clear" w:color="auto" w:fill="auto"/>
            <w:vAlign w:val="center"/>
          </w:tcPr>
          <w:p w14:paraId="567AF34C">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9</w:t>
            </w:r>
          </w:p>
        </w:tc>
        <w:tc>
          <w:tcPr>
            <w:tcW w:w="587" w:type="pct"/>
            <w:shd w:val="clear" w:color="auto" w:fill="auto"/>
            <w:vAlign w:val="center"/>
          </w:tcPr>
          <w:p w14:paraId="40545A2A">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上位系统</w:t>
            </w:r>
          </w:p>
        </w:tc>
        <w:tc>
          <w:tcPr>
            <w:tcW w:w="3084" w:type="pct"/>
            <w:gridSpan w:val="2"/>
            <w:shd w:val="clear" w:color="auto" w:fill="auto"/>
            <w:vAlign w:val="center"/>
          </w:tcPr>
          <w:p w14:paraId="1348EB3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上位系统（如有），如MES、MOM及ERP等 </w:t>
            </w:r>
          </w:p>
        </w:tc>
        <w:tc>
          <w:tcPr>
            <w:tcW w:w="366" w:type="pct"/>
            <w:shd w:val="clear" w:color="auto" w:fill="auto"/>
            <w:vAlign w:val="center"/>
          </w:tcPr>
          <w:p w14:paraId="111906E8">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116F0C20">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b/>
                <w:bCs/>
                <w:kern w:val="0"/>
                <w:sz w:val="24"/>
                <w:szCs w:val="24"/>
              </w:rPr>
            </w:pPr>
          </w:p>
        </w:tc>
        <w:tc>
          <w:tcPr>
            <w:tcW w:w="357" w:type="pct"/>
            <w:shd w:val="clear" w:color="auto" w:fill="auto"/>
            <w:vAlign w:val="center"/>
          </w:tcPr>
          <w:p w14:paraId="393AA689">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6DC0B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69F3480C">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restart"/>
            <w:shd w:val="clear" w:color="auto" w:fill="auto"/>
            <w:vAlign w:val="center"/>
          </w:tcPr>
          <w:p w14:paraId="04E4FC32">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厂区网络</w:t>
            </w:r>
          </w:p>
        </w:tc>
        <w:tc>
          <w:tcPr>
            <w:tcW w:w="3084" w:type="pct"/>
            <w:gridSpan w:val="2"/>
            <w:shd w:val="clear" w:color="auto" w:fill="auto"/>
            <w:vAlign w:val="center"/>
          </w:tcPr>
          <w:p w14:paraId="1358B09B">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w:t>
            </w:r>
            <w:r>
              <w:rPr>
                <w:rFonts w:hint="eastAsia" w:ascii="宋体" w:hAnsi="宋体" w:eastAsia="宋体" w:cs="宋体"/>
                <w:kern w:val="0"/>
                <w:sz w:val="24"/>
                <w:szCs w:val="24"/>
              </w:rPr>
              <w:t xml:space="preserve">负责上位系统（如MES、MOM及ERP等）在中控室预留接口 </w:t>
            </w:r>
          </w:p>
        </w:tc>
        <w:tc>
          <w:tcPr>
            <w:tcW w:w="366" w:type="pct"/>
            <w:shd w:val="clear" w:color="auto" w:fill="auto"/>
            <w:vAlign w:val="center"/>
          </w:tcPr>
          <w:p w14:paraId="6C0F6CF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67" w:type="pct"/>
            <w:shd w:val="clear" w:color="auto" w:fill="auto"/>
            <w:vAlign w:val="center"/>
          </w:tcPr>
          <w:p w14:paraId="67112452">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57" w:type="pct"/>
            <w:shd w:val="clear" w:color="auto" w:fill="auto"/>
            <w:vAlign w:val="center"/>
          </w:tcPr>
          <w:p w14:paraId="27F7B046">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r w14:paraId="1EB0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36" w:type="pct"/>
            <w:vMerge w:val="continue"/>
            <w:vAlign w:val="center"/>
          </w:tcPr>
          <w:p w14:paraId="627EF025">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587" w:type="pct"/>
            <w:vMerge w:val="continue"/>
            <w:vAlign w:val="center"/>
          </w:tcPr>
          <w:p w14:paraId="6FBAE6D7">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c>
          <w:tcPr>
            <w:tcW w:w="3084" w:type="pct"/>
            <w:gridSpan w:val="2"/>
            <w:shd w:val="clear" w:color="auto" w:fill="auto"/>
            <w:vAlign w:val="center"/>
          </w:tcPr>
          <w:p w14:paraId="55F5B068">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cs="宋体"/>
                <w:kern w:val="0"/>
                <w:sz w:val="24"/>
                <w:szCs w:val="24"/>
                <w:lang w:val="en-US" w:eastAsia="zh-CN"/>
              </w:rPr>
              <w:t>.</w:t>
            </w:r>
            <w:r>
              <w:rPr>
                <w:rFonts w:hint="eastAsia" w:ascii="宋体" w:hAnsi="宋体" w:eastAsia="宋体" w:cs="宋体"/>
                <w:kern w:val="0"/>
                <w:sz w:val="24"/>
                <w:szCs w:val="24"/>
              </w:rPr>
              <w:t xml:space="preserve">到中控室预留的接口取信号 </w:t>
            </w:r>
          </w:p>
        </w:tc>
        <w:tc>
          <w:tcPr>
            <w:tcW w:w="366" w:type="pct"/>
            <w:shd w:val="clear" w:color="auto" w:fill="auto"/>
            <w:vAlign w:val="center"/>
          </w:tcPr>
          <w:p w14:paraId="2747699B">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p>
        </w:tc>
        <w:tc>
          <w:tcPr>
            <w:tcW w:w="367" w:type="pct"/>
            <w:shd w:val="clear" w:color="auto" w:fill="auto"/>
            <w:vAlign w:val="center"/>
          </w:tcPr>
          <w:p w14:paraId="68703A01">
            <w:pPr>
              <w:keepNext w:val="0"/>
              <w:keepLines w:val="0"/>
              <w:pageBreakBefore w:val="0"/>
              <w:widowControl/>
              <w:kinsoku/>
              <w:overflowPunct/>
              <w:topLinePunct w:val="0"/>
              <w:bidi w:val="0"/>
              <w:adjustRightInd w:val="0"/>
              <w:snapToGrid w:val="0"/>
              <w:spacing w:afterAutospacing="0"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w:t>
            </w:r>
          </w:p>
        </w:tc>
        <w:tc>
          <w:tcPr>
            <w:tcW w:w="357" w:type="pct"/>
            <w:shd w:val="clear" w:color="auto" w:fill="auto"/>
            <w:vAlign w:val="center"/>
          </w:tcPr>
          <w:p w14:paraId="65347B75">
            <w:pPr>
              <w:keepNext w:val="0"/>
              <w:keepLines w:val="0"/>
              <w:pageBreakBefore w:val="0"/>
              <w:widowControl/>
              <w:kinsoku/>
              <w:overflowPunct/>
              <w:topLinePunct w:val="0"/>
              <w:bidi w:val="0"/>
              <w:adjustRightInd w:val="0"/>
              <w:snapToGrid w:val="0"/>
              <w:spacing w:afterAutospacing="0" w:line="240" w:lineRule="auto"/>
              <w:jc w:val="left"/>
              <w:rPr>
                <w:rFonts w:hint="eastAsia" w:ascii="宋体" w:hAnsi="宋体" w:eastAsia="宋体" w:cs="宋体"/>
                <w:kern w:val="0"/>
                <w:sz w:val="24"/>
                <w:szCs w:val="24"/>
              </w:rPr>
            </w:pPr>
          </w:p>
        </w:tc>
      </w:tr>
    </w:tbl>
    <w:p w14:paraId="14028D20">
      <w:pPr>
        <w:pageBreakBefore w:val="0"/>
        <w:kinsoku/>
        <w:topLinePunct w:val="0"/>
        <w:bidi w:val="0"/>
        <w:adjustRightInd w:val="0"/>
        <w:snapToGrid w:val="0"/>
        <w:spacing w:afterAutospacing="0" w:line="360" w:lineRule="auto"/>
      </w:pPr>
    </w:p>
    <w:p w14:paraId="78225C4E">
      <w:pPr>
        <w:pageBreakBefore w:val="0"/>
        <w:kinsoku/>
        <w:topLinePunct w:val="0"/>
        <w:bidi w:val="0"/>
        <w:adjustRightInd w:val="0"/>
        <w:snapToGrid w:val="0"/>
        <w:spacing w:afterAutospacing="0" w:line="360" w:lineRule="auto"/>
      </w:pPr>
    </w:p>
    <w:p w14:paraId="089155BC">
      <w:pPr>
        <w:pageBreakBefore w:val="0"/>
        <w:kinsoku/>
        <w:topLinePunct w:val="0"/>
        <w:bidi w:val="0"/>
        <w:adjustRightInd w:val="0"/>
        <w:snapToGrid w:val="0"/>
        <w:spacing w:afterAutospacing="0" w:line="360" w:lineRule="auto"/>
      </w:pPr>
    </w:p>
    <w:p w14:paraId="2A9D81DE">
      <w:pPr>
        <w:pageBreakBefore w:val="0"/>
        <w:kinsoku/>
        <w:topLinePunct w:val="0"/>
        <w:bidi w:val="0"/>
        <w:adjustRightInd w:val="0"/>
        <w:snapToGrid w:val="0"/>
        <w:spacing w:afterAutospacing="0" w:line="360" w:lineRule="auto"/>
      </w:pPr>
    </w:p>
    <w:p w14:paraId="6CA2156D">
      <w:pPr>
        <w:pageBreakBefore w:val="0"/>
        <w:kinsoku/>
        <w:topLinePunct w:val="0"/>
        <w:bidi w:val="0"/>
        <w:adjustRightInd w:val="0"/>
        <w:snapToGrid w:val="0"/>
        <w:spacing w:afterAutospacing="0" w:line="360" w:lineRule="auto"/>
      </w:pPr>
    </w:p>
    <w:p w14:paraId="7C7821A6">
      <w:pPr>
        <w:pageBreakBefore w:val="0"/>
        <w:kinsoku/>
        <w:topLinePunct w:val="0"/>
        <w:bidi w:val="0"/>
        <w:adjustRightInd w:val="0"/>
        <w:snapToGrid w:val="0"/>
        <w:spacing w:afterAutospacing="0" w:line="360" w:lineRule="auto"/>
      </w:pPr>
    </w:p>
    <w:p w14:paraId="53E2FB1E">
      <w:pPr>
        <w:pStyle w:val="4"/>
        <w:keepNext w:val="0"/>
        <w:keepLines w:val="0"/>
        <w:pageBreakBefore w:val="0"/>
        <w:numPr>
          <w:ilvl w:val="0"/>
          <w:numId w:val="0"/>
        </w:numPr>
        <w:kinsoku/>
        <w:overflowPunct/>
        <w:topLinePunct w:val="0"/>
        <w:bidi w:val="0"/>
        <w:adjustRightInd w:val="0"/>
        <w:snapToGrid w:val="0"/>
        <w:spacing w:before="0" w:afterAutospacing="0" w:line="360" w:lineRule="auto"/>
        <w:ind w:leftChars="0"/>
      </w:pPr>
    </w:p>
    <w:p w14:paraId="25044197">
      <w:pPr>
        <w:pageBreakBefore w:val="0"/>
        <w:kinsoku/>
        <w:topLinePunct w:val="0"/>
        <w:bidi w:val="0"/>
        <w:adjustRightInd w:val="0"/>
        <w:snapToGrid w:val="0"/>
        <w:spacing w:afterAutospacing="0" w:line="360" w:lineRule="auto"/>
      </w:pPr>
    </w:p>
    <w:p w14:paraId="16542BC4">
      <w:pPr>
        <w:pageBreakBefore w:val="0"/>
        <w:kinsoku/>
        <w:topLinePunct w:val="0"/>
        <w:bidi w:val="0"/>
        <w:adjustRightInd w:val="0"/>
        <w:snapToGrid w:val="0"/>
        <w:spacing w:afterAutospacing="0" w:line="360" w:lineRule="auto"/>
      </w:pPr>
    </w:p>
    <w:p w14:paraId="5A05F09C">
      <w:pPr>
        <w:pageBreakBefore w:val="0"/>
        <w:kinsoku/>
        <w:topLinePunct w:val="0"/>
        <w:bidi w:val="0"/>
        <w:adjustRightInd w:val="0"/>
        <w:snapToGrid w:val="0"/>
        <w:spacing w:afterAutospacing="0" w:line="360" w:lineRule="auto"/>
      </w:pPr>
    </w:p>
    <w:p w14:paraId="496B1950">
      <w:pPr>
        <w:pageBreakBefore w:val="0"/>
        <w:kinsoku/>
        <w:topLinePunct w:val="0"/>
        <w:bidi w:val="0"/>
        <w:adjustRightInd w:val="0"/>
        <w:snapToGrid w:val="0"/>
        <w:spacing w:afterAutospacing="0" w:line="360" w:lineRule="auto"/>
      </w:pPr>
    </w:p>
    <w:p w14:paraId="1CE1F2CA">
      <w:pPr>
        <w:pageBreakBefore w:val="0"/>
        <w:kinsoku/>
        <w:topLinePunct w:val="0"/>
        <w:bidi w:val="0"/>
        <w:adjustRightInd w:val="0"/>
        <w:snapToGrid w:val="0"/>
        <w:spacing w:afterAutospacing="0" w:line="360" w:lineRule="auto"/>
      </w:pPr>
    </w:p>
    <w:p w14:paraId="13684A4F">
      <w:pPr>
        <w:pageBreakBefore w:val="0"/>
        <w:kinsoku/>
        <w:topLinePunct w:val="0"/>
        <w:bidi w:val="0"/>
        <w:adjustRightInd w:val="0"/>
        <w:snapToGrid w:val="0"/>
        <w:spacing w:afterAutospacing="0" w:line="360" w:lineRule="auto"/>
      </w:pPr>
    </w:p>
    <w:p w14:paraId="6A348F87">
      <w:pPr>
        <w:pageBreakBefore w:val="0"/>
        <w:kinsoku/>
        <w:topLinePunct w:val="0"/>
        <w:bidi w:val="0"/>
        <w:adjustRightInd w:val="0"/>
        <w:snapToGrid w:val="0"/>
        <w:spacing w:afterAutospacing="0" w:line="360" w:lineRule="auto"/>
      </w:pPr>
    </w:p>
    <w:p w14:paraId="2A1758FD">
      <w:pPr>
        <w:pageBreakBefore w:val="0"/>
        <w:kinsoku/>
        <w:topLinePunct w:val="0"/>
        <w:bidi w:val="0"/>
        <w:adjustRightInd w:val="0"/>
        <w:snapToGrid w:val="0"/>
        <w:spacing w:afterAutospacing="0" w:line="360" w:lineRule="auto"/>
      </w:pPr>
    </w:p>
    <w:p w14:paraId="71271F9A">
      <w:pPr>
        <w:pageBreakBefore w:val="0"/>
        <w:kinsoku/>
        <w:topLinePunct w:val="0"/>
        <w:bidi w:val="0"/>
        <w:adjustRightInd w:val="0"/>
        <w:snapToGrid w:val="0"/>
        <w:spacing w:afterAutospacing="0" w:line="360" w:lineRule="auto"/>
      </w:pPr>
    </w:p>
    <w:p w14:paraId="62E1DEFE"/>
    <w:p w14:paraId="57369180"/>
    <w:sectPr>
      <w:pgSz w:w="11906" w:h="16838"/>
      <w:pgMar w:top="1440" w:right="1134" w:bottom="1440" w:left="13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8C01B9B-BE45-4384-A267-24EDCFF2353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16BA447B-25E1-435F-B8B5-6E559676C799}"/>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7F" w:usb3="00000000" w:csb0="203F01FF" w:csb1="DFFF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Wonder Arial">
    <w:altName w:val="Arial"/>
    <w:panose1 w:val="00000500000000000000"/>
    <w:charset w:val="00"/>
    <w:family w:val="auto"/>
    <w:pitch w:val="default"/>
    <w:sig w:usb0="00000000" w:usb1="00000000" w:usb2="00000000" w:usb3="00000000" w:csb0="00000011" w:csb1="00000000"/>
  </w:font>
  <w:font w:name="GreekC">
    <w:altName w:val="Segoe Print"/>
    <w:panose1 w:val="00000400000000000000"/>
    <w:charset w:val="00"/>
    <w:family w:val="auto"/>
    <w:pitch w:val="default"/>
    <w:sig w:usb0="00000000" w:usb1="00000000" w:usb2="00000000" w:usb3="00000000" w:csb0="000001FF"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ss Sweetie">
    <w:altName w:val="MV Boli"/>
    <w:panose1 w:val="02000503000000000000"/>
    <w:charset w:val="00"/>
    <w:family w:val="auto"/>
    <w:pitch w:val="default"/>
    <w:sig w:usb0="00000000" w:usb1="00000000" w:usb2="00000000" w:usb3="00000000" w:csb0="00000001" w:csb1="00000000"/>
  </w:font>
  <w:font w:name="MV Boli">
    <w:panose1 w:val="02000500030200090000"/>
    <w:charset w:val="00"/>
    <w:family w:val="auto"/>
    <w:pitch w:val="default"/>
    <w:sig w:usb0="00000003" w:usb1="00000000" w:usb2="000001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ant to be your sun">
    <w:altName w:val="MV Boli"/>
    <w:panose1 w:val="02000503000000000000"/>
    <w:charset w:val="00"/>
    <w:family w:val="auto"/>
    <w:pitch w:val="default"/>
    <w:sig w:usb0="00000000" w:usb1="00000000" w:usb2="00000008" w:usb3="00000000" w:csb0="00000001" w:csb1="00000000"/>
  </w:font>
  <w:font w:name="Ms">
    <w:altName w:val="Calibr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宋体-方正超大字符集">
    <w:altName w:val="宋体"/>
    <w:panose1 w:val="00000000000000000000"/>
    <w:charset w:val="86"/>
    <w:family w:val="script"/>
    <w:pitch w:val="default"/>
    <w:sig w:usb0="00000000" w:usb1="00000000" w:usb2="00000010" w:usb3="00000000" w:csb0="00040000" w:csb1="00000000"/>
    <w:embedRegular r:id="rId3" w:fontKey="{1D1F09B4-E05B-4EF0-81D7-E4743D4901E5}"/>
  </w:font>
  <w:font w:name="Segoe Print">
    <w:panose1 w:val="02000600000000000000"/>
    <w:charset w:val="00"/>
    <w:family w:val="auto"/>
    <w:pitch w:val="default"/>
    <w:sig w:usb0="0000028F" w:usb1="00000000" w:usb2="00000000" w:usb3="00000000" w:csb0="2000009F" w:csb1="4701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659D6">
    <w:pPr>
      <w:pStyle w:val="28"/>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B197E"/>
    <w:multiLevelType w:val="multilevel"/>
    <w:tmpl w:val="809B197E"/>
    <w:lvl w:ilvl="0" w:tentative="0">
      <w:start w:val="1"/>
      <w:numFmt w:val="lowerLetter"/>
      <w:suff w:val="space"/>
      <w:lvlText w:val="%1."/>
      <w:lvlJc w:val="left"/>
      <w:pPr>
        <w:tabs>
          <w:tab w:val="left" w:pos="0"/>
        </w:tabs>
        <w:ind w:left="420" w:firstLine="0"/>
      </w:pPr>
      <w:rPr>
        <w:rFonts w:hint="eastAsia"/>
      </w:rPr>
    </w:lvl>
    <w:lvl w:ilvl="1" w:tentative="0">
      <w:start w:val="1"/>
      <w:numFmt w:val="decimalEnclosedCircle"/>
      <w:lvlText w:val="%2、"/>
      <w:lvlJc w:val="left"/>
      <w:pPr>
        <w:tabs>
          <w:tab w:val="left" w:pos="420"/>
        </w:tabs>
        <w:ind w:left="1320" w:hanging="48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1">
    <w:nsid w:val="80AB6B60"/>
    <w:multiLevelType w:val="singleLevel"/>
    <w:tmpl w:val="80AB6B60"/>
    <w:lvl w:ilvl="0" w:tentative="0">
      <w:start w:val="1"/>
      <w:numFmt w:val="decimal"/>
      <w:suff w:val="space"/>
      <w:lvlText w:val="%1)"/>
      <w:lvlJc w:val="left"/>
      <w:pPr>
        <w:ind w:left="0" w:firstLine="480"/>
      </w:pPr>
      <w:rPr>
        <w:rFonts w:hint="default"/>
      </w:rPr>
    </w:lvl>
  </w:abstractNum>
  <w:abstractNum w:abstractNumId="2">
    <w:nsid w:val="80E036B7"/>
    <w:multiLevelType w:val="singleLevel"/>
    <w:tmpl w:val="80E036B7"/>
    <w:lvl w:ilvl="0" w:tentative="0">
      <w:start w:val="1"/>
      <w:numFmt w:val="decimal"/>
      <w:suff w:val="space"/>
      <w:lvlText w:val="2.1.%1"/>
      <w:lvlJc w:val="left"/>
      <w:pPr>
        <w:tabs>
          <w:tab w:val="left" w:pos="0"/>
        </w:tabs>
        <w:ind w:left="0" w:firstLine="0"/>
      </w:pPr>
      <w:rPr>
        <w:rFonts w:hint="default"/>
      </w:rPr>
    </w:lvl>
  </w:abstractNum>
  <w:abstractNum w:abstractNumId="3">
    <w:nsid w:val="812BBA0D"/>
    <w:multiLevelType w:val="singleLevel"/>
    <w:tmpl w:val="812BBA0D"/>
    <w:lvl w:ilvl="0" w:tentative="0">
      <w:start w:val="1"/>
      <w:numFmt w:val="decimal"/>
      <w:suff w:val="space"/>
      <w:lvlText w:val="3.%1"/>
      <w:lvlJc w:val="left"/>
      <w:pPr>
        <w:ind w:left="0" w:firstLine="480"/>
      </w:pPr>
      <w:rPr>
        <w:rFonts w:hint="default"/>
      </w:rPr>
    </w:lvl>
  </w:abstractNum>
  <w:abstractNum w:abstractNumId="4">
    <w:nsid w:val="81EBC67E"/>
    <w:multiLevelType w:val="multilevel"/>
    <w:tmpl w:val="81EBC67E"/>
    <w:lvl w:ilvl="0" w:tentative="0">
      <w:start w:val="1"/>
      <w:numFmt w:val="lowerLetter"/>
      <w:suff w:val="space"/>
      <w:lvlText w:val="%1"/>
      <w:lvlJc w:val="left"/>
      <w:pPr>
        <w:ind w:left="1264" w:hanging="844"/>
      </w:pPr>
      <w:rPr>
        <w:rFonts w:hint="default"/>
      </w:rPr>
    </w:lvl>
    <w:lvl w:ilvl="1" w:tentative="0">
      <w:start w:val="1"/>
      <w:numFmt w:val="lowerLetter"/>
      <w:lvlText w:val="%2)"/>
      <w:lvlJc w:val="left"/>
      <w:pPr>
        <w:tabs>
          <w:tab w:val="left" w:pos="420"/>
        </w:tabs>
        <w:ind w:left="1684" w:hanging="420"/>
      </w:pPr>
    </w:lvl>
    <w:lvl w:ilvl="2" w:tentative="0">
      <w:start w:val="1"/>
      <w:numFmt w:val="lowerRoman"/>
      <w:lvlText w:val="%3."/>
      <w:lvlJc w:val="right"/>
      <w:pPr>
        <w:tabs>
          <w:tab w:val="left" w:pos="420"/>
        </w:tabs>
        <w:ind w:left="2104" w:hanging="420"/>
      </w:pPr>
    </w:lvl>
    <w:lvl w:ilvl="3" w:tentative="0">
      <w:start w:val="1"/>
      <w:numFmt w:val="decimal"/>
      <w:lvlText w:val="%4."/>
      <w:lvlJc w:val="left"/>
      <w:pPr>
        <w:tabs>
          <w:tab w:val="left" w:pos="420"/>
        </w:tabs>
        <w:ind w:left="2524" w:hanging="420"/>
      </w:pPr>
    </w:lvl>
    <w:lvl w:ilvl="4" w:tentative="0">
      <w:start w:val="1"/>
      <w:numFmt w:val="lowerLetter"/>
      <w:lvlText w:val="%5)"/>
      <w:lvlJc w:val="left"/>
      <w:pPr>
        <w:tabs>
          <w:tab w:val="left" w:pos="420"/>
        </w:tabs>
        <w:ind w:left="2944" w:hanging="420"/>
      </w:pPr>
    </w:lvl>
    <w:lvl w:ilvl="5" w:tentative="0">
      <w:start w:val="1"/>
      <w:numFmt w:val="lowerRoman"/>
      <w:lvlText w:val="%6."/>
      <w:lvlJc w:val="right"/>
      <w:pPr>
        <w:tabs>
          <w:tab w:val="left" w:pos="420"/>
        </w:tabs>
        <w:ind w:left="3364" w:hanging="420"/>
      </w:pPr>
    </w:lvl>
    <w:lvl w:ilvl="6" w:tentative="0">
      <w:start w:val="1"/>
      <w:numFmt w:val="decimal"/>
      <w:lvlText w:val="%7."/>
      <w:lvlJc w:val="left"/>
      <w:pPr>
        <w:tabs>
          <w:tab w:val="left" w:pos="420"/>
        </w:tabs>
        <w:ind w:left="3784" w:hanging="420"/>
      </w:pPr>
    </w:lvl>
    <w:lvl w:ilvl="7" w:tentative="0">
      <w:start w:val="1"/>
      <w:numFmt w:val="lowerLetter"/>
      <w:lvlText w:val="%8)"/>
      <w:lvlJc w:val="left"/>
      <w:pPr>
        <w:tabs>
          <w:tab w:val="left" w:pos="420"/>
        </w:tabs>
        <w:ind w:left="4204" w:hanging="420"/>
      </w:pPr>
    </w:lvl>
    <w:lvl w:ilvl="8" w:tentative="0">
      <w:start w:val="1"/>
      <w:numFmt w:val="lowerRoman"/>
      <w:lvlText w:val="%9."/>
      <w:lvlJc w:val="right"/>
      <w:pPr>
        <w:tabs>
          <w:tab w:val="left" w:pos="420"/>
        </w:tabs>
        <w:ind w:left="4624" w:hanging="420"/>
      </w:pPr>
    </w:lvl>
  </w:abstractNum>
  <w:abstractNum w:abstractNumId="5">
    <w:nsid w:val="82494ABD"/>
    <w:multiLevelType w:val="singleLevel"/>
    <w:tmpl w:val="82494ABD"/>
    <w:lvl w:ilvl="0" w:tentative="0">
      <w:start w:val="1"/>
      <w:numFmt w:val="decimal"/>
      <w:suff w:val="space"/>
      <w:lvlText w:val="%1)"/>
      <w:lvlJc w:val="left"/>
      <w:pPr>
        <w:ind w:left="0" w:firstLine="480"/>
      </w:pPr>
      <w:rPr>
        <w:rFonts w:hint="default"/>
      </w:rPr>
    </w:lvl>
  </w:abstractNum>
  <w:abstractNum w:abstractNumId="6">
    <w:nsid w:val="82AB8592"/>
    <w:multiLevelType w:val="singleLevel"/>
    <w:tmpl w:val="82AB8592"/>
    <w:lvl w:ilvl="0" w:tentative="0">
      <w:start w:val="2"/>
      <w:numFmt w:val="chineseCounting"/>
      <w:suff w:val="nothing"/>
      <w:lvlText w:val="%1、"/>
      <w:lvlJc w:val="left"/>
      <w:rPr>
        <w:rFonts w:hint="eastAsia"/>
      </w:rPr>
    </w:lvl>
  </w:abstractNum>
  <w:abstractNum w:abstractNumId="7">
    <w:nsid w:val="82D72A5E"/>
    <w:multiLevelType w:val="singleLevel"/>
    <w:tmpl w:val="82D72A5E"/>
    <w:lvl w:ilvl="0" w:tentative="0">
      <w:start w:val="1"/>
      <w:numFmt w:val="decimalEnclosedCircleChinese"/>
      <w:suff w:val="nothing"/>
      <w:lvlText w:val="%1　"/>
      <w:lvlJc w:val="left"/>
      <w:pPr>
        <w:ind w:left="0" w:firstLine="400"/>
      </w:pPr>
      <w:rPr>
        <w:rFonts w:hint="eastAsia"/>
      </w:rPr>
    </w:lvl>
  </w:abstractNum>
  <w:abstractNum w:abstractNumId="8">
    <w:nsid w:val="82EE19F5"/>
    <w:multiLevelType w:val="singleLevel"/>
    <w:tmpl w:val="82EE19F5"/>
    <w:lvl w:ilvl="0" w:tentative="0">
      <w:start w:val="1"/>
      <w:numFmt w:val="decimal"/>
      <w:suff w:val="nothing"/>
      <w:lvlText w:val="3.%1"/>
      <w:lvlJc w:val="left"/>
      <w:pPr>
        <w:tabs>
          <w:tab w:val="left" w:pos="0"/>
        </w:tabs>
        <w:ind w:left="0" w:firstLine="0"/>
      </w:pPr>
      <w:rPr>
        <w:rFonts w:hint="default"/>
      </w:rPr>
    </w:lvl>
  </w:abstractNum>
  <w:abstractNum w:abstractNumId="9">
    <w:nsid w:val="838865C2"/>
    <w:multiLevelType w:val="singleLevel"/>
    <w:tmpl w:val="838865C2"/>
    <w:lvl w:ilvl="0" w:tentative="0">
      <w:start w:val="1"/>
      <w:numFmt w:val="decimal"/>
      <w:suff w:val="nothing"/>
      <w:lvlText w:val="%1."/>
      <w:lvlJc w:val="left"/>
      <w:pPr>
        <w:tabs>
          <w:tab w:val="left" w:pos="0"/>
        </w:tabs>
        <w:ind w:left="0" w:firstLine="480"/>
      </w:pPr>
      <w:rPr>
        <w:rFonts w:hint="default"/>
      </w:rPr>
    </w:lvl>
  </w:abstractNum>
  <w:abstractNum w:abstractNumId="10">
    <w:nsid w:val="83AC4338"/>
    <w:multiLevelType w:val="singleLevel"/>
    <w:tmpl w:val="83AC4338"/>
    <w:lvl w:ilvl="0" w:tentative="0">
      <w:start w:val="1"/>
      <w:numFmt w:val="decimal"/>
      <w:suff w:val="space"/>
      <w:lvlText w:val="2.%1"/>
      <w:lvlJc w:val="left"/>
      <w:pPr>
        <w:ind w:left="0" w:firstLine="480"/>
      </w:pPr>
      <w:rPr>
        <w:rFonts w:hint="default"/>
      </w:rPr>
    </w:lvl>
  </w:abstractNum>
  <w:abstractNum w:abstractNumId="11">
    <w:nsid w:val="83C0F7F1"/>
    <w:multiLevelType w:val="singleLevel"/>
    <w:tmpl w:val="83C0F7F1"/>
    <w:lvl w:ilvl="0" w:tentative="0">
      <w:start w:val="1"/>
      <w:numFmt w:val="decimal"/>
      <w:suff w:val="space"/>
      <w:lvlText w:val="%1)"/>
      <w:lvlJc w:val="left"/>
      <w:pPr>
        <w:ind w:left="0" w:firstLine="480"/>
      </w:pPr>
      <w:rPr>
        <w:rFonts w:hint="default"/>
      </w:rPr>
    </w:lvl>
  </w:abstractNum>
  <w:abstractNum w:abstractNumId="12">
    <w:nsid w:val="83F28870"/>
    <w:multiLevelType w:val="singleLevel"/>
    <w:tmpl w:val="83F28870"/>
    <w:lvl w:ilvl="0" w:tentative="0">
      <w:start w:val="1"/>
      <w:numFmt w:val="decimal"/>
      <w:suff w:val="space"/>
      <w:lvlText w:val="3.%1"/>
      <w:lvlJc w:val="left"/>
      <w:pPr>
        <w:ind w:left="0" w:firstLine="480"/>
      </w:pPr>
      <w:rPr>
        <w:rFonts w:hint="default" w:ascii="宋体" w:hAnsi="宋体" w:eastAsia="宋体" w:cs="宋体"/>
        <w:sz w:val="24"/>
        <w:szCs w:val="24"/>
      </w:rPr>
    </w:lvl>
  </w:abstractNum>
  <w:abstractNum w:abstractNumId="13">
    <w:nsid w:val="83F74DBD"/>
    <w:multiLevelType w:val="singleLevel"/>
    <w:tmpl w:val="83F74DBD"/>
    <w:lvl w:ilvl="0" w:tentative="0">
      <w:start w:val="1"/>
      <w:numFmt w:val="decimal"/>
      <w:suff w:val="space"/>
      <w:lvlText w:val="%1."/>
      <w:lvlJc w:val="left"/>
      <w:pPr>
        <w:tabs>
          <w:tab w:val="left" w:pos="0"/>
        </w:tabs>
        <w:ind w:left="0" w:firstLine="0"/>
      </w:pPr>
      <w:rPr>
        <w:rFonts w:hint="default" w:ascii="宋体" w:hAnsi="宋体" w:eastAsia="宋体" w:cs="宋体"/>
      </w:rPr>
    </w:lvl>
  </w:abstractNum>
  <w:abstractNum w:abstractNumId="14">
    <w:nsid w:val="851441EE"/>
    <w:multiLevelType w:val="singleLevel"/>
    <w:tmpl w:val="851441EE"/>
    <w:lvl w:ilvl="0" w:tentative="0">
      <w:start w:val="1"/>
      <w:numFmt w:val="bullet"/>
      <w:suff w:val="space"/>
      <w:lvlText w:val=""/>
      <w:lvlJc w:val="left"/>
      <w:pPr>
        <w:ind w:left="420" w:hanging="420"/>
      </w:pPr>
      <w:rPr>
        <w:rFonts w:hint="default" w:ascii="Wingdings" w:hAnsi="Wingdings"/>
      </w:rPr>
    </w:lvl>
  </w:abstractNum>
  <w:abstractNum w:abstractNumId="15">
    <w:nsid w:val="853058FF"/>
    <w:multiLevelType w:val="singleLevel"/>
    <w:tmpl w:val="853058FF"/>
    <w:lvl w:ilvl="0" w:tentative="0">
      <w:start w:val="1"/>
      <w:numFmt w:val="decimal"/>
      <w:suff w:val="nothing"/>
      <w:lvlText w:val="%1."/>
      <w:lvlJc w:val="left"/>
      <w:pPr>
        <w:tabs>
          <w:tab w:val="left" w:pos="0"/>
        </w:tabs>
        <w:ind w:left="0" w:firstLine="0"/>
      </w:pPr>
      <w:rPr>
        <w:rFonts w:hint="default" w:ascii="宋体" w:hAnsi="宋体" w:eastAsia="宋体" w:cs="宋体"/>
        <w:b w:val="0"/>
        <w:bCs w:val="0"/>
      </w:rPr>
    </w:lvl>
  </w:abstractNum>
  <w:abstractNum w:abstractNumId="16">
    <w:nsid w:val="8534C4B2"/>
    <w:multiLevelType w:val="singleLevel"/>
    <w:tmpl w:val="8534C4B2"/>
    <w:lvl w:ilvl="0" w:tentative="0">
      <w:start w:val="1"/>
      <w:numFmt w:val="decimal"/>
      <w:suff w:val="space"/>
      <w:lvlText w:val="%1)"/>
      <w:lvlJc w:val="left"/>
      <w:pPr>
        <w:ind w:left="0" w:firstLine="480"/>
      </w:pPr>
      <w:rPr>
        <w:rFonts w:hint="default"/>
      </w:rPr>
    </w:lvl>
  </w:abstractNum>
  <w:abstractNum w:abstractNumId="17">
    <w:nsid w:val="8705EC67"/>
    <w:multiLevelType w:val="singleLevel"/>
    <w:tmpl w:val="8705EC67"/>
    <w:lvl w:ilvl="0" w:tentative="0">
      <w:start w:val="1"/>
      <w:numFmt w:val="bullet"/>
      <w:lvlText w:val=""/>
      <w:lvlJc w:val="left"/>
      <w:pPr>
        <w:ind w:left="420" w:hanging="420"/>
      </w:pPr>
      <w:rPr>
        <w:rFonts w:hint="default" w:ascii="Wingdings" w:hAnsi="Wingdings"/>
      </w:rPr>
    </w:lvl>
  </w:abstractNum>
  <w:abstractNum w:abstractNumId="18">
    <w:nsid w:val="87305B83"/>
    <w:multiLevelType w:val="singleLevel"/>
    <w:tmpl w:val="87305B83"/>
    <w:lvl w:ilvl="0" w:tentative="0">
      <w:start w:val="1"/>
      <w:numFmt w:val="decimal"/>
      <w:suff w:val="space"/>
      <w:lvlText w:val="%1)"/>
      <w:lvlJc w:val="left"/>
      <w:pPr>
        <w:ind w:left="0" w:firstLine="480"/>
      </w:pPr>
      <w:rPr>
        <w:rFonts w:hint="default"/>
      </w:rPr>
    </w:lvl>
  </w:abstractNum>
  <w:abstractNum w:abstractNumId="19">
    <w:nsid w:val="8787B277"/>
    <w:multiLevelType w:val="singleLevel"/>
    <w:tmpl w:val="8787B277"/>
    <w:lvl w:ilvl="0" w:tentative="0">
      <w:start w:val="1"/>
      <w:numFmt w:val="bullet"/>
      <w:lvlText w:val=""/>
      <w:lvlJc w:val="left"/>
      <w:pPr>
        <w:ind w:left="420" w:hanging="420"/>
      </w:pPr>
      <w:rPr>
        <w:rFonts w:hint="default" w:ascii="Wingdings" w:hAnsi="Wingdings"/>
      </w:rPr>
    </w:lvl>
  </w:abstractNum>
  <w:abstractNum w:abstractNumId="20">
    <w:nsid w:val="8926DB0F"/>
    <w:multiLevelType w:val="singleLevel"/>
    <w:tmpl w:val="8926DB0F"/>
    <w:lvl w:ilvl="0" w:tentative="0">
      <w:start w:val="1"/>
      <w:numFmt w:val="decimal"/>
      <w:suff w:val="space"/>
      <w:lvlText w:val="1.9.%1"/>
      <w:lvlJc w:val="left"/>
      <w:pPr>
        <w:tabs>
          <w:tab w:val="left" w:pos="0"/>
        </w:tabs>
        <w:ind w:left="0" w:firstLine="0"/>
      </w:pPr>
      <w:rPr>
        <w:rFonts w:hint="default"/>
      </w:rPr>
    </w:lvl>
  </w:abstractNum>
  <w:abstractNum w:abstractNumId="21">
    <w:nsid w:val="892B0B7A"/>
    <w:multiLevelType w:val="singleLevel"/>
    <w:tmpl w:val="892B0B7A"/>
    <w:lvl w:ilvl="0" w:tentative="0">
      <w:start w:val="1"/>
      <w:numFmt w:val="decimal"/>
      <w:suff w:val="space"/>
      <w:lvlText w:val="%1)"/>
      <w:lvlJc w:val="left"/>
      <w:pPr>
        <w:ind w:left="0" w:firstLine="480"/>
      </w:pPr>
      <w:rPr>
        <w:rFonts w:hint="default"/>
      </w:rPr>
    </w:lvl>
  </w:abstractNum>
  <w:abstractNum w:abstractNumId="22">
    <w:nsid w:val="8961AA60"/>
    <w:multiLevelType w:val="singleLevel"/>
    <w:tmpl w:val="8961AA60"/>
    <w:lvl w:ilvl="0" w:tentative="0">
      <w:start w:val="1"/>
      <w:numFmt w:val="bullet"/>
      <w:lvlText w:val=""/>
      <w:lvlJc w:val="left"/>
      <w:pPr>
        <w:ind w:left="420" w:hanging="420"/>
      </w:pPr>
      <w:rPr>
        <w:rFonts w:hint="default" w:ascii="Wingdings" w:hAnsi="Wingdings"/>
      </w:rPr>
    </w:lvl>
  </w:abstractNum>
  <w:abstractNum w:abstractNumId="23">
    <w:nsid w:val="8A273262"/>
    <w:multiLevelType w:val="singleLevel"/>
    <w:tmpl w:val="8A273262"/>
    <w:lvl w:ilvl="0" w:tentative="0">
      <w:start w:val="1"/>
      <w:numFmt w:val="decimal"/>
      <w:suff w:val="space"/>
      <w:lvlText w:val="1.10.%1"/>
      <w:lvlJc w:val="left"/>
      <w:pPr>
        <w:tabs>
          <w:tab w:val="left" w:pos="0"/>
        </w:tabs>
        <w:ind w:left="0" w:firstLine="0"/>
      </w:pPr>
      <w:rPr>
        <w:rFonts w:hint="default"/>
      </w:rPr>
    </w:lvl>
  </w:abstractNum>
  <w:abstractNum w:abstractNumId="24">
    <w:nsid w:val="8A55BA4B"/>
    <w:multiLevelType w:val="singleLevel"/>
    <w:tmpl w:val="8A55BA4B"/>
    <w:lvl w:ilvl="0" w:tentative="0">
      <w:start w:val="1"/>
      <w:numFmt w:val="bullet"/>
      <w:lvlText w:val=""/>
      <w:lvlJc w:val="left"/>
      <w:pPr>
        <w:ind w:left="420" w:hanging="420"/>
      </w:pPr>
      <w:rPr>
        <w:rFonts w:hint="default" w:ascii="Wingdings" w:hAnsi="Wingdings"/>
      </w:rPr>
    </w:lvl>
  </w:abstractNum>
  <w:abstractNum w:abstractNumId="25">
    <w:nsid w:val="8A9D2C60"/>
    <w:multiLevelType w:val="singleLevel"/>
    <w:tmpl w:val="8A9D2C60"/>
    <w:lvl w:ilvl="0" w:tentative="0">
      <w:start w:val="1"/>
      <w:numFmt w:val="decimal"/>
      <w:suff w:val="space"/>
      <w:lvlText w:val="4.14.%1"/>
      <w:lvlJc w:val="left"/>
      <w:pPr>
        <w:tabs>
          <w:tab w:val="left" w:pos="0"/>
        </w:tabs>
        <w:ind w:left="0" w:firstLine="0"/>
      </w:pPr>
      <w:rPr>
        <w:rFonts w:hint="default"/>
      </w:rPr>
    </w:lvl>
  </w:abstractNum>
  <w:abstractNum w:abstractNumId="26">
    <w:nsid w:val="8B654EAF"/>
    <w:multiLevelType w:val="singleLevel"/>
    <w:tmpl w:val="8B654EAF"/>
    <w:lvl w:ilvl="0" w:tentative="0">
      <w:start w:val="1"/>
      <w:numFmt w:val="decimal"/>
      <w:suff w:val="space"/>
      <w:lvlText w:val="1.22.%1"/>
      <w:lvlJc w:val="left"/>
      <w:pPr>
        <w:tabs>
          <w:tab w:val="left" w:pos="0"/>
        </w:tabs>
        <w:ind w:left="0" w:firstLine="0"/>
      </w:pPr>
      <w:rPr>
        <w:rFonts w:hint="default"/>
      </w:rPr>
    </w:lvl>
  </w:abstractNum>
  <w:abstractNum w:abstractNumId="27">
    <w:nsid w:val="8BF9E2CC"/>
    <w:multiLevelType w:val="singleLevel"/>
    <w:tmpl w:val="8BF9E2CC"/>
    <w:lvl w:ilvl="0" w:tentative="0">
      <w:start w:val="4"/>
      <w:numFmt w:val="decimal"/>
      <w:pStyle w:val="463"/>
      <w:lvlText w:val="%1."/>
      <w:lvlJc w:val="left"/>
      <w:pPr>
        <w:tabs>
          <w:tab w:val="left" w:pos="312"/>
        </w:tabs>
      </w:pPr>
    </w:lvl>
  </w:abstractNum>
  <w:abstractNum w:abstractNumId="28">
    <w:nsid w:val="8C5969D7"/>
    <w:multiLevelType w:val="singleLevel"/>
    <w:tmpl w:val="8C5969D7"/>
    <w:lvl w:ilvl="0" w:tentative="0">
      <w:start w:val="1"/>
      <w:numFmt w:val="decimal"/>
      <w:suff w:val="space"/>
      <w:lvlText w:val="%1."/>
      <w:lvlJc w:val="left"/>
      <w:pPr>
        <w:tabs>
          <w:tab w:val="left" w:pos="0"/>
        </w:tabs>
        <w:ind w:left="0" w:firstLine="0"/>
      </w:pPr>
      <w:rPr>
        <w:rFonts w:hint="default"/>
      </w:rPr>
    </w:lvl>
  </w:abstractNum>
  <w:abstractNum w:abstractNumId="29">
    <w:nsid w:val="8CB921A7"/>
    <w:multiLevelType w:val="singleLevel"/>
    <w:tmpl w:val="8CB921A7"/>
    <w:lvl w:ilvl="0" w:tentative="0">
      <w:start w:val="1"/>
      <w:numFmt w:val="bullet"/>
      <w:lvlText w:val=""/>
      <w:lvlJc w:val="left"/>
      <w:pPr>
        <w:ind w:left="420" w:hanging="420"/>
      </w:pPr>
      <w:rPr>
        <w:rFonts w:hint="default" w:ascii="Wingdings" w:hAnsi="Wingdings"/>
      </w:rPr>
    </w:lvl>
  </w:abstractNum>
  <w:abstractNum w:abstractNumId="30">
    <w:nsid w:val="8D7664FE"/>
    <w:multiLevelType w:val="singleLevel"/>
    <w:tmpl w:val="8D7664FE"/>
    <w:lvl w:ilvl="0" w:tentative="0">
      <w:start w:val="1"/>
      <w:numFmt w:val="bullet"/>
      <w:lvlText w:val=""/>
      <w:lvlJc w:val="left"/>
      <w:pPr>
        <w:ind w:left="420" w:hanging="420"/>
      </w:pPr>
      <w:rPr>
        <w:rFonts w:hint="default" w:ascii="Wingdings" w:hAnsi="Wingdings"/>
      </w:rPr>
    </w:lvl>
  </w:abstractNum>
  <w:abstractNum w:abstractNumId="31">
    <w:nsid w:val="8DAC0C10"/>
    <w:multiLevelType w:val="singleLevel"/>
    <w:tmpl w:val="8DAC0C10"/>
    <w:lvl w:ilvl="0" w:tentative="0">
      <w:start w:val="1"/>
      <w:numFmt w:val="decimal"/>
      <w:suff w:val="space"/>
      <w:lvlText w:val="1.%1"/>
      <w:lvlJc w:val="left"/>
      <w:pPr>
        <w:ind w:left="0" w:firstLine="0"/>
      </w:pPr>
      <w:rPr>
        <w:rFonts w:hint="default"/>
      </w:rPr>
    </w:lvl>
  </w:abstractNum>
  <w:abstractNum w:abstractNumId="32">
    <w:nsid w:val="8E450786"/>
    <w:multiLevelType w:val="singleLevel"/>
    <w:tmpl w:val="8E450786"/>
    <w:lvl w:ilvl="0" w:tentative="0">
      <w:start w:val="1"/>
      <w:numFmt w:val="bullet"/>
      <w:lvlText w:val=""/>
      <w:lvlJc w:val="left"/>
      <w:pPr>
        <w:ind w:left="420" w:hanging="420"/>
      </w:pPr>
      <w:rPr>
        <w:rFonts w:hint="default" w:ascii="Wingdings" w:hAnsi="Wingdings"/>
      </w:rPr>
    </w:lvl>
  </w:abstractNum>
  <w:abstractNum w:abstractNumId="33">
    <w:nsid w:val="8E787CD6"/>
    <w:multiLevelType w:val="singleLevel"/>
    <w:tmpl w:val="8E787CD6"/>
    <w:lvl w:ilvl="0" w:tentative="0">
      <w:start w:val="1"/>
      <w:numFmt w:val="decimal"/>
      <w:suff w:val="space"/>
      <w:lvlText w:val="1.5.3.4.%1"/>
      <w:lvlJc w:val="left"/>
      <w:pPr>
        <w:tabs>
          <w:tab w:val="left" w:pos="0"/>
        </w:tabs>
        <w:ind w:left="0" w:firstLine="0"/>
      </w:pPr>
      <w:rPr>
        <w:rFonts w:hint="default"/>
      </w:rPr>
    </w:lvl>
  </w:abstractNum>
  <w:abstractNum w:abstractNumId="34">
    <w:nsid w:val="8F1FBECA"/>
    <w:multiLevelType w:val="singleLevel"/>
    <w:tmpl w:val="8F1FBECA"/>
    <w:lvl w:ilvl="0" w:tentative="0">
      <w:start w:val="1"/>
      <w:numFmt w:val="decimal"/>
      <w:suff w:val="nothing"/>
      <w:lvlText w:val="1.%1"/>
      <w:lvlJc w:val="left"/>
      <w:pPr>
        <w:tabs>
          <w:tab w:val="left" w:pos="0"/>
        </w:tabs>
        <w:ind w:left="0" w:firstLine="0"/>
      </w:pPr>
      <w:rPr>
        <w:rFonts w:hint="default"/>
      </w:rPr>
    </w:lvl>
  </w:abstractNum>
  <w:abstractNum w:abstractNumId="35">
    <w:nsid w:val="8FF4C1AF"/>
    <w:multiLevelType w:val="singleLevel"/>
    <w:tmpl w:val="8FF4C1AF"/>
    <w:lvl w:ilvl="0" w:tentative="0">
      <w:start w:val="1"/>
      <w:numFmt w:val="decimal"/>
      <w:suff w:val="space"/>
      <w:lvlText w:val="%1)"/>
      <w:lvlJc w:val="left"/>
      <w:pPr>
        <w:ind w:left="425" w:hanging="425"/>
      </w:pPr>
      <w:rPr>
        <w:rFonts w:hint="default"/>
      </w:rPr>
    </w:lvl>
  </w:abstractNum>
  <w:abstractNum w:abstractNumId="36">
    <w:nsid w:val="904677DF"/>
    <w:multiLevelType w:val="singleLevel"/>
    <w:tmpl w:val="904677DF"/>
    <w:lvl w:ilvl="0" w:tentative="0">
      <w:start w:val="1"/>
      <w:numFmt w:val="decimal"/>
      <w:suff w:val="nothing"/>
      <w:lvlText w:val="%1."/>
      <w:lvlJc w:val="left"/>
      <w:pPr>
        <w:ind w:left="0" w:firstLine="0"/>
      </w:pPr>
      <w:rPr>
        <w:rFonts w:hint="default" w:ascii="宋体" w:hAnsi="宋体" w:eastAsia="宋体" w:cs="宋体"/>
      </w:rPr>
    </w:lvl>
  </w:abstractNum>
  <w:abstractNum w:abstractNumId="37">
    <w:nsid w:val="90ABB3E0"/>
    <w:multiLevelType w:val="singleLevel"/>
    <w:tmpl w:val="90ABB3E0"/>
    <w:lvl w:ilvl="0" w:tentative="0">
      <w:start w:val="1"/>
      <w:numFmt w:val="decimal"/>
      <w:suff w:val="space"/>
      <w:lvlText w:val="19.%1"/>
      <w:lvlJc w:val="left"/>
      <w:pPr>
        <w:tabs>
          <w:tab w:val="left" w:pos="0"/>
        </w:tabs>
        <w:ind w:left="0" w:firstLine="0"/>
      </w:pPr>
      <w:rPr>
        <w:rFonts w:hint="default"/>
      </w:rPr>
    </w:lvl>
  </w:abstractNum>
  <w:abstractNum w:abstractNumId="38">
    <w:nsid w:val="912F5F74"/>
    <w:multiLevelType w:val="singleLevel"/>
    <w:tmpl w:val="912F5F74"/>
    <w:lvl w:ilvl="0" w:tentative="0">
      <w:start w:val="1"/>
      <w:numFmt w:val="decimal"/>
      <w:suff w:val="space"/>
      <w:lvlText w:val="%1)"/>
      <w:lvlJc w:val="left"/>
      <w:pPr>
        <w:ind w:left="425" w:hanging="425"/>
      </w:pPr>
      <w:rPr>
        <w:rFonts w:hint="default"/>
      </w:rPr>
    </w:lvl>
  </w:abstractNum>
  <w:abstractNum w:abstractNumId="39">
    <w:nsid w:val="913142AA"/>
    <w:multiLevelType w:val="singleLevel"/>
    <w:tmpl w:val="913142AA"/>
    <w:lvl w:ilvl="0" w:tentative="0">
      <w:start w:val="1"/>
      <w:numFmt w:val="bullet"/>
      <w:lvlText w:val=""/>
      <w:lvlJc w:val="left"/>
      <w:pPr>
        <w:ind w:left="420" w:hanging="420"/>
      </w:pPr>
      <w:rPr>
        <w:rFonts w:hint="default" w:ascii="Wingdings" w:hAnsi="Wingdings"/>
      </w:rPr>
    </w:lvl>
  </w:abstractNum>
  <w:abstractNum w:abstractNumId="40">
    <w:nsid w:val="922C980E"/>
    <w:multiLevelType w:val="singleLevel"/>
    <w:tmpl w:val="922C980E"/>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41">
    <w:nsid w:val="92598D3E"/>
    <w:multiLevelType w:val="singleLevel"/>
    <w:tmpl w:val="92598D3E"/>
    <w:lvl w:ilvl="0" w:tentative="0">
      <w:start w:val="1"/>
      <w:numFmt w:val="bullet"/>
      <w:suff w:val="space"/>
      <w:lvlText w:val=""/>
      <w:lvlJc w:val="left"/>
      <w:pPr>
        <w:ind w:left="420" w:hanging="420"/>
      </w:pPr>
      <w:rPr>
        <w:rFonts w:hint="default" w:ascii="Wingdings" w:hAnsi="Wingdings"/>
      </w:rPr>
    </w:lvl>
  </w:abstractNum>
  <w:abstractNum w:abstractNumId="42">
    <w:nsid w:val="9329862D"/>
    <w:multiLevelType w:val="singleLevel"/>
    <w:tmpl w:val="9329862D"/>
    <w:lvl w:ilvl="0" w:tentative="0">
      <w:start w:val="1"/>
      <w:numFmt w:val="decimal"/>
      <w:suff w:val="space"/>
      <w:lvlText w:val="%1)"/>
      <w:lvlJc w:val="left"/>
      <w:pPr>
        <w:ind w:left="0" w:firstLine="480"/>
      </w:pPr>
      <w:rPr>
        <w:rFonts w:hint="default"/>
      </w:rPr>
    </w:lvl>
  </w:abstractNum>
  <w:abstractNum w:abstractNumId="43">
    <w:nsid w:val="93441C3E"/>
    <w:multiLevelType w:val="singleLevel"/>
    <w:tmpl w:val="93441C3E"/>
    <w:lvl w:ilvl="0" w:tentative="0">
      <w:start w:val="1"/>
      <w:numFmt w:val="bullet"/>
      <w:lvlText w:val=""/>
      <w:lvlJc w:val="left"/>
      <w:pPr>
        <w:ind w:left="420" w:hanging="420"/>
      </w:pPr>
      <w:rPr>
        <w:rFonts w:hint="default" w:ascii="Wingdings" w:hAnsi="Wingdings"/>
      </w:rPr>
    </w:lvl>
  </w:abstractNum>
  <w:abstractNum w:abstractNumId="44">
    <w:nsid w:val="93698C71"/>
    <w:multiLevelType w:val="singleLevel"/>
    <w:tmpl w:val="93698C71"/>
    <w:lvl w:ilvl="0" w:tentative="0">
      <w:start w:val="1"/>
      <w:numFmt w:val="decimal"/>
      <w:lvlText w:val="%1"/>
      <w:lvlJc w:val="left"/>
      <w:pPr>
        <w:tabs>
          <w:tab w:val="left" w:pos="0"/>
        </w:tabs>
        <w:ind w:left="0" w:firstLine="0"/>
      </w:pPr>
      <w:rPr>
        <w:rFonts w:hint="default"/>
      </w:rPr>
    </w:lvl>
  </w:abstractNum>
  <w:abstractNum w:abstractNumId="45">
    <w:nsid w:val="940E710C"/>
    <w:multiLevelType w:val="singleLevel"/>
    <w:tmpl w:val="940E710C"/>
    <w:lvl w:ilvl="0" w:tentative="0">
      <w:start w:val="1"/>
      <w:numFmt w:val="decimal"/>
      <w:suff w:val="space"/>
      <w:lvlText w:val="%1)"/>
      <w:lvlJc w:val="left"/>
      <w:pPr>
        <w:ind w:left="0" w:firstLine="480"/>
      </w:pPr>
      <w:rPr>
        <w:rFonts w:hint="default"/>
      </w:rPr>
    </w:lvl>
  </w:abstractNum>
  <w:abstractNum w:abstractNumId="46">
    <w:nsid w:val="94C5994B"/>
    <w:multiLevelType w:val="singleLevel"/>
    <w:tmpl w:val="94C5994B"/>
    <w:lvl w:ilvl="0" w:tentative="0">
      <w:start w:val="1"/>
      <w:numFmt w:val="bullet"/>
      <w:lvlText w:val=""/>
      <w:lvlJc w:val="left"/>
      <w:pPr>
        <w:ind w:left="0" w:firstLine="0"/>
      </w:pPr>
      <w:rPr>
        <w:rFonts w:hint="default" w:ascii="Wingdings" w:hAnsi="Wingdings"/>
      </w:rPr>
    </w:lvl>
  </w:abstractNum>
  <w:abstractNum w:abstractNumId="47">
    <w:nsid w:val="94FA9438"/>
    <w:multiLevelType w:val="singleLevel"/>
    <w:tmpl w:val="94FA9438"/>
    <w:lvl w:ilvl="0" w:tentative="0">
      <w:start w:val="1"/>
      <w:numFmt w:val="decimal"/>
      <w:suff w:val="space"/>
      <w:lvlText w:val="3.%1"/>
      <w:lvlJc w:val="left"/>
      <w:pPr>
        <w:tabs>
          <w:tab w:val="left" w:pos="0"/>
        </w:tabs>
        <w:ind w:left="0" w:firstLine="0"/>
      </w:pPr>
      <w:rPr>
        <w:rFonts w:hint="default" w:ascii="宋体" w:hAnsi="宋体" w:eastAsia="宋体" w:cs="宋体"/>
      </w:rPr>
    </w:lvl>
  </w:abstractNum>
  <w:abstractNum w:abstractNumId="48">
    <w:nsid w:val="95853037"/>
    <w:multiLevelType w:val="singleLevel"/>
    <w:tmpl w:val="95853037"/>
    <w:lvl w:ilvl="0" w:tentative="0">
      <w:start w:val="1"/>
      <w:numFmt w:val="decimal"/>
      <w:suff w:val="space"/>
      <w:lvlText w:val="%1)"/>
      <w:lvlJc w:val="left"/>
      <w:pPr>
        <w:ind w:left="425" w:hanging="425"/>
      </w:pPr>
      <w:rPr>
        <w:rFonts w:hint="default"/>
      </w:rPr>
    </w:lvl>
  </w:abstractNum>
  <w:abstractNum w:abstractNumId="49">
    <w:nsid w:val="9594E356"/>
    <w:multiLevelType w:val="singleLevel"/>
    <w:tmpl w:val="9594E356"/>
    <w:lvl w:ilvl="0" w:tentative="0">
      <w:start w:val="1"/>
      <w:numFmt w:val="decimal"/>
      <w:suff w:val="space"/>
      <w:lvlText w:val="%1"/>
      <w:lvlJc w:val="left"/>
      <w:pPr>
        <w:tabs>
          <w:tab w:val="left" w:pos="0"/>
        </w:tabs>
        <w:ind w:left="0" w:firstLine="0"/>
      </w:pPr>
      <w:rPr>
        <w:rFonts w:hint="default"/>
      </w:rPr>
    </w:lvl>
  </w:abstractNum>
  <w:abstractNum w:abstractNumId="50">
    <w:nsid w:val="95C13F22"/>
    <w:multiLevelType w:val="singleLevel"/>
    <w:tmpl w:val="95C13F22"/>
    <w:lvl w:ilvl="0" w:tentative="0">
      <w:start w:val="1"/>
      <w:numFmt w:val="decimal"/>
      <w:suff w:val="space"/>
      <w:lvlText w:val="%1)"/>
      <w:lvlJc w:val="left"/>
      <w:pPr>
        <w:ind w:left="0" w:firstLine="480"/>
      </w:pPr>
      <w:rPr>
        <w:rFonts w:hint="default"/>
      </w:rPr>
    </w:lvl>
  </w:abstractNum>
  <w:abstractNum w:abstractNumId="51">
    <w:nsid w:val="961F54AC"/>
    <w:multiLevelType w:val="singleLevel"/>
    <w:tmpl w:val="961F54AC"/>
    <w:lvl w:ilvl="0" w:tentative="0">
      <w:start w:val="1"/>
      <w:numFmt w:val="decimal"/>
      <w:suff w:val="space"/>
      <w:lvlText w:val="1.%1"/>
      <w:lvlJc w:val="left"/>
      <w:pPr>
        <w:tabs>
          <w:tab w:val="left" w:pos="0"/>
        </w:tabs>
        <w:ind w:left="0" w:firstLine="480"/>
      </w:pPr>
      <w:rPr>
        <w:rFonts w:hint="default" w:ascii="宋体" w:hAnsi="宋体" w:eastAsia="宋体" w:cs="宋体"/>
      </w:rPr>
    </w:lvl>
  </w:abstractNum>
  <w:abstractNum w:abstractNumId="52">
    <w:nsid w:val="961F5737"/>
    <w:multiLevelType w:val="singleLevel"/>
    <w:tmpl w:val="961F5737"/>
    <w:lvl w:ilvl="0" w:tentative="0">
      <w:start w:val="1"/>
      <w:numFmt w:val="decimal"/>
      <w:suff w:val="space"/>
      <w:lvlText w:val="5.%1"/>
      <w:lvlJc w:val="left"/>
      <w:pPr>
        <w:ind w:left="0" w:firstLine="0"/>
      </w:pPr>
      <w:rPr>
        <w:rFonts w:hint="default"/>
      </w:rPr>
    </w:lvl>
  </w:abstractNum>
  <w:abstractNum w:abstractNumId="53">
    <w:nsid w:val="9674B069"/>
    <w:multiLevelType w:val="singleLevel"/>
    <w:tmpl w:val="9674B069"/>
    <w:lvl w:ilvl="0" w:tentative="0">
      <w:start w:val="1"/>
      <w:numFmt w:val="decimal"/>
      <w:suff w:val="space"/>
      <w:lvlText w:val="1.%1"/>
      <w:lvlJc w:val="left"/>
      <w:pPr>
        <w:tabs>
          <w:tab w:val="left" w:pos="0"/>
        </w:tabs>
        <w:ind w:left="0" w:firstLine="0"/>
      </w:pPr>
      <w:rPr>
        <w:rFonts w:hint="default"/>
      </w:rPr>
    </w:lvl>
  </w:abstractNum>
  <w:abstractNum w:abstractNumId="54">
    <w:nsid w:val="96D923AF"/>
    <w:multiLevelType w:val="singleLevel"/>
    <w:tmpl w:val="96D923AF"/>
    <w:lvl w:ilvl="0" w:tentative="0">
      <w:start w:val="1"/>
      <w:numFmt w:val="decimal"/>
      <w:suff w:val="space"/>
      <w:lvlText w:val="%1)"/>
      <w:lvlJc w:val="left"/>
      <w:pPr>
        <w:ind w:left="425" w:hanging="425"/>
      </w:pPr>
      <w:rPr>
        <w:rFonts w:hint="default"/>
      </w:rPr>
    </w:lvl>
  </w:abstractNum>
  <w:abstractNum w:abstractNumId="55">
    <w:nsid w:val="97EDA465"/>
    <w:multiLevelType w:val="singleLevel"/>
    <w:tmpl w:val="97EDA465"/>
    <w:lvl w:ilvl="0" w:tentative="0">
      <w:start w:val="1"/>
      <w:numFmt w:val="decimal"/>
      <w:suff w:val="space"/>
      <w:lvlText w:val="2.%1"/>
      <w:lvlJc w:val="left"/>
      <w:pPr>
        <w:tabs>
          <w:tab w:val="left" w:pos="0"/>
        </w:tabs>
        <w:ind w:left="0" w:firstLine="0"/>
      </w:pPr>
      <w:rPr>
        <w:rFonts w:hint="default" w:ascii="宋体" w:hAnsi="宋体" w:eastAsia="宋体" w:cs="宋体"/>
        <w:sz w:val="24"/>
        <w:szCs w:val="24"/>
      </w:rPr>
    </w:lvl>
  </w:abstractNum>
  <w:abstractNum w:abstractNumId="56">
    <w:nsid w:val="97FE92A1"/>
    <w:multiLevelType w:val="singleLevel"/>
    <w:tmpl w:val="97FE92A1"/>
    <w:lvl w:ilvl="0" w:tentative="0">
      <w:start w:val="1"/>
      <w:numFmt w:val="decimal"/>
      <w:suff w:val="space"/>
      <w:lvlText w:val="%1)"/>
      <w:lvlJc w:val="left"/>
      <w:pPr>
        <w:ind w:left="0" w:firstLine="480"/>
      </w:pPr>
      <w:rPr>
        <w:rFonts w:hint="default"/>
      </w:rPr>
    </w:lvl>
  </w:abstractNum>
  <w:abstractNum w:abstractNumId="57">
    <w:nsid w:val="982E89AE"/>
    <w:multiLevelType w:val="multilevel"/>
    <w:tmpl w:val="982E89AE"/>
    <w:lvl w:ilvl="0" w:tentative="0">
      <w:start w:val="1"/>
      <w:numFmt w:val="decimal"/>
      <w:suff w:val="space"/>
      <w:lvlText w:val="1.%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8">
    <w:nsid w:val="986E8581"/>
    <w:multiLevelType w:val="singleLevel"/>
    <w:tmpl w:val="986E8581"/>
    <w:lvl w:ilvl="0" w:tentative="0">
      <w:start w:val="1"/>
      <w:numFmt w:val="decimal"/>
      <w:suff w:val="space"/>
      <w:lvlText w:val="%1)"/>
      <w:lvlJc w:val="left"/>
      <w:pPr>
        <w:ind w:left="425" w:hanging="425"/>
      </w:pPr>
      <w:rPr>
        <w:rFonts w:hint="default"/>
      </w:rPr>
    </w:lvl>
  </w:abstractNum>
  <w:abstractNum w:abstractNumId="59">
    <w:nsid w:val="99A1BF23"/>
    <w:multiLevelType w:val="singleLevel"/>
    <w:tmpl w:val="99A1BF23"/>
    <w:lvl w:ilvl="0" w:tentative="0">
      <w:start w:val="1"/>
      <w:numFmt w:val="decimal"/>
      <w:suff w:val="space"/>
      <w:lvlText w:val="1.%1"/>
      <w:lvlJc w:val="left"/>
      <w:pPr>
        <w:tabs>
          <w:tab w:val="left" w:pos="0"/>
        </w:tabs>
        <w:ind w:left="0" w:firstLine="480"/>
      </w:pPr>
      <w:rPr>
        <w:rFonts w:hint="default" w:ascii="宋体" w:hAnsi="宋体" w:eastAsia="宋体" w:cs="宋体"/>
      </w:rPr>
    </w:lvl>
  </w:abstractNum>
  <w:abstractNum w:abstractNumId="60">
    <w:nsid w:val="9A281831"/>
    <w:multiLevelType w:val="singleLevel"/>
    <w:tmpl w:val="9A281831"/>
    <w:lvl w:ilvl="0" w:tentative="0">
      <w:start w:val="1"/>
      <w:numFmt w:val="decimal"/>
      <w:suff w:val="space"/>
      <w:lvlText w:val="%1)"/>
      <w:lvlJc w:val="left"/>
      <w:pPr>
        <w:ind w:left="0" w:firstLine="480"/>
      </w:pPr>
      <w:rPr>
        <w:rFonts w:hint="default"/>
      </w:rPr>
    </w:lvl>
  </w:abstractNum>
  <w:abstractNum w:abstractNumId="61">
    <w:nsid w:val="9A4CF77C"/>
    <w:multiLevelType w:val="singleLevel"/>
    <w:tmpl w:val="9A4CF77C"/>
    <w:lvl w:ilvl="0" w:tentative="0">
      <w:start w:val="1"/>
      <w:numFmt w:val="decimal"/>
      <w:suff w:val="space"/>
      <w:lvlText w:val="1.4.%1"/>
      <w:lvlJc w:val="left"/>
      <w:pPr>
        <w:ind w:left="425" w:leftChars="0" w:hanging="425" w:firstLineChars="0"/>
      </w:pPr>
      <w:rPr>
        <w:rFonts w:hint="default"/>
      </w:rPr>
    </w:lvl>
  </w:abstractNum>
  <w:abstractNum w:abstractNumId="62">
    <w:nsid w:val="9A775485"/>
    <w:multiLevelType w:val="singleLevel"/>
    <w:tmpl w:val="9A775485"/>
    <w:lvl w:ilvl="0" w:tentative="0">
      <w:start w:val="1"/>
      <w:numFmt w:val="decimal"/>
      <w:suff w:val="space"/>
      <w:lvlText w:val="1.%1"/>
      <w:lvlJc w:val="left"/>
      <w:pPr>
        <w:tabs>
          <w:tab w:val="left" w:pos="0"/>
        </w:tabs>
        <w:ind w:left="0" w:firstLine="480"/>
      </w:pPr>
      <w:rPr>
        <w:rFonts w:hint="default"/>
      </w:rPr>
    </w:lvl>
  </w:abstractNum>
  <w:abstractNum w:abstractNumId="63">
    <w:nsid w:val="9A8D968D"/>
    <w:multiLevelType w:val="singleLevel"/>
    <w:tmpl w:val="9A8D968D"/>
    <w:lvl w:ilvl="0" w:tentative="0">
      <w:start w:val="1"/>
      <w:numFmt w:val="decimal"/>
      <w:suff w:val="space"/>
      <w:lvlText w:val="%1)"/>
      <w:lvlJc w:val="left"/>
      <w:pPr>
        <w:ind w:left="425" w:hanging="425"/>
      </w:pPr>
      <w:rPr>
        <w:rFonts w:hint="default"/>
      </w:rPr>
    </w:lvl>
  </w:abstractNum>
  <w:abstractNum w:abstractNumId="64">
    <w:nsid w:val="9BE59979"/>
    <w:multiLevelType w:val="singleLevel"/>
    <w:tmpl w:val="9BE59979"/>
    <w:lvl w:ilvl="0" w:tentative="0">
      <w:start w:val="1"/>
      <w:numFmt w:val="decimal"/>
      <w:suff w:val="space"/>
      <w:lvlText w:val="%1)"/>
      <w:lvlJc w:val="left"/>
      <w:pPr>
        <w:ind w:left="0" w:firstLine="480"/>
      </w:pPr>
      <w:rPr>
        <w:rFonts w:hint="default"/>
      </w:rPr>
    </w:lvl>
  </w:abstractNum>
  <w:abstractNum w:abstractNumId="65">
    <w:nsid w:val="9C7F30EC"/>
    <w:multiLevelType w:val="singleLevel"/>
    <w:tmpl w:val="9C7F30EC"/>
    <w:lvl w:ilvl="0" w:tentative="0">
      <w:start w:val="1"/>
      <w:numFmt w:val="decimal"/>
      <w:suff w:val="space"/>
      <w:lvlText w:val="%1)"/>
      <w:lvlJc w:val="left"/>
      <w:pPr>
        <w:ind w:left="0" w:firstLine="480"/>
      </w:pPr>
      <w:rPr>
        <w:rFonts w:hint="default"/>
      </w:rPr>
    </w:lvl>
  </w:abstractNum>
  <w:abstractNum w:abstractNumId="66">
    <w:nsid w:val="9CAA5B7B"/>
    <w:multiLevelType w:val="singleLevel"/>
    <w:tmpl w:val="9CAA5B7B"/>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67">
    <w:nsid w:val="9CCF2916"/>
    <w:multiLevelType w:val="singleLevel"/>
    <w:tmpl w:val="9CCF2916"/>
    <w:lvl w:ilvl="0" w:tentative="0">
      <w:start w:val="1"/>
      <w:numFmt w:val="decimal"/>
      <w:suff w:val="space"/>
      <w:lvlText w:val="2.2.%1"/>
      <w:lvlJc w:val="left"/>
      <w:pPr>
        <w:tabs>
          <w:tab w:val="left" w:pos="0"/>
        </w:tabs>
        <w:ind w:left="0" w:firstLine="0"/>
      </w:pPr>
      <w:rPr>
        <w:rFonts w:hint="default"/>
      </w:rPr>
    </w:lvl>
  </w:abstractNum>
  <w:abstractNum w:abstractNumId="68">
    <w:nsid w:val="9D15CC4C"/>
    <w:multiLevelType w:val="singleLevel"/>
    <w:tmpl w:val="9D15CC4C"/>
    <w:lvl w:ilvl="0" w:tentative="0">
      <w:start w:val="1"/>
      <w:numFmt w:val="decimal"/>
      <w:suff w:val="nothing"/>
      <w:lvlText w:val="%1）"/>
      <w:lvlJc w:val="left"/>
      <w:pPr>
        <w:ind w:left="0" w:firstLine="480"/>
      </w:pPr>
      <w:rPr>
        <w:rFonts w:hint="default"/>
      </w:rPr>
    </w:lvl>
  </w:abstractNum>
  <w:abstractNum w:abstractNumId="69">
    <w:nsid w:val="9DAFBEC4"/>
    <w:multiLevelType w:val="singleLevel"/>
    <w:tmpl w:val="9DAFBEC4"/>
    <w:lvl w:ilvl="0" w:tentative="0">
      <w:start w:val="1"/>
      <w:numFmt w:val="bullet"/>
      <w:suff w:val="space"/>
      <w:lvlText w:val=""/>
      <w:lvlJc w:val="left"/>
      <w:pPr>
        <w:ind w:left="420" w:hanging="420"/>
      </w:pPr>
      <w:rPr>
        <w:rFonts w:hint="default" w:ascii="Wingdings" w:hAnsi="Wingdings"/>
      </w:rPr>
    </w:lvl>
  </w:abstractNum>
  <w:abstractNum w:abstractNumId="70">
    <w:nsid w:val="9DCA7B93"/>
    <w:multiLevelType w:val="singleLevel"/>
    <w:tmpl w:val="9DCA7B93"/>
    <w:lvl w:ilvl="0" w:tentative="0">
      <w:start w:val="1"/>
      <w:numFmt w:val="decimal"/>
      <w:suff w:val="space"/>
      <w:lvlText w:val="%1)"/>
      <w:lvlJc w:val="left"/>
      <w:pPr>
        <w:ind w:left="0" w:firstLine="480"/>
      </w:pPr>
      <w:rPr>
        <w:rFonts w:hint="default"/>
      </w:rPr>
    </w:lvl>
  </w:abstractNum>
  <w:abstractNum w:abstractNumId="71">
    <w:nsid w:val="9DEA7B3C"/>
    <w:multiLevelType w:val="multilevel"/>
    <w:tmpl w:val="9DEA7B3C"/>
    <w:lvl w:ilvl="0" w:tentative="0">
      <w:start w:val="1"/>
      <w:numFmt w:val="lowerLetter"/>
      <w:suff w:val="space"/>
      <w:lvlText w:val="%1."/>
      <w:lvlJc w:val="left"/>
      <w:pPr>
        <w:ind w:left="420" w:firstLine="0"/>
      </w:pPr>
      <w:rPr>
        <w:rFonts w:hint="default"/>
      </w:r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72">
    <w:nsid w:val="9E6740B4"/>
    <w:multiLevelType w:val="multilevel"/>
    <w:tmpl w:val="9E6740B4"/>
    <w:lvl w:ilvl="0" w:tentative="0">
      <w:start w:val="5"/>
      <w:numFmt w:val="decimal"/>
      <w:pStyle w:val="488"/>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73">
    <w:nsid w:val="9F71245A"/>
    <w:multiLevelType w:val="singleLevel"/>
    <w:tmpl w:val="9F71245A"/>
    <w:lvl w:ilvl="0" w:tentative="0">
      <w:start w:val="1"/>
      <w:numFmt w:val="bullet"/>
      <w:lvlText w:val=""/>
      <w:lvlJc w:val="left"/>
      <w:pPr>
        <w:tabs>
          <w:tab w:val="left" w:pos="420"/>
        </w:tabs>
        <w:ind w:left="840" w:hanging="420"/>
      </w:pPr>
      <w:rPr>
        <w:rFonts w:hint="default" w:ascii="Wingdings" w:hAnsi="Wingdings"/>
      </w:rPr>
    </w:lvl>
  </w:abstractNum>
  <w:abstractNum w:abstractNumId="74">
    <w:nsid w:val="9F8CE95A"/>
    <w:multiLevelType w:val="singleLevel"/>
    <w:tmpl w:val="9F8CE95A"/>
    <w:lvl w:ilvl="0" w:tentative="0">
      <w:start w:val="1"/>
      <w:numFmt w:val="bullet"/>
      <w:lvlText w:val=""/>
      <w:lvlJc w:val="left"/>
      <w:pPr>
        <w:ind w:left="420" w:hanging="420"/>
      </w:pPr>
      <w:rPr>
        <w:rFonts w:hint="default" w:ascii="Wingdings" w:hAnsi="Wingdings"/>
      </w:rPr>
    </w:lvl>
  </w:abstractNum>
  <w:abstractNum w:abstractNumId="75">
    <w:nsid w:val="A039EE03"/>
    <w:multiLevelType w:val="singleLevel"/>
    <w:tmpl w:val="A039EE03"/>
    <w:lvl w:ilvl="0" w:tentative="0">
      <w:start w:val="1"/>
      <w:numFmt w:val="decimal"/>
      <w:suff w:val="space"/>
      <w:lvlText w:val="%1)"/>
      <w:lvlJc w:val="left"/>
      <w:pPr>
        <w:ind w:left="425" w:hanging="425"/>
      </w:pPr>
      <w:rPr>
        <w:rFonts w:hint="default"/>
      </w:rPr>
    </w:lvl>
  </w:abstractNum>
  <w:abstractNum w:abstractNumId="76">
    <w:nsid w:val="A0659BB6"/>
    <w:multiLevelType w:val="singleLevel"/>
    <w:tmpl w:val="A0659BB6"/>
    <w:lvl w:ilvl="0" w:tentative="0">
      <w:start w:val="1"/>
      <w:numFmt w:val="decimal"/>
      <w:suff w:val="space"/>
      <w:lvlText w:val="%1)"/>
      <w:lvlJc w:val="left"/>
      <w:pPr>
        <w:ind w:left="425" w:hanging="425"/>
      </w:pPr>
      <w:rPr>
        <w:rFonts w:hint="default"/>
      </w:rPr>
    </w:lvl>
  </w:abstractNum>
  <w:abstractNum w:abstractNumId="77">
    <w:nsid w:val="A08C483D"/>
    <w:multiLevelType w:val="singleLevel"/>
    <w:tmpl w:val="A08C483D"/>
    <w:lvl w:ilvl="0" w:tentative="0">
      <w:start w:val="1"/>
      <w:numFmt w:val="decimal"/>
      <w:suff w:val="space"/>
      <w:lvlText w:val="1.%1"/>
      <w:lvlJc w:val="left"/>
      <w:pPr>
        <w:ind w:left="0" w:firstLine="0"/>
      </w:pPr>
      <w:rPr>
        <w:rFonts w:hint="default"/>
      </w:rPr>
    </w:lvl>
  </w:abstractNum>
  <w:abstractNum w:abstractNumId="78">
    <w:nsid w:val="A0F4E2E7"/>
    <w:multiLevelType w:val="singleLevel"/>
    <w:tmpl w:val="A0F4E2E7"/>
    <w:lvl w:ilvl="0" w:tentative="0">
      <w:start w:val="1"/>
      <w:numFmt w:val="decimal"/>
      <w:suff w:val="space"/>
      <w:lvlText w:val="2.%1"/>
      <w:lvlJc w:val="left"/>
      <w:pPr>
        <w:ind w:left="425" w:hanging="425"/>
      </w:pPr>
      <w:rPr>
        <w:rFonts w:hint="default"/>
      </w:rPr>
    </w:lvl>
  </w:abstractNum>
  <w:abstractNum w:abstractNumId="79">
    <w:nsid w:val="A1413FD3"/>
    <w:multiLevelType w:val="singleLevel"/>
    <w:tmpl w:val="A1413FD3"/>
    <w:lvl w:ilvl="0" w:tentative="0">
      <w:start w:val="1"/>
      <w:numFmt w:val="decimal"/>
      <w:suff w:val="space"/>
      <w:lvlText w:val="%1)"/>
      <w:lvlJc w:val="left"/>
      <w:pPr>
        <w:ind w:left="425" w:hanging="425"/>
      </w:pPr>
      <w:rPr>
        <w:rFonts w:hint="default"/>
      </w:rPr>
    </w:lvl>
  </w:abstractNum>
  <w:abstractNum w:abstractNumId="80">
    <w:nsid w:val="A16500E4"/>
    <w:multiLevelType w:val="singleLevel"/>
    <w:tmpl w:val="A16500E4"/>
    <w:lvl w:ilvl="0" w:tentative="0">
      <w:start w:val="1"/>
      <w:numFmt w:val="decimal"/>
      <w:suff w:val="space"/>
      <w:lvlText w:val="%1)"/>
      <w:lvlJc w:val="left"/>
      <w:pPr>
        <w:ind w:left="0" w:firstLine="480"/>
      </w:pPr>
      <w:rPr>
        <w:rFonts w:hint="default"/>
      </w:rPr>
    </w:lvl>
  </w:abstractNum>
  <w:abstractNum w:abstractNumId="81">
    <w:nsid w:val="A1AF2B28"/>
    <w:multiLevelType w:val="singleLevel"/>
    <w:tmpl w:val="A1AF2B28"/>
    <w:lvl w:ilvl="0" w:tentative="0">
      <w:start w:val="1"/>
      <w:numFmt w:val="decimal"/>
      <w:suff w:val="space"/>
      <w:lvlText w:val="%1)"/>
      <w:lvlJc w:val="left"/>
      <w:pPr>
        <w:ind w:left="0" w:firstLine="480"/>
      </w:pPr>
      <w:rPr>
        <w:rFonts w:hint="default"/>
      </w:rPr>
    </w:lvl>
  </w:abstractNum>
  <w:abstractNum w:abstractNumId="82">
    <w:nsid w:val="A2519DF6"/>
    <w:multiLevelType w:val="singleLevel"/>
    <w:tmpl w:val="A2519DF6"/>
    <w:lvl w:ilvl="0" w:tentative="0">
      <w:start w:val="1"/>
      <w:numFmt w:val="decimal"/>
      <w:suff w:val="space"/>
      <w:lvlText w:val="%1)"/>
      <w:lvlJc w:val="left"/>
      <w:pPr>
        <w:ind w:left="0" w:firstLine="480"/>
      </w:pPr>
      <w:rPr>
        <w:rFonts w:hint="default"/>
      </w:rPr>
    </w:lvl>
  </w:abstractNum>
  <w:abstractNum w:abstractNumId="83">
    <w:nsid w:val="A2B3ABFC"/>
    <w:multiLevelType w:val="singleLevel"/>
    <w:tmpl w:val="A2B3ABFC"/>
    <w:lvl w:ilvl="0" w:tentative="0">
      <w:start w:val="1"/>
      <w:numFmt w:val="bullet"/>
      <w:lvlText w:val=""/>
      <w:lvlJc w:val="left"/>
      <w:pPr>
        <w:ind w:left="420" w:hanging="420"/>
      </w:pPr>
      <w:rPr>
        <w:rFonts w:hint="default" w:ascii="Wingdings" w:hAnsi="Wingdings"/>
      </w:rPr>
    </w:lvl>
  </w:abstractNum>
  <w:abstractNum w:abstractNumId="84">
    <w:nsid w:val="A2F77AF5"/>
    <w:multiLevelType w:val="singleLevel"/>
    <w:tmpl w:val="A2F77AF5"/>
    <w:lvl w:ilvl="0" w:tentative="0">
      <w:start w:val="1"/>
      <w:numFmt w:val="bullet"/>
      <w:lvlText w:val=""/>
      <w:lvlJc w:val="left"/>
      <w:pPr>
        <w:ind w:left="420" w:hanging="420"/>
      </w:pPr>
      <w:rPr>
        <w:rFonts w:hint="default" w:ascii="Wingdings" w:hAnsi="Wingdings"/>
      </w:rPr>
    </w:lvl>
  </w:abstractNum>
  <w:abstractNum w:abstractNumId="85">
    <w:nsid w:val="A3642C07"/>
    <w:multiLevelType w:val="singleLevel"/>
    <w:tmpl w:val="A3642C07"/>
    <w:lvl w:ilvl="0" w:tentative="0">
      <w:start w:val="1"/>
      <w:numFmt w:val="decimal"/>
      <w:suff w:val="space"/>
      <w:lvlText w:val="%1)"/>
      <w:lvlJc w:val="left"/>
      <w:pPr>
        <w:ind w:left="0" w:firstLine="480"/>
      </w:pPr>
      <w:rPr>
        <w:rFonts w:hint="default"/>
      </w:rPr>
    </w:lvl>
  </w:abstractNum>
  <w:abstractNum w:abstractNumId="86">
    <w:nsid w:val="A41BFF87"/>
    <w:multiLevelType w:val="singleLevel"/>
    <w:tmpl w:val="A41BFF87"/>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87">
    <w:nsid w:val="A5192FA5"/>
    <w:multiLevelType w:val="singleLevel"/>
    <w:tmpl w:val="A5192FA5"/>
    <w:lvl w:ilvl="0" w:tentative="0">
      <w:start w:val="1"/>
      <w:numFmt w:val="decimal"/>
      <w:suff w:val="space"/>
      <w:lvlText w:val="4.4.%1"/>
      <w:lvlJc w:val="left"/>
      <w:pPr>
        <w:tabs>
          <w:tab w:val="left" w:pos="0"/>
        </w:tabs>
        <w:ind w:left="0" w:firstLine="0"/>
      </w:pPr>
      <w:rPr>
        <w:rFonts w:hint="default"/>
      </w:rPr>
    </w:lvl>
  </w:abstractNum>
  <w:abstractNum w:abstractNumId="88">
    <w:nsid w:val="A555409B"/>
    <w:multiLevelType w:val="singleLevel"/>
    <w:tmpl w:val="A555409B"/>
    <w:lvl w:ilvl="0" w:tentative="0">
      <w:start w:val="1"/>
      <w:numFmt w:val="decimal"/>
      <w:suff w:val="space"/>
      <w:lvlText w:val="1.%1"/>
      <w:lvlJc w:val="left"/>
      <w:pPr>
        <w:tabs>
          <w:tab w:val="left" w:pos="0"/>
        </w:tabs>
        <w:ind w:left="0" w:firstLine="0"/>
      </w:pPr>
      <w:rPr>
        <w:rFonts w:hint="default"/>
      </w:rPr>
    </w:lvl>
  </w:abstractNum>
  <w:abstractNum w:abstractNumId="89">
    <w:nsid w:val="A57B503A"/>
    <w:multiLevelType w:val="singleLevel"/>
    <w:tmpl w:val="A57B503A"/>
    <w:lvl w:ilvl="0" w:tentative="0">
      <w:start w:val="1"/>
      <w:numFmt w:val="bullet"/>
      <w:lvlText w:val=""/>
      <w:lvlJc w:val="left"/>
      <w:pPr>
        <w:ind w:left="420" w:hanging="420"/>
      </w:pPr>
      <w:rPr>
        <w:rFonts w:hint="default" w:ascii="Wingdings" w:hAnsi="Wingdings"/>
      </w:rPr>
    </w:lvl>
  </w:abstractNum>
  <w:abstractNum w:abstractNumId="90">
    <w:nsid w:val="A5FE69BB"/>
    <w:multiLevelType w:val="singleLevel"/>
    <w:tmpl w:val="A5FE69BB"/>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91">
    <w:nsid w:val="A64046E5"/>
    <w:multiLevelType w:val="singleLevel"/>
    <w:tmpl w:val="A64046E5"/>
    <w:lvl w:ilvl="0" w:tentative="0">
      <w:start w:val="1"/>
      <w:numFmt w:val="bullet"/>
      <w:lvlText w:val=""/>
      <w:lvlJc w:val="left"/>
      <w:pPr>
        <w:ind w:left="420" w:hanging="420"/>
      </w:pPr>
      <w:rPr>
        <w:rFonts w:hint="default" w:ascii="Wingdings" w:hAnsi="Wingdings"/>
      </w:rPr>
    </w:lvl>
  </w:abstractNum>
  <w:abstractNum w:abstractNumId="92">
    <w:nsid w:val="A64D53E7"/>
    <w:multiLevelType w:val="singleLevel"/>
    <w:tmpl w:val="A64D53E7"/>
    <w:lvl w:ilvl="0" w:tentative="0">
      <w:start w:val="1"/>
      <w:numFmt w:val="decimal"/>
      <w:suff w:val="space"/>
      <w:lvlText w:val="%1)"/>
      <w:lvlJc w:val="left"/>
      <w:pPr>
        <w:ind w:left="0" w:firstLine="480"/>
      </w:pPr>
      <w:rPr>
        <w:rFonts w:hint="default"/>
      </w:rPr>
    </w:lvl>
  </w:abstractNum>
  <w:abstractNum w:abstractNumId="93">
    <w:nsid w:val="A64DD059"/>
    <w:multiLevelType w:val="singleLevel"/>
    <w:tmpl w:val="A64DD059"/>
    <w:lvl w:ilvl="0" w:tentative="0">
      <w:start w:val="1"/>
      <w:numFmt w:val="decimal"/>
      <w:lvlText w:val="%1."/>
      <w:lvlJc w:val="left"/>
      <w:pPr>
        <w:tabs>
          <w:tab w:val="left" w:pos="312"/>
        </w:tabs>
      </w:pPr>
    </w:lvl>
  </w:abstractNum>
  <w:abstractNum w:abstractNumId="94">
    <w:nsid w:val="A6B74BB4"/>
    <w:multiLevelType w:val="singleLevel"/>
    <w:tmpl w:val="A6B74BB4"/>
    <w:lvl w:ilvl="0" w:tentative="0">
      <w:start w:val="1"/>
      <w:numFmt w:val="decimal"/>
      <w:suff w:val="space"/>
      <w:lvlText w:val="1.13.4.%1"/>
      <w:lvlJc w:val="left"/>
      <w:pPr>
        <w:tabs>
          <w:tab w:val="left" w:pos="0"/>
        </w:tabs>
        <w:ind w:left="0" w:firstLine="0"/>
      </w:pPr>
      <w:rPr>
        <w:rFonts w:hint="default"/>
      </w:rPr>
    </w:lvl>
  </w:abstractNum>
  <w:abstractNum w:abstractNumId="95">
    <w:nsid w:val="A6DA5DB9"/>
    <w:multiLevelType w:val="singleLevel"/>
    <w:tmpl w:val="A6DA5DB9"/>
    <w:lvl w:ilvl="0" w:tentative="0">
      <w:start w:val="1"/>
      <w:numFmt w:val="decimal"/>
      <w:suff w:val="space"/>
      <w:lvlText w:val="1.%1"/>
      <w:lvlJc w:val="left"/>
      <w:pPr>
        <w:tabs>
          <w:tab w:val="left" w:pos="0"/>
        </w:tabs>
        <w:ind w:left="0" w:firstLine="480"/>
      </w:pPr>
      <w:rPr>
        <w:rFonts w:hint="default" w:ascii="宋体" w:hAnsi="宋体" w:eastAsia="宋体" w:cs="宋体"/>
      </w:rPr>
    </w:lvl>
  </w:abstractNum>
  <w:abstractNum w:abstractNumId="96">
    <w:nsid w:val="A780782C"/>
    <w:multiLevelType w:val="singleLevel"/>
    <w:tmpl w:val="A780782C"/>
    <w:lvl w:ilvl="0" w:tentative="0">
      <w:start w:val="1"/>
      <w:numFmt w:val="decimal"/>
      <w:suff w:val="space"/>
      <w:lvlText w:val="%1)"/>
      <w:lvlJc w:val="left"/>
      <w:pPr>
        <w:ind w:left="0" w:firstLine="480"/>
      </w:pPr>
      <w:rPr>
        <w:rFonts w:hint="default"/>
      </w:rPr>
    </w:lvl>
  </w:abstractNum>
  <w:abstractNum w:abstractNumId="97">
    <w:nsid w:val="A8268F82"/>
    <w:multiLevelType w:val="singleLevel"/>
    <w:tmpl w:val="A8268F82"/>
    <w:lvl w:ilvl="0" w:tentative="0">
      <w:start w:val="1"/>
      <w:numFmt w:val="decimal"/>
      <w:suff w:val="nothing"/>
      <w:lvlText w:val="%1）"/>
      <w:lvlJc w:val="left"/>
      <w:pPr>
        <w:ind w:left="0" w:firstLine="480"/>
      </w:pPr>
      <w:rPr>
        <w:rFonts w:hint="default"/>
      </w:rPr>
    </w:lvl>
  </w:abstractNum>
  <w:abstractNum w:abstractNumId="98">
    <w:nsid w:val="A8F37E95"/>
    <w:multiLevelType w:val="singleLevel"/>
    <w:tmpl w:val="A8F37E95"/>
    <w:lvl w:ilvl="0" w:tentative="0">
      <w:start w:val="1"/>
      <w:numFmt w:val="bullet"/>
      <w:lvlText w:val=""/>
      <w:lvlJc w:val="left"/>
      <w:pPr>
        <w:ind w:left="420" w:hanging="420"/>
      </w:pPr>
      <w:rPr>
        <w:rFonts w:hint="default" w:ascii="Wingdings" w:hAnsi="Wingdings"/>
      </w:rPr>
    </w:lvl>
  </w:abstractNum>
  <w:abstractNum w:abstractNumId="99">
    <w:nsid w:val="A922BE8E"/>
    <w:multiLevelType w:val="singleLevel"/>
    <w:tmpl w:val="A922BE8E"/>
    <w:lvl w:ilvl="0" w:tentative="0">
      <w:start w:val="1"/>
      <w:numFmt w:val="decimal"/>
      <w:suff w:val="space"/>
      <w:lvlText w:val="%1)"/>
      <w:lvlJc w:val="left"/>
      <w:pPr>
        <w:ind w:left="0" w:firstLine="480"/>
      </w:pPr>
      <w:rPr>
        <w:rFonts w:hint="default"/>
      </w:rPr>
    </w:lvl>
  </w:abstractNum>
  <w:abstractNum w:abstractNumId="100">
    <w:nsid w:val="A979E87C"/>
    <w:multiLevelType w:val="singleLevel"/>
    <w:tmpl w:val="A979E87C"/>
    <w:lvl w:ilvl="0" w:tentative="0">
      <w:start w:val="1"/>
      <w:numFmt w:val="decimal"/>
      <w:suff w:val="space"/>
      <w:lvlText w:val="%1)"/>
      <w:lvlJc w:val="left"/>
      <w:pPr>
        <w:ind w:left="425" w:hanging="425"/>
      </w:pPr>
      <w:rPr>
        <w:rFonts w:hint="default"/>
      </w:rPr>
    </w:lvl>
  </w:abstractNum>
  <w:abstractNum w:abstractNumId="101">
    <w:nsid w:val="A9D35095"/>
    <w:multiLevelType w:val="singleLevel"/>
    <w:tmpl w:val="A9D35095"/>
    <w:lvl w:ilvl="0" w:tentative="0">
      <w:start w:val="1"/>
      <w:numFmt w:val="decimal"/>
      <w:suff w:val="space"/>
      <w:lvlText w:val="%1)"/>
      <w:lvlJc w:val="left"/>
      <w:pPr>
        <w:ind w:left="0" w:firstLine="480"/>
      </w:pPr>
      <w:rPr>
        <w:rFonts w:hint="default"/>
      </w:rPr>
    </w:lvl>
  </w:abstractNum>
  <w:abstractNum w:abstractNumId="102">
    <w:nsid w:val="A9F91DBB"/>
    <w:multiLevelType w:val="singleLevel"/>
    <w:tmpl w:val="A9F91DBB"/>
    <w:lvl w:ilvl="0" w:tentative="0">
      <w:start w:val="1"/>
      <w:numFmt w:val="decimal"/>
      <w:suff w:val="space"/>
      <w:lvlText w:val="%1)"/>
      <w:lvlJc w:val="left"/>
      <w:pPr>
        <w:ind w:left="425" w:hanging="425"/>
      </w:pPr>
      <w:rPr>
        <w:rFonts w:hint="default"/>
      </w:rPr>
    </w:lvl>
  </w:abstractNum>
  <w:abstractNum w:abstractNumId="103">
    <w:nsid w:val="AA20CC40"/>
    <w:multiLevelType w:val="singleLevel"/>
    <w:tmpl w:val="AA20CC40"/>
    <w:lvl w:ilvl="0" w:tentative="0">
      <w:start w:val="1"/>
      <w:numFmt w:val="decimal"/>
      <w:suff w:val="space"/>
      <w:lvlText w:val="%1)"/>
      <w:lvlJc w:val="left"/>
      <w:pPr>
        <w:ind w:left="0" w:firstLine="480"/>
      </w:pPr>
      <w:rPr>
        <w:rFonts w:hint="default"/>
      </w:rPr>
    </w:lvl>
  </w:abstractNum>
  <w:abstractNum w:abstractNumId="104">
    <w:nsid w:val="AB64F7C4"/>
    <w:multiLevelType w:val="singleLevel"/>
    <w:tmpl w:val="AB64F7C4"/>
    <w:lvl w:ilvl="0" w:tentative="0">
      <w:start w:val="1"/>
      <w:numFmt w:val="decimal"/>
      <w:suff w:val="space"/>
      <w:lvlText w:val="5.%1"/>
      <w:lvlJc w:val="left"/>
      <w:pPr>
        <w:ind w:left="0" w:firstLine="0"/>
      </w:pPr>
      <w:rPr>
        <w:rFonts w:hint="default"/>
      </w:rPr>
    </w:lvl>
  </w:abstractNum>
  <w:abstractNum w:abstractNumId="105">
    <w:nsid w:val="AB6A20FE"/>
    <w:multiLevelType w:val="singleLevel"/>
    <w:tmpl w:val="AB6A20FE"/>
    <w:lvl w:ilvl="0" w:tentative="0">
      <w:start w:val="1"/>
      <w:numFmt w:val="decimal"/>
      <w:suff w:val="space"/>
      <w:lvlText w:val="%1)"/>
      <w:lvlJc w:val="left"/>
      <w:pPr>
        <w:ind w:left="0" w:firstLine="480"/>
      </w:pPr>
      <w:rPr>
        <w:rFonts w:hint="default"/>
      </w:rPr>
    </w:lvl>
  </w:abstractNum>
  <w:abstractNum w:abstractNumId="106">
    <w:nsid w:val="AB8BF28D"/>
    <w:multiLevelType w:val="singleLevel"/>
    <w:tmpl w:val="AB8BF28D"/>
    <w:lvl w:ilvl="0" w:tentative="0">
      <w:start w:val="1"/>
      <w:numFmt w:val="bullet"/>
      <w:lvlText w:val=""/>
      <w:lvlJc w:val="left"/>
      <w:pPr>
        <w:ind w:left="420" w:hanging="420"/>
      </w:pPr>
      <w:rPr>
        <w:rFonts w:hint="default" w:ascii="Wingdings" w:hAnsi="Wingdings"/>
      </w:rPr>
    </w:lvl>
  </w:abstractNum>
  <w:abstractNum w:abstractNumId="107">
    <w:nsid w:val="ABC654C6"/>
    <w:multiLevelType w:val="singleLevel"/>
    <w:tmpl w:val="ABC654C6"/>
    <w:lvl w:ilvl="0" w:tentative="0">
      <w:start w:val="1"/>
      <w:numFmt w:val="lowerLetter"/>
      <w:suff w:val="space"/>
      <w:lvlText w:val="%1)"/>
      <w:lvlJc w:val="left"/>
      <w:pPr>
        <w:ind w:left="0" w:firstLine="480"/>
      </w:pPr>
      <w:rPr>
        <w:rFonts w:hint="default"/>
      </w:rPr>
    </w:lvl>
  </w:abstractNum>
  <w:abstractNum w:abstractNumId="108">
    <w:nsid w:val="AC176D45"/>
    <w:multiLevelType w:val="singleLevel"/>
    <w:tmpl w:val="AC176D45"/>
    <w:lvl w:ilvl="0" w:tentative="0">
      <w:start w:val="1"/>
      <w:numFmt w:val="decimal"/>
      <w:suff w:val="space"/>
      <w:lvlText w:val="1.11.%1"/>
      <w:lvlJc w:val="left"/>
      <w:pPr>
        <w:tabs>
          <w:tab w:val="left" w:pos="0"/>
        </w:tabs>
        <w:ind w:left="0" w:firstLine="0"/>
      </w:pPr>
      <w:rPr>
        <w:rFonts w:hint="default"/>
      </w:rPr>
    </w:lvl>
  </w:abstractNum>
  <w:abstractNum w:abstractNumId="109">
    <w:nsid w:val="ACD4EF5F"/>
    <w:multiLevelType w:val="singleLevel"/>
    <w:tmpl w:val="ACD4EF5F"/>
    <w:lvl w:ilvl="0" w:tentative="0">
      <w:start w:val="1"/>
      <w:numFmt w:val="decimal"/>
      <w:suff w:val="space"/>
      <w:lvlText w:val="4.7.%1"/>
      <w:lvlJc w:val="left"/>
      <w:pPr>
        <w:tabs>
          <w:tab w:val="left" w:pos="0"/>
        </w:tabs>
        <w:ind w:left="0" w:firstLine="0"/>
      </w:pPr>
      <w:rPr>
        <w:rFonts w:hint="default"/>
      </w:rPr>
    </w:lvl>
  </w:abstractNum>
  <w:abstractNum w:abstractNumId="110">
    <w:nsid w:val="ADDA1391"/>
    <w:multiLevelType w:val="singleLevel"/>
    <w:tmpl w:val="ADDA1391"/>
    <w:lvl w:ilvl="0" w:tentative="0">
      <w:start w:val="1"/>
      <w:numFmt w:val="decimal"/>
      <w:suff w:val="space"/>
      <w:lvlText w:val="%1)"/>
      <w:lvlJc w:val="left"/>
      <w:pPr>
        <w:ind w:left="0" w:firstLine="480"/>
      </w:pPr>
      <w:rPr>
        <w:rFonts w:hint="default"/>
      </w:rPr>
    </w:lvl>
  </w:abstractNum>
  <w:abstractNum w:abstractNumId="111">
    <w:nsid w:val="ADDCCD57"/>
    <w:multiLevelType w:val="singleLevel"/>
    <w:tmpl w:val="ADDCCD57"/>
    <w:lvl w:ilvl="0" w:tentative="0">
      <w:start w:val="1"/>
      <w:numFmt w:val="bullet"/>
      <w:suff w:val="space"/>
      <w:lvlText w:val=""/>
      <w:lvlJc w:val="left"/>
      <w:pPr>
        <w:ind w:left="0" w:hanging="420"/>
      </w:pPr>
      <w:rPr>
        <w:rFonts w:hint="default" w:ascii="Wingdings" w:hAnsi="Wingdings"/>
      </w:rPr>
    </w:lvl>
  </w:abstractNum>
  <w:abstractNum w:abstractNumId="112">
    <w:nsid w:val="AE242AE0"/>
    <w:multiLevelType w:val="singleLevel"/>
    <w:tmpl w:val="AE242AE0"/>
    <w:lvl w:ilvl="0" w:tentative="0">
      <w:start w:val="1"/>
      <w:numFmt w:val="decimal"/>
      <w:suff w:val="space"/>
      <w:lvlText w:val="1.13.%1"/>
      <w:lvlJc w:val="left"/>
      <w:pPr>
        <w:tabs>
          <w:tab w:val="left" w:pos="0"/>
        </w:tabs>
        <w:ind w:left="0" w:firstLine="0"/>
      </w:pPr>
      <w:rPr>
        <w:rFonts w:hint="default"/>
      </w:rPr>
    </w:lvl>
  </w:abstractNum>
  <w:abstractNum w:abstractNumId="113">
    <w:nsid w:val="AE38E696"/>
    <w:multiLevelType w:val="singleLevel"/>
    <w:tmpl w:val="AE38E696"/>
    <w:lvl w:ilvl="0" w:tentative="0">
      <w:start w:val="1"/>
      <w:numFmt w:val="decimal"/>
      <w:suff w:val="space"/>
      <w:lvlText w:val="%1)"/>
      <w:lvlJc w:val="left"/>
      <w:pPr>
        <w:ind w:left="0" w:firstLine="480"/>
      </w:pPr>
      <w:rPr>
        <w:rFonts w:hint="default"/>
      </w:rPr>
    </w:lvl>
  </w:abstractNum>
  <w:abstractNum w:abstractNumId="114">
    <w:nsid w:val="AF143F4E"/>
    <w:multiLevelType w:val="singleLevel"/>
    <w:tmpl w:val="AF143F4E"/>
    <w:lvl w:ilvl="0" w:tentative="0">
      <w:start w:val="1"/>
      <w:numFmt w:val="decimal"/>
      <w:suff w:val="space"/>
      <w:lvlText w:val="%1)"/>
      <w:lvlJc w:val="left"/>
      <w:pPr>
        <w:ind w:left="0" w:firstLine="480"/>
      </w:pPr>
      <w:rPr>
        <w:rFonts w:hint="default"/>
      </w:rPr>
    </w:lvl>
  </w:abstractNum>
  <w:abstractNum w:abstractNumId="115">
    <w:nsid w:val="AF387E62"/>
    <w:multiLevelType w:val="singleLevel"/>
    <w:tmpl w:val="AF387E62"/>
    <w:lvl w:ilvl="0" w:tentative="0">
      <w:start w:val="1"/>
      <w:numFmt w:val="decimal"/>
      <w:suff w:val="space"/>
      <w:lvlText w:val="18.%1"/>
      <w:lvlJc w:val="left"/>
      <w:pPr>
        <w:tabs>
          <w:tab w:val="left" w:pos="0"/>
        </w:tabs>
        <w:ind w:left="0" w:firstLine="0"/>
      </w:pPr>
      <w:rPr>
        <w:rFonts w:hint="default"/>
      </w:rPr>
    </w:lvl>
  </w:abstractNum>
  <w:abstractNum w:abstractNumId="116">
    <w:nsid w:val="AFF244F1"/>
    <w:multiLevelType w:val="multilevel"/>
    <w:tmpl w:val="AFF244F1"/>
    <w:lvl w:ilvl="0" w:tentative="0">
      <w:start w:val="1"/>
      <w:numFmt w:val="lowerLetter"/>
      <w:lvlText w:val="%1."/>
      <w:lvlJc w:val="left"/>
      <w:pPr>
        <w:tabs>
          <w:tab w:val="left" w:pos="0"/>
        </w:tabs>
        <w:ind w:left="420" w:firstLine="0"/>
      </w:pPr>
      <w:rPr>
        <w:rFonts w:hint="default"/>
      </w:rPr>
    </w:lvl>
    <w:lvl w:ilvl="1" w:tentative="0">
      <w:start w:val="1"/>
      <w:numFmt w:val="lowerLetter"/>
      <w:suff w:val="space"/>
      <w:lvlText w:val="%2"/>
      <w:lvlJc w:val="left"/>
      <w:pPr>
        <w:ind w:left="420" w:firstLine="420"/>
      </w:pPr>
      <w:rPr>
        <w:rFonts w:hint="default"/>
      </w:r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117">
    <w:nsid w:val="B0CC2DF0"/>
    <w:multiLevelType w:val="singleLevel"/>
    <w:tmpl w:val="B0CC2DF0"/>
    <w:lvl w:ilvl="0" w:tentative="0">
      <w:start w:val="1"/>
      <w:numFmt w:val="bullet"/>
      <w:lvlText w:val=""/>
      <w:lvlJc w:val="left"/>
      <w:pPr>
        <w:ind w:left="420" w:hanging="420"/>
      </w:pPr>
      <w:rPr>
        <w:rFonts w:hint="default" w:ascii="Wingdings" w:hAnsi="Wingdings"/>
      </w:rPr>
    </w:lvl>
  </w:abstractNum>
  <w:abstractNum w:abstractNumId="118">
    <w:nsid w:val="B148450A"/>
    <w:multiLevelType w:val="singleLevel"/>
    <w:tmpl w:val="B148450A"/>
    <w:lvl w:ilvl="0" w:tentative="0">
      <w:start w:val="1"/>
      <w:numFmt w:val="decimal"/>
      <w:suff w:val="space"/>
      <w:lvlText w:val="3.15.2.%1"/>
      <w:lvlJc w:val="left"/>
      <w:pPr>
        <w:ind w:left="0" w:firstLine="0"/>
      </w:pPr>
      <w:rPr>
        <w:rFonts w:hint="default"/>
      </w:rPr>
    </w:lvl>
  </w:abstractNum>
  <w:abstractNum w:abstractNumId="119">
    <w:nsid w:val="B1689F33"/>
    <w:multiLevelType w:val="singleLevel"/>
    <w:tmpl w:val="B1689F33"/>
    <w:lvl w:ilvl="0" w:tentative="0">
      <w:start w:val="1"/>
      <w:numFmt w:val="decimal"/>
      <w:suff w:val="space"/>
      <w:lvlText w:val="%1)"/>
      <w:lvlJc w:val="left"/>
      <w:pPr>
        <w:ind w:left="0" w:firstLine="480"/>
      </w:pPr>
      <w:rPr>
        <w:rFonts w:hint="default"/>
      </w:rPr>
    </w:lvl>
  </w:abstractNum>
  <w:abstractNum w:abstractNumId="120">
    <w:nsid w:val="B1726276"/>
    <w:multiLevelType w:val="singleLevel"/>
    <w:tmpl w:val="B1726276"/>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121">
    <w:nsid w:val="B2EEF38D"/>
    <w:multiLevelType w:val="singleLevel"/>
    <w:tmpl w:val="B2EEF38D"/>
    <w:lvl w:ilvl="0" w:tentative="0">
      <w:start w:val="1"/>
      <w:numFmt w:val="decimal"/>
      <w:suff w:val="space"/>
      <w:lvlText w:val="%1)"/>
      <w:lvlJc w:val="left"/>
      <w:pPr>
        <w:ind w:left="0" w:firstLine="480"/>
      </w:pPr>
      <w:rPr>
        <w:rFonts w:hint="default"/>
      </w:rPr>
    </w:lvl>
  </w:abstractNum>
  <w:abstractNum w:abstractNumId="122">
    <w:nsid w:val="B30634A2"/>
    <w:multiLevelType w:val="singleLevel"/>
    <w:tmpl w:val="B30634A2"/>
    <w:lvl w:ilvl="0" w:tentative="0">
      <w:start w:val="1"/>
      <w:numFmt w:val="decimal"/>
      <w:suff w:val="nothing"/>
      <w:lvlText w:val="%1）"/>
      <w:lvlJc w:val="left"/>
      <w:pPr>
        <w:ind w:left="0" w:firstLine="480"/>
      </w:pPr>
      <w:rPr>
        <w:rFonts w:hint="default"/>
      </w:rPr>
    </w:lvl>
  </w:abstractNum>
  <w:abstractNum w:abstractNumId="123">
    <w:nsid w:val="B3212EC0"/>
    <w:multiLevelType w:val="singleLevel"/>
    <w:tmpl w:val="B3212EC0"/>
    <w:lvl w:ilvl="0" w:tentative="0">
      <w:start w:val="1"/>
      <w:numFmt w:val="decimal"/>
      <w:suff w:val="space"/>
      <w:lvlText w:val="%1)"/>
      <w:lvlJc w:val="left"/>
      <w:pPr>
        <w:ind w:left="0" w:firstLine="480"/>
      </w:pPr>
      <w:rPr>
        <w:rFonts w:hint="default"/>
      </w:rPr>
    </w:lvl>
  </w:abstractNum>
  <w:abstractNum w:abstractNumId="124">
    <w:nsid w:val="B3659AA1"/>
    <w:multiLevelType w:val="singleLevel"/>
    <w:tmpl w:val="B3659AA1"/>
    <w:lvl w:ilvl="0" w:tentative="0">
      <w:start w:val="1"/>
      <w:numFmt w:val="decimal"/>
      <w:suff w:val="space"/>
      <w:lvlText w:val="%1)"/>
      <w:lvlJc w:val="left"/>
      <w:pPr>
        <w:ind w:left="425" w:hanging="425"/>
      </w:pPr>
      <w:rPr>
        <w:rFonts w:hint="default"/>
      </w:rPr>
    </w:lvl>
  </w:abstractNum>
  <w:abstractNum w:abstractNumId="125">
    <w:nsid w:val="B48F6EE5"/>
    <w:multiLevelType w:val="singleLevel"/>
    <w:tmpl w:val="B48F6EE5"/>
    <w:lvl w:ilvl="0" w:tentative="0">
      <w:start w:val="1"/>
      <w:numFmt w:val="decimal"/>
      <w:suff w:val="space"/>
      <w:lvlText w:val="1.14.%1"/>
      <w:lvlJc w:val="left"/>
      <w:pPr>
        <w:tabs>
          <w:tab w:val="left" w:pos="0"/>
        </w:tabs>
        <w:ind w:left="0" w:firstLine="0"/>
      </w:pPr>
      <w:rPr>
        <w:rFonts w:hint="default" w:ascii="宋体" w:hAnsi="宋体" w:eastAsia="宋体" w:cs="宋体"/>
      </w:rPr>
    </w:lvl>
  </w:abstractNum>
  <w:abstractNum w:abstractNumId="126">
    <w:nsid w:val="B49022AD"/>
    <w:multiLevelType w:val="singleLevel"/>
    <w:tmpl w:val="B49022AD"/>
    <w:lvl w:ilvl="0" w:tentative="0">
      <w:start w:val="1"/>
      <w:numFmt w:val="bullet"/>
      <w:lvlText w:val=""/>
      <w:lvlJc w:val="left"/>
      <w:pPr>
        <w:ind w:left="420" w:hanging="420"/>
      </w:pPr>
      <w:rPr>
        <w:rFonts w:hint="default" w:ascii="Wingdings" w:hAnsi="Wingdings"/>
      </w:rPr>
    </w:lvl>
  </w:abstractNum>
  <w:abstractNum w:abstractNumId="127">
    <w:nsid w:val="B4975A6B"/>
    <w:multiLevelType w:val="singleLevel"/>
    <w:tmpl w:val="B4975A6B"/>
    <w:lvl w:ilvl="0" w:tentative="0">
      <w:start w:val="1"/>
      <w:numFmt w:val="decimal"/>
      <w:suff w:val="space"/>
      <w:lvlText w:val="1.16.%1"/>
      <w:lvlJc w:val="left"/>
      <w:pPr>
        <w:tabs>
          <w:tab w:val="left" w:pos="0"/>
        </w:tabs>
        <w:ind w:left="0" w:firstLine="0"/>
      </w:pPr>
      <w:rPr>
        <w:rFonts w:hint="default"/>
      </w:rPr>
    </w:lvl>
  </w:abstractNum>
  <w:abstractNum w:abstractNumId="128">
    <w:nsid w:val="B57F538A"/>
    <w:multiLevelType w:val="singleLevel"/>
    <w:tmpl w:val="B57F538A"/>
    <w:lvl w:ilvl="0" w:tentative="0">
      <w:start w:val="1"/>
      <w:numFmt w:val="decimal"/>
      <w:suff w:val="space"/>
      <w:lvlText w:val="1.13.%1"/>
      <w:lvlJc w:val="left"/>
      <w:pPr>
        <w:tabs>
          <w:tab w:val="left" w:pos="0"/>
        </w:tabs>
        <w:ind w:left="0" w:firstLine="0"/>
      </w:pPr>
      <w:rPr>
        <w:rFonts w:hint="default" w:ascii="宋体" w:hAnsi="宋体" w:eastAsia="宋体" w:cs="宋体"/>
      </w:rPr>
    </w:lvl>
  </w:abstractNum>
  <w:abstractNum w:abstractNumId="129">
    <w:nsid w:val="B60C7E09"/>
    <w:multiLevelType w:val="singleLevel"/>
    <w:tmpl w:val="B60C7E09"/>
    <w:lvl w:ilvl="0" w:tentative="0">
      <w:start w:val="1"/>
      <w:numFmt w:val="decimal"/>
      <w:suff w:val="nothing"/>
      <w:lvlText w:val="%1）"/>
      <w:lvlJc w:val="left"/>
      <w:pPr>
        <w:ind w:left="0" w:firstLine="480"/>
      </w:pPr>
      <w:rPr>
        <w:rFonts w:hint="default"/>
      </w:rPr>
    </w:lvl>
  </w:abstractNum>
  <w:abstractNum w:abstractNumId="130">
    <w:nsid w:val="B624C45A"/>
    <w:multiLevelType w:val="multilevel"/>
    <w:tmpl w:val="B624C45A"/>
    <w:lvl w:ilvl="0" w:tentative="0">
      <w:start w:val="1"/>
      <w:numFmt w:val="bullet"/>
      <w:suff w:val="space"/>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31">
    <w:nsid w:val="B744AF15"/>
    <w:multiLevelType w:val="multilevel"/>
    <w:tmpl w:val="B744AF15"/>
    <w:lvl w:ilvl="0" w:tentative="0">
      <w:start w:val="1"/>
      <w:numFmt w:val="lowerLetter"/>
      <w:suff w:val="space"/>
      <w:lvlText w:val="%1."/>
      <w:lvlJc w:val="left"/>
      <w:pPr>
        <w:tabs>
          <w:tab w:val="left" w:pos="0"/>
        </w:tabs>
        <w:ind w:left="420" w:firstLine="0"/>
      </w:pPr>
      <w:rPr>
        <w:rFonts w:hint="eastAsia"/>
      </w:rPr>
    </w:lvl>
    <w:lvl w:ilvl="1" w:tentative="0">
      <w:start w:val="1"/>
      <w:numFmt w:val="decimalEnclosedCircle"/>
      <w:lvlText w:val="%2、"/>
      <w:lvlJc w:val="left"/>
      <w:pPr>
        <w:tabs>
          <w:tab w:val="left" w:pos="420"/>
        </w:tabs>
        <w:ind w:left="1320" w:hanging="48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132">
    <w:nsid w:val="B74FCF8C"/>
    <w:multiLevelType w:val="singleLevel"/>
    <w:tmpl w:val="B74FCF8C"/>
    <w:lvl w:ilvl="0" w:tentative="0">
      <w:start w:val="1"/>
      <w:numFmt w:val="decimal"/>
      <w:suff w:val="space"/>
      <w:lvlText w:val="%1)"/>
      <w:lvlJc w:val="left"/>
      <w:pPr>
        <w:ind w:left="0" w:firstLine="480"/>
      </w:pPr>
      <w:rPr>
        <w:rFonts w:hint="default"/>
      </w:rPr>
    </w:lvl>
  </w:abstractNum>
  <w:abstractNum w:abstractNumId="133">
    <w:nsid w:val="B78D84FF"/>
    <w:multiLevelType w:val="singleLevel"/>
    <w:tmpl w:val="B78D84FF"/>
    <w:lvl w:ilvl="0" w:tentative="0">
      <w:start w:val="1"/>
      <w:numFmt w:val="decimal"/>
      <w:suff w:val="space"/>
      <w:lvlText w:val="%1)"/>
      <w:lvlJc w:val="left"/>
      <w:pPr>
        <w:ind w:left="425" w:hanging="425"/>
      </w:pPr>
      <w:rPr>
        <w:rFonts w:hint="default"/>
      </w:rPr>
    </w:lvl>
  </w:abstractNum>
  <w:abstractNum w:abstractNumId="134">
    <w:nsid w:val="B7AB329B"/>
    <w:multiLevelType w:val="singleLevel"/>
    <w:tmpl w:val="B7AB329B"/>
    <w:lvl w:ilvl="0" w:tentative="0">
      <w:start w:val="1"/>
      <w:numFmt w:val="bullet"/>
      <w:suff w:val="space"/>
      <w:lvlText w:val=""/>
      <w:lvlJc w:val="left"/>
      <w:pPr>
        <w:ind w:left="420" w:hanging="420"/>
      </w:pPr>
      <w:rPr>
        <w:rFonts w:hint="default" w:ascii="Wingdings" w:hAnsi="Wingdings"/>
      </w:rPr>
    </w:lvl>
  </w:abstractNum>
  <w:abstractNum w:abstractNumId="135">
    <w:nsid w:val="B881A73E"/>
    <w:multiLevelType w:val="singleLevel"/>
    <w:tmpl w:val="B881A73E"/>
    <w:lvl w:ilvl="0" w:tentative="0">
      <w:start w:val="1"/>
      <w:numFmt w:val="decimal"/>
      <w:suff w:val="space"/>
      <w:lvlText w:val="%1."/>
      <w:lvlJc w:val="left"/>
      <w:pPr>
        <w:ind w:left="0" w:firstLine="0"/>
      </w:pPr>
      <w:rPr>
        <w:rFonts w:hint="default"/>
      </w:rPr>
    </w:lvl>
  </w:abstractNum>
  <w:abstractNum w:abstractNumId="136">
    <w:nsid w:val="B97F26D1"/>
    <w:multiLevelType w:val="multilevel"/>
    <w:tmpl w:val="B97F26D1"/>
    <w:lvl w:ilvl="0" w:tentative="0">
      <w:start w:val="1"/>
      <w:numFmt w:val="lowerLetter"/>
      <w:suff w:val="space"/>
      <w:lvlText w:val="%1."/>
      <w:lvlJc w:val="left"/>
      <w:pPr>
        <w:ind w:left="840" w:hanging="420"/>
      </w:pPr>
      <w:rPr>
        <w:rFonts w:hint="eastAsia"/>
      </w:rPr>
    </w:lvl>
    <w:lvl w:ilvl="1" w:tentative="0">
      <w:start w:val="1"/>
      <w:numFmt w:val="decimalEnclosedCircle"/>
      <w:lvlText w:val="%2、"/>
      <w:lvlJc w:val="left"/>
      <w:pPr>
        <w:tabs>
          <w:tab w:val="left" w:pos="420"/>
        </w:tabs>
        <w:ind w:left="1320" w:hanging="48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137">
    <w:nsid w:val="BA46347D"/>
    <w:multiLevelType w:val="singleLevel"/>
    <w:tmpl w:val="BA46347D"/>
    <w:lvl w:ilvl="0" w:tentative="0">
      <w:start w:val="1"/>
      <w:numFmt w:val="decimal"/>
      <w:suff w:val="space"/>
      <w:lvlText w:val="%1)"/>
      <w:lvlJc w:val="left"/>
      <w:pPr>
        <w:ind w:left="0" w:firstLine="480"/>
      </w:pPr>
      <w:rPr>
        <w:rFonts w:hint="default"/>
      </w:rPr>
    </w:lvl>
  </w:abstractNum>
  <w:abstractNum w:abstractNumId="138">
    <w:nsid w:val="BB6DE325"/>
    <w:multiLevelType w:val="singleLevel"/>
    <w:tmpl w:val="BB6DE325"/>
    <w:lvl w:ilvl="0" w:tentative="0">
      <w:start w:val="1"/>
      <w:numFmt w:val="bullet"/>
      <w:lvlText w:val=""/>
      <w:lvlJc w:val="left"/>
      <w:pPr>
        <w:ind w:left="420" w:hanging="420"/>
      </w:pPr>
      <w:rPr>
        <w:rFonts w:hint="default" w:ascii="Wingdings" w:hAnsi="Wingdings"/>
      </w:rPr>
    </w:lvl>
  </w:abstractNum>
  <w:abstractNum w:abstractNumId="139">
    <w:nsid w:val="BB8E428F"/>
    <w:multiLevelType w:val="singleLevel"/>
    <w:tmpl w:val="BB8E428F"/>
    <w:lvl w:ilvl="0" w:tentative="0">
      <w:start w:val="1"/>
      <w:numFmt w:val="decimal"/>
      <w:suff w:val="space"/>
      <w:lvlText w:val="%1)"/>
      <w:lvlJc w:val="left"/>
      <w:pPr>
        <w:ind w:left="0" w:firstLine="480"/>
      </w:pPr>
      <w:rPr>
        <w:rFonts w:hint="default"/>
      </w:rPr>
    </w:lvl>
  </w:abstractNum>
  <w:abstractNum w:abstractNumId="140">
    <w:nsid w:val="BBEB48C9"/>
    <w:multiLevelType w:val="singleLevel"/>
    <w:tmpl w:val="BBEB48C9"/>
    <w:lvl w:ilvl="0" w:tentative="0">
      <w:start w:val="1"/>
      <w:numFmt w:val="decimal"/>
      <w:suff w:val="space"/>
      <w:lvlText w:val="%1."/>
      <w:lvlJc w:val="left"/>
      <w:pPr>
        <w:ind w:left="0" w:firstLine="0"/>
      </w:pPr>
      <w:rPr>
        <w:rFonts w:hint="default"/>
      </w:rPr>
    </w:lvl>
  </w:abstractNum>
  <w:abstractNum w:abstractNumId="141">
    <w:nsid w:val="BC214BBB"/>
    <w:multiLevelType w:val="singleLevel"/>
    <w:tmpl w:val="BC214BBB"/>
    <w:lvl w:ilvl="0" w:tentative="0">
      <w:start w:val="1"/>
      <w:numFmt w:val="decimal"/>
      <w:suff w:val="space"/>
      <w:lvlText w:val="%1)"/>
      <w:lvlJc w:val="left"/>
      <w:pPr>
        <w:ind w:left="0" w:firstLine="480"/>
      </w:pPr>
      <w:rPr>
        <w:rFonts w:hint="default"/>
      </w:rPr>
    </w:lvl>
  </w:abstractNum>
  <w:abstractNum w:abstractNumId="142">
    <w:nsid w:val="BC7E243D"/>
    <w:multiLevelType w:val="singleLevel"/>
    <w:tmpl w:val="BC7E243D"/>
    <w:lvl w:ilvl="0" w:tentative="0">
      <w:start w:val="1"/>
      <w:numFmt w:val="decimal"/>
      <w:suff w:val="nothing"/>
      <w:lvlText w:val="%1）"/>
      <w:lvlJc w:val="left"/>
      <w:pPr>
        <w:ind w:left="0" w:firstLine="480"/>
      </w:pPr>
      <w:rPr>
        <w:rFonts w:hint="default"/>
      </w:rPr>
    </w:lvl>
  </w:abstractNum>
  <w:abstractNum w:abstractNumId="143">
    <w:nsid w:val="BC945464"/>
    <w:multiLevelType w:val="singleLevel"/>
    <w:tmpl w:val="BC945464"/>
    <w:lvl w:ilvl="0" w:tentative="0">
      <w:start w:val="1"/>
      <w:numFmt w:val="decimal"/>
      <w:suff w:val="space"/>
      <w:lvlText w:val="4.2.%1"/>
      <w:lvlJc w:val="left"/>
      <w:pPr>
        <w:tabs>
          <w:tab w:val="left" w:pos="0"/>
        </w:tabs>
        <w:ind w:left="425" w:hanging="425"/>
      </w:pPr>
      <w:rPr>
        <w:rFonts w:hint="default" w:ascii="宋体" w:hAnsi="宋体" w:eastAsia="宋体" w:cs="宋体"/>
      </w:rPr>
    </w:lvl>
  </w:abstractNum>
  <w:abstractNum w:abstractNumId="144">
    <w:nsid w:val="BD7B499A"/>
    <w:multiLevelType w:val="singleLevel"/>
    <w:tmpl w:val="BD7B499A"/>
    <w:lvl w:ilvl="0" w:tentative="0">
      <w:start w:val="1"/>
      <w:numFmt w:val="decimal"/>
      <w:suff w:val="space"/>
      <w:lvlText w:val="%1)"/>
      <w:lvlJc w:val="left"/>
      <w:pPr>
        <w:ind w:left="0" w:firstLine="480"/>
      </w:pPr>
      <w:rPr>
        <w:rFonts w:hint="default"/>
      </w:rPr>
    </w:lvl>
  </w:abstractNum>
  <w:abstractNum w:abstractNumId="145">
    <w:nsid w:val="BD865E32"/>
    <w:multiLevelType w:val="singleLevel"/>
    <w:tmpl w:val="BD865E32"/>
    <w:lvl w:ilvl="0" w:tentative="0">
      <w:start w:val="1"/>
      <w:numFmt w:val="decimal"/>
      <w:suff w:val="space"/>
      <w:lvlText w:val="1.12.%1"/>
      <w:lvlJc w:val="left"/>
      <w:pPr>
        <w:tabs>
          <w:tab w:val="left" w:pos="0"/>
        </w:tabs>
        <w:ind w:left="0" w:firstLine="0"/>
      </w:pPr>
      <w:rPr>
        <w:rFonts w:hint="default" w:ascii="宋体" w:hAnsi="宋体" w:eastAsia="宋体" w:cs="宋体"/>
      </w:rPr>
    </w:lvl>
  </w:abstractNum>
  <w:abstractNum w:abstractNumId="146">
    <w:nsid w:val="BDB8B1F8"/>
    <w:multiLevelType w:val="singleLevel"/>
    <w:tmpl w:val="BDB8B1F8"/>
    <w:lvl w:ilvl="0" w:tentative="0">
      <w:start w:val="1"/>
      <w:numFmt w:val="decimal"/>
      <w:suff w:val="space"/>
      <w:lvlText w:val="4.%1"/>
      <w:lvlJc w:val="left"/>
      <w:pPr>
        <w:tabs>
          <w:tab w:val="left" w:pos="0"/>
        </w:tabs>
        <w:ind w:left="425" w:hanging="425"/>
      </w:pPr>
      <w:rPr>
        <w:rFonts w:hint="default" w:ascii="宋体" w:hAnsi="宋体" w:eastAsia="宋体" w:cs="宋体"/>
      </w:rPr>
    </w:lvl>
  </w:abstractNum>
  <w:abstractNum w:abstractNumId="147">
    <w:nsid w:val="BE21A731"/>
    <w:multiLevelType w:val="singleLevel"/>
    <w:tmpl w:val="BE21A731"/>
    <w:lvl w:ilvl="0" w:tentative="0">
      <w:start w:val="1"/>
      <w:numFmt w:val="decimal"/>
      <w:suff w:val="nothing"/>
      <w:lvlText w:val="%1."/>
      <w:lvlJc w:val="left"/>
      <w:pPr>
        <w:tabs>
          <w:tab w:val="left" w:pos="0"/>
        </w:tabs>
        <w:ind w:left="0" w:firstLine="0"/>
      </w:pPr>
      <w:rPr>
        <w:rFonts w:hint="default" w:ascii="宋体" w:hAnsi="宋体" w:eastAsia="宋体" w:cs="宋体"/>
        <w:b w:val="0"/>
        <w:bCs w:val="0"/>
      </w:rPr>
    </w:lvl>
  </w:abstractNum>
  <w:abstractNum w:abstractNumId="148">
    <w:nsid w:val="BE3E0911"/>
    <w:multiLevelType w:val="singleLevel"/>
    <w:tmpl w:val="BE3E0911"/>
    <w:lvl w:ilvl="0" w:tentative="0">
      <w:start w:val="1"/>
      <w:numFmt w:val="decimal"/>
      <w:suff w:val="space"/>
      <w:lvlText w:val="%1)"/>
      <w:lvlJc w:val="left"/>
      <w:pPr>
        <w:ind w:left="425" w:hanging="425"/>
      </w:pPr>
      <w:rPr>
        <w:rFonts w:hint="default"/>
      </w:rPr>
    </w:lvl>
  </w:abstractNum>
  <w:abstractNum w:abstractNumId="149">
    <w:nsid w:val="BE56C3AB"/>
    <w:multiLevelType w:val="multilevel"/>
    <w:tmpl w:val="BE56C3AB"/>
    <w:lvl w:ilvl="0" w:tentative="0">
      <w:start w:val="1"/>
      <w:numFmt w:val="none"/>
      <w:suff w:val="space"/>
      <w:lvlText w:val="1."/>
      <w:lvlJc w:val="left"/>
      <w:pPr>
        <w:tabs>
          <w:tab w:val="left" w:pos="0"/>
        </w:tabs>
        <w:ind w:left="420" w:hanging="420"/>
      </w:pPr>
      <w:rPr>
        <w:rFonts w:hint="default" w:ascii="宋体" w:hAnsi="宋体" w:eastAsia="宋体"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50">
    <w:nsid w:val="BECA3279"/>
    <w:multiLevelType w:val="singleLevel"/>
    <w:tmpl w:val="BECA3279"/>
    <w:lvl w:ilvl="0" w:tentative="0">
      <w:start w:val="1"/>
      <w:numFmt w:val="bullet"/>
      <w:suff w:val="space"/>
      <w:lvlText w:val=""/>
      <w:lvlJc w:val="left"/>
      <w:pPr>
        <w:ind w:left="420" w:hanging="137"/>
      </w:pPr>
      <w:rPr>
        <w:rFonts w:hint="default" w:ascii="Wingdings" w:hAnsi="Wingdings"/>
      </w:rPr>
    </w:lvl>
  </w:abstractNum>
  <w:abstractNum w:abstractNumId="151">
    <w:nsid w:val="BEEB098A"/>
    <w:multiLevelType w:val="singleLevel"/>
    <w:tmpl w:val="BEEB098A"/>
    <w:lvl w:ilvl="0" w:tentative="0">
      <w:start w:val="1"/>
      <w:numFmt w:val="bullet"/>
      <w:lvlText w:val=""/>
      <w:lvlJc w:val="left"/>
      <w:pPr>
        <w:ind w:left="420" w:hanging="420"/>
      </w:pPr>
      <w:rPr>
        <w:rFonts w:hint="default" w:ascii="Wingdings" w:hAnsi="Wingdings"/>
      </w:rPr>
    </w:lvl>
  </w:abstractNum>
  <w:abstractNum w:abstractNumId="152">
    <w:nsid w:val="BEFDB32C"/>
    <w:multiLevelType w:val="singleLevel"/>
    <w:tmpl w:val="BEFDB32C"/>
    <w:lvl w:ilvl="0" w:tentative="0">
      <w:start w:val="1"/>
      <w:numFmt w:val="decimal"/>
      <w:suff w:val="space"/>
      <w:lvlText w:val="%1)"/>
      <w:lvlJc w:val="left"/>
      <w:pPr>
        <w:ind w:left="0" w:firstLine="480"/>
      </w:pPr>
      <w:rPr>
        <w:rFonts w:hint="default"/>
        <w:b w:val="0"/>
        <w:bCs w:val="0"/>
      </w:rPr>
    </w:lvl>
  </w:abstractNum>
  <w:abstractNum w:abstractNumId="153">
    <w:nsid w:val="BF1DB072"/>
    <w:multiLevelType w:val="singleLevel"/>
    <w:tmpl w:val="BF1DB072"/>
    <w:lvl w:ilvl="0" w:tentative="0">
      <w:start w:val="1"/>
      <w:numFmt w:val="decimal"/>
      <w:suff w:val="space"/>
      <w:lvlText w:val="1.5.6.%1"/>
      <w:lvlJc w:val="left"/>
      <w:pPr>
        <w:tabs>
          <w:tab w:val="left" w:pos="0"/>
        </w:tabs>
        <w:ind w:left="0" w:firstLine="0"/>
      </w:pPr>
      <w:rPr>
        <w:rFonts w:hint="default"/>
      </w:rPr>
    </w:lvl>
  </w:abstractNum>
  <w:abstractNum w:abstractNumId="154">
    <w:nsid w:val="BF740429"/>
    <w:multiLevelType w:val="singleLevel"/>
    <w:tmpl w:val="BF740429"/>
    <w:lvl w:ilvl="0" w:tentative="0">
      <w:start w:val="1"/>
      <w:numFmt w:val="decimal"/>
      <w:suff w:val="space"/>
      <w:lvlText w:val="%1)"/>
      <w:lvlJc w:val="left"/>
      <w:pPr>
        <w:ind w:left="425" w:hanging="425"/>
      </w:pPr>
      <w:rPr>
        <w:rFonts w:hint="default"/>
      </w:rPr>
    </w:lvl>
  </w:abstractNum>
  <w:abstractNum w:abstractNumId="155">
    <w:nsid w:val="BFF6A71D"/>
    <w:multiLevelType w:val="singleLevel"/>
    <w:tmpl w:val="BFF6A71D"/>
    <w:lvl w:ilvl="0" w:tentative="0">
      <w:start w:val="1"/>
      <w:numFmt w:val="decimal"/>
      <w:suff w:val="space"/>
      <w:lvlText w:val="%1)"/>
      <w:lvlJc w:val="left"/>
      <w:pPr>
        <w:ind w:left="0" w:firstLine="482"/>
      </w:pPr>
      <w:rPr>
        <w:rFonts w:hint="default"/>
      </w:rPr>
    </w:lvl>
  </w:abstractNum>
  <w:abstractNum w:abstractNumId="156">
    <w:nsid w:val="C01E0E28"/>
    <w:multiLevelType w:val="singleLevel"/>
    <w:tmpl w:val="C01E0E28"/>
    <w:lvl w:ilvl="0" w:tentative="0">
      <w:start w:val="1"/>
      <w:numFmt w:val="decimal"/>
      <w:suff w:val="space"/>
      <w:lvlText w:val="5.3.%1"/>
      <w:lvlJc w:val="left"/>
      <w:pPr>
        <w:tabs>
          <w:tab w:val="left" w:pos="0"/>
        </w:tabs>
        <w:ind w:left="0" w:firstLine="0"/>
      </w:pPr>
      <w:rPr>
        <w:rFonts w:hint="default"/>
      </w:rPr>
    </w:lvl>
  </w:abstractNum>
  <w:abstractNum w:abstractNumId="157">
    <w:nsid w:val="C0AAF0AC"/>
    <w:multiLevelType w:val="singleLevel"/>
    <w:tmpl w:val="C0AAF0AC"/>
    <w:lvl w:ilvl="0" w:tentative="0">
      <w:start w:val="1"/>
      <w:numFmt w:val="decimal"/>
      <w:suff w:val="space"/>
      <w:lvlText w:val="%1)"/>
      <w:lvlJc w:val="left"/>
      <w:pPr>
        <w:ind w:left="0" w:firstLine="480"/>
      </w:pPr>
      <w:rPr>
        <w:rFonts w:hint="default"/>
        <w:b w:val="0"/>
        <w:bCs w:val="0"/>
      </w:rPr>
    </w:lvl>
  </w:abstractNum>
  <w:abstractNum w:abstractNumId="158">
    <w:nsid w:val="C1CD217B"/>
    <w:multiLevelType w:val="singleLevel"/>
    <w:tmpl w:val="C1CD217B"/>
    <w:lvl w:ilvl="0" w:tentative="0">
      <w:start w:val="1"/>
      <w:numFmt w:val="chineseCounting"/>
      <w:suff w:val="nothing"/>
      <w:lvlText w:val="%1、"/>
      <w:lvlJc w:val="left"/>
      <w:pPr>
        <w:ind w:left="0" w:firstLine="0"/>
      </w:pPr>
      <w:rPr>
        <w:rFonts w:hint="eastAsia"/>
      </w:rPr>
    </w:lvl>
  </w:abstractNum>
  <w:abstractNum w:abstractNumId="159">
    <w:nsid w:val="C1DB052E"/>
    <w:multiLevelType w:val="multilevel"/>
    <w:tmpl w:val="C1DB052E"/>
    <w:lvl w:ilvl="0" w:tentative="0">
      <w:start w:val="1"/>
      <w:numFmt w:val="lowerLetter"/>
      <w:suff w:val="space"/>
      <w:lvlText w:val="%1."/>
      <w:lvlJc w:val="left"/>
      <w:pPr>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160">
    <w:nsid w:val="C24FA358"/>
    <w:multiLevelType w:val="singleLevel"/>
    <w:tmpl w:val="C24FA358"/>
    <w:lvl w:ilvl="0" w:tentative="0">
      <w:start w:val="1"/>
      <w:numFmt w:val="decimal"/>
      <w:suff w:val="space"/>
      <w:lvlText w:val="1.5.5.%1"/>
      <w:lvlJc w:val="left"/>
      <w:pPr>
        <w:tabs>
          <w:tab w:val="left" w:pos="0"/>
        </w:tabs>
        <w:ind w:left="0" w:firstLine="0"/>
      </w:pPr>
      <w:rPr>
        <w:rFonts w:hint="default"/>
      </w:rPr>
    </w:lvl>
  </w:abstractNum>
  <w:abstractNum w:abstractNumId="161">
    <w:nsid w:val="C2BD68BD"/>
    <w:multiLevelType w:val="singleLevel"/>
    <w:tmpl w:val="C2BD68BD"/>
    <w:lvl w:ilvl="0" w:tentative="0">
      <w:start w:val="1"/>
      <w:numFmt w:val="decimal"/>
      <w:suff w:val="space"/>
      <w:lvlText w:val="%1)"/>
      <w:lvlJc w:val="left"/>
      <w:pPr>
        <w:ind w:left="0" w:firstLine="480"/>
      </w:pPr>
      <w:rPr>
        <w:rFonts w:hint="default"/>
      </w:rPr>
    </w:lvl>
  </w:abstractNum>
  <w:abstractNum w:abstractNumId="162">
    <w:nsid w:val="C31A1920"/>
    <w:multiLevelType w:val="singleLevel"/>
    <w:tmpl w:val="C31A1920"/>
    <w:lvl w:ilvl="0" w:tentative="0">
      <w:start w:val="1"/>
      <w:numFmt w:val="decimal"/>
      <w:suff w:val="space"/>
      <w:lvlText w:val="%1)"/>
      <w:lvlJc w:val="left"/>
      <w:pPr>
        <w:ind w:left="0" w:firstLine="480"/>
      </w:pPr>
      <w:rPr>
        <w:rFonts w:hint="default"/>
      </w:rPr>
    </w:lvl>
  </w:abstractNum>
  <w:abstractNum w:abstractNumId="163">
    <w:nsid w:val="C3C1939C"/>
    <w:multiLevelType w:val="singleLevel"/>
    <w:tmpl w:val="C3C1939C"/>
    <w:lvl w:ilvl="0" w:tentative="0">
      <w:start w:val="1"/>
      <w:numFmt w:val="bullet"/>
      <w:suff w:val="space"/>
      <w:lvlText w:val=""/>
      <w:lvlJc w:val="left"/>
      <w:pPr>
        <w:ind w:left="420" w:hanging="420"/>
      </w:pPr>
      <w:rPr>
        <w:rFonts w:hint="default" w:ascii="Wingdings" w:hAnsi="Wingdings"/>
      </w:rPr>
    </w:lvl>
  </w:abstractNum>
  <w:abstractNum w:abstractNumId="164">
    <w:nsid w:val="C4366D72"/>
    <w:multiLevelType w:val="singleLevel"/>
    <w:tmpl w:val="C4366D72"/>
    <w:lvl w:ilvl="0" w:tentative="0">
      <w:start w:val="1"/>
      <w:numFmt w:val="decimal"/>
      <w:suff w:val="space"/>
      <w:lvlText w:val="%1)"/>
      <w:lvlJc w:val="left"/>
      <w:pPr>
        <w:ind w:left="0" w:firstLine="480"/>
      </w:pPr>
      <w:rPr>
        <w:rFonts w:hint="default"/>
      </w:rPr>
    </w:lvl>
  </w:abstractNum>
  <w:abstractNum w:abstractNumId="165">
    <w:nsid w:val="C453FAD0"/>
    <w:multiLevelType w:val="singleLevel"/>
    <w:tmpl w:val="C453FAD0"/>
    <w:lvl w:ilvl="0" w:tentative="0">
      <w:start w:val="1"/>
      <w:numFmt w:val="decimal"/>
      <w:suff w:val="space"/>
      <w:lvlText w:val="3.%1"/>
      <w:lvlJc w:val="left"/>
      <w:pPr>
        <w:tabs>
          <w:tab w:val="left" w:pos="0"/>
        </w:tabs>
        <w:ind w:left="0" w:firstLine="480"/>
      </w:pPr>
      <w:rPr>
        <w:rFonts w:hint="default" w:ascii="宋体" w:hAnsi="宋体" w:eastAsia="宋体" w:cs="宋体"/>
        <w:sz w:val="24"/>
        <w:szCs w:val="24"/>
      </w:rPr>
    </w:lvl>
  </w:abstractNum>
  <w:abstractNum w:abstractNumId="166">
    <w:nsid w:val="C4879BEE"/>
    <w:multiLevelType w:val="singleLevel"/>
    <w:tmpl w:val="C4879BEE"/>
    <w:lvl w:ilvl="0" w:tentative="0">
      <w:start w:val="1"/>
      <w:numFmt w:val="bullet"/>
      <w:lvlText w:val=""/>
      <w:lvlJc w:val="left"/>
      <w:pPr>
        <w:tabs>
          <w:tab w:val="left" w:pos="420"/>
        </w:tabs>
        <w:ind w:left="840" w:hanging="420"/>
      </w:pPr>
      <w:rPr>
        <w:rFonts w:hint="default" w:ascii="Wingdings" w:hAnsi="Wingdings"/>
      </w:rPr>
    </w:lvl>
  </w:abstractNum>
  <w:abstractNum w:abstractNumId="167">
    <w:nsid w:val="C4A748DD"/>
    <w:multiLevelType w:val="singleLevel"/>
    <w:tmpl w:val="C4A748DD"/>
    <w:lvl w:ilvl="0" w:tentative="0">
      <w:start w:val="1"/>
      <w:numFmt w:val="bullet"/>
      <w:suff w:val="space"/>
      <w:lvlText w:val=""/>
      <w:lvlJc w:val="left"/>
      <w:pPr>
        <w:ind w:left="420" w:hanging="420"/>
      </w:pPr>
      <w:rPr>
        <w:rFonts w:hint="default" w:ascii="Wingdings" w:hAnsi="Wingdings"/>
      </w:rPr>
    </w:lvl>
  </w:abstractNum>
  <w:abstractNum w:abstractNumId="168">
    <w:nsid w:val="C4B99D99"/>
    <w:multiLevelType w:val="singleLevel"/>
    <w:tmpl w:val="C4B99D99"/>
    <w:lvl w:ilvl="0" w:tentative="0">
      <w:start w:val="1"/>
      <w:numFmt w:val="decimal"/>
      <w:suff w:val="space"/>
      <w:lvlText w:val="%1)"/>
      <w:lvlJc w:val="left"/>
      <w:pPr>
        <w:ind w:left="0" w:firstLine="480"/>
      </w:pPr>
      <w:rPr>
        <w:rFonts w:hint="default"/>
      </w:rPr>
    </w:lvl>
  </w:abstractNum>
  <w:abstractNum w:abstractNumId="169">
    <w:nsid w:val="C605F5CB"/>
    <w:multiLevelType w:val="singleLevel"/>
    <w:tmpl w:val="C605F5CB"/>
    <w:lvl w:ilvl="0" w:tentative="0">
      <w:start w:val="1"/>
      <w:numFmt w:val="decimal"/>
      <w:suff w:val="space"/>
      <w:lvlText w:val="1.%1"/>
      <w:lvlJc w:val="left"/>
      <w:pPr>
        <w:ind w:left="0" w:firstLine="480"/>
      </w:pPr>
      <w:rPr>
        <w:rFonts w:hint="default"/>
      </w:rPr>
    </w:lvl>
  </w:abstractNum>
  <w:abstractNum w:abstractNumId="170">
    <w:nsid w:val="C6750957"/>
    <w:multiLevelType w:val="singleLevel"/>
    <w:tmpl w:val="C6750957"/>
    <w:lvl w:ilvl="0" w:tentative="0">
      <w:start w:val="1"/>
      <w:numFmt w:val="decimal"/>
      <w:suff w:val="space"/>
      <w:lvlText w:val="1.15.%1"/>
      <w:lvlJc w:val="left"/>
      <w:pPr>
        <w:tabs>
          <w:tab w:val="left" w:pos="0"/>
        </w:tabs>
        <w:ind w:left="0" w:firstLine="0"/>
      </w:pPr>
      <w:rPr>
        <w:rFonts w:hint="default"/>
      </w:rPr>
    </w:lvl>
  </w:abstractNum>
  <w:abstractNum w:abstractNumId="171">
    <w:nsid w:val="C68AE209"/>
    <w:multiLevelType w:val="multilevel"/>
    <w:tmpl w:val="C68AE209"/>
    <w:lvl w:ilvl="0" w:tentative="0">
      <w:start w:val="1"/>
      <w:numFmt w:val="decimal"/>
      <w:suff w:val="space"/>
      <w:lvlText w:val="3.%1"/>
      <w:lvlJc w:val="left"/>
      <w:pPr>
        <w:tabs>
          <w:tab w:val="left" w:pos="0"/>
        </w:tabs>
        <w:ind w:left="420" w:hanging="420"/>
      </w:pPr>
      <w:rPr>
        <w:rFonts w:hint="default" w:asciiTheme="minorEastAsia" w:hAnsiTheme="minorEastAsia" w:eastAsiaTheme="minorEastAsia" w:cstheme="minor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2">
    <w:nsid w:val="C72E419A"/>
    <w:multiLevelType w:val="singleLevel"/>
    <w:tmpl w:val="C72E419A"/>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173">
    <w:nsid w:val="C7FD197C"/>
    <w:multiLevelType w:val="singleLevel"/>
    <w:tmpl w:val="C7FD197C"/>
    <w:lvl w:ilvl="0" w:tentative="0">
      <w:start w:val="1"/>
      <w:numFmt w:val="decimal"/>
      <w:suff w:val="space"/>
      <w:lvlText w:val="1.23.3.%1"/>
      <w:lvlJc w:val="left"/>
      <w:pPr>
        <w:tabs>
          <w:tab w:val="left" w:pos="0"/>
        </w:tabs>
        <w:ind w:left="0" w:firstLine="0"/>
      </w:pPr>
      <w:rPr>
        <w:rFonts w:hint="default"/>
      </w:rPr>
    </w:lvl>
  </w:abstractNum>
  <w:abstractNum w:abstractNumId="174">
    <w:nsid w:val="C82C32C2"/>
    <w:multiLevelType w:val="singleLevel"/>
    <w:tmpl w:val="C82C32C2"/>
    <w:lvl w:ilvl="0" w:tentative="0">
      <w:start w:val="1"/>
      <w:numFmt w:val="decimal"/>
      <w:suff w:val="space"/>
      <w:lvlText w:val="%1)"/>
      <w:lvlJc w:val="left"/>
      <w:pPr>
        <w:ind w:left="0" w:firstLine="480"/>
      </w:pPr>
      <w:rPr>
        <w:rFonts w:hint="default"/>
      </w:rPr>
    </w:lvl>
  </w:abstractNum>
  <w:abstractNum w:abstractNumId="175">
    <w:nsid w:val="C831D912"/>
    <w:multiLevelType w:val="singleLevel"/>
    <w:tmpl w:val="C831D912"/>
    <w:lvl w:ilvl="0" w:tentative="0">
      <w:start w:val="1"/>
      <w:numFmt w:val="bullet"/>
      <w:lvlText w:val=""/>
      <w:lvlJc w:val="left"/>
      <w:pPr>
        <w:ind w:left="420" w:hanging="420"/>
      </w:pPr>
      <w:rPr>
        <w:rFonts w:hint="default" w:ascii="Wingdings" w:hAnsi="Wingdings"/>
      </w:rPr>
    </w:lvl>
  </w:abstractNum>
  <w:abstractNum w:abstractNumId="176">
    <w:nsid w:val="C8C24E87"/>
    <w:multiLevelType w:val="singleLevel"/>
    <w:tmpl w:val="C8C24E87"/>
    <w:lvl w:ilvl="0" w:tentative="0">
      <w:start w:val="1"/>
      <w:numFmt w:val="decimal"/>
      <w:suff w:val="space"/>
      <w:lvlText w:val="%1)"/>
      <w:lvlJc w:val="left"/>
      <w:pPr>
        <w:ind w:left="0" w:firstLine="480"/>
      </w:pPr>
      <w:rPr>
        <w:rFonts w:hint="default"/>
      </w:rPr>
    </w:lvl>
  </w:abstractNum>
  <w:abstractNum w:abstractNumId="177">
    <w:nsid w:val="CA78D880"/>
    <w:multiLevelType w:val="singleLevel"/>
    <w:tmpl w:val="CA78D880"/>
    <w:lvl w:ilvl="0" w:tentative="0">
      <w:start w:val="1"/>
      <w:numFmt w:val="decimal"/>
      <w:lvlText w:val="%1)"/>
      <w:lvlJc w:val="left"/>
      <w:pPr>
        <w:ind w:left="425" w:hanging="425"/>
      </w:pPr>
      <w:rPr>
        <w:rFonts w:hint="default"/>
      </w:rPr>
    </w:lvl>
  </w:abstractNum>
  <w:abstractNum w:abstractNumId="178">
    <w:nsid w:val="CC4BA6D7"/>
    <w:multiLevelType w:val="singleLevel"/>
    <w:tmpl w:val="CC4BA6D7"/>
    <w:lvl w:ilvl="0" w:tentative="0">
      <w:start w:val="1"/>
      <w:numFmt w:val="decimal"/>
      <w:suff w:val="space"/>
      <w:lvlText w:val="%1)"/>
      <w:lvlJc w:val="left"/>
      <w:pPr>
        <w:ind w:left="0" w:firstLine="480"/>
      </w:pPr>
      <w:rPr>
        <w:rFonts w:hint="default"/>
      </w:rPr>
    </w:lvl>
  </w:abstractNum>
  <w:abstractNum w:abstractNumId="179">
    <w:nsid w:val="CCA93C68"/>
    <w:multiLevelType w:val="singleLevel"/>
    <w:tmpl w:val="CCA93C68"/>
    <w:lvl w:ilvl="0" w:tentative="0">
      <w:start w:val="1"/>
      <w:numFmt w:val="decimal"/>
      <w:suff w:val="space"/>
      <w:lvlText w:val="1.%1"/>
      <w:lvlJc w:val="left"/>
      <w:pPr>
        <w:tabs>
          <w:tab w:val="left" w:pos="0"/>
        </w:tabs>
        <w:ind w:left="0" w:firstLine="0"/>
      </w:pPr>
      <w:rPr>
        <w:rFonts w:hint="default"/>
      </w:rPr>
    </w:lvl>
  </w:abstractNum>
  <w:abstractNum w:abstractNumId="180">
    <w:nsid w:val="CD0C7763"/>
    <w:multiLevelType w:val="singleLevel"/>
    <w:tmpl w:val="CD0C7763"/>
    <w:lvl w:ilvl="0" w:tentative="0">
      <w:start w:val="1"/>
      <w:numFmt w:val="decimal"/>
      <w:suff w:val="space"/>
      <w:lvlText w:val="%1)"/>
      <w:lvlJc w:val="left"/>
      <w:pPr>
        <w:ind w:left="425" w:hanging="425"/>
      </w:pPr>
      <w:rPr>
        <w:rFonts w:hint="default"/>
      </w:rPr>
    </w:lvl>
  </w:abstractNum>
  <w:abstractNum w:abstractNumId="181">
    <w:nsid w:val="CD38E7AC"/>
    <w:multiLevelType w:val="singleLevel"/>
    <w:tmpl w:val="CD38E7AC"/>
    <w:lvl w:ilvl="0" w:tentative="0">
      <w:start w:val="1"/>
      <w:numFmt w:val="decimal"/>
      <w:suff w:val="space"/>
      <w:lvlText w:val="%1)"/>
      <w:lvlJc w:val="left"/>
      <w:pPr>
        <w:ind w:left="0" w:firstLine="480"/>
      </w:pPr>
      <w:rPr>
        <w:rFonts w:hint="default"/>
      </w:rPr>
    </w:lvl>
  </w:abstractNum>
  <w:abstractNum w:abstractNumId="182">
    <w:nsid w:val="CD7BDABF"/>
    <w:multiLevelType w:val="singleLevel"/>
    <w:tmpl w:val="CD7BDABF"/>
    <w:lvl w:ilvl="0" w:tentative="0">
      <w:start w:val="1"/>
      <w:numFmt w:val="decimal"/>
      <w:suff w:val="space"/>
      <w:lvlText w:val="%1)"/>
      <w:lvlJc w:val="left"/>
      <w:pPr>
        <w:ind w:left="0" w:firstLine="480"/>
      </w:pPr>
      <w:rPr>
        <w:rFonts w:hint="default"/>
      </w:rPr>
    </w:lvl>
  </w:abstractNum>
  <w:abstractNum w:abstractNumId="183">
    <w:nsid w:val="CD9B0378"/>
    <w:multiLevelType w:val="singleLevel"/>
    <w:tmpl w:val="CD9B0378"/>
    <w:lvl w:ilvl="0" w:tentative="0">
      <w:start w:val="1"/>
      <w:numFmt w:val="decimal"/>
      <w:suff w:val="space"/>
      <w:lvlText w:val="%1)"/>
      <w:lvlJc w:val="left"/>
      <w:pPr>
        <w:ind w:left="425" w:hanging="425"/>
      </w:pPr>
      <w:rPr>
        <w:rFonts w:hint="default"/>
      </w:rPr>
    </w:lvl>
  </w:abstractNum>
  <w:abstractNum w:abstractNumId="184">
    <w:nsid w:val="CDACE843"/>
    <w:multiLevelType w:val="singleLevel"/>
    <w:tmpl w:val="CDACE843"/>
    <w:lvl w:ilvl="0" w:tentative="0">
      <w:start w:val="1"/>
      <w:numFmt w:val="decimal"/>
      <w:suff w:val="nothing"/>
      <w:lvlText w:val="%1）"/>
      <w:lvlJc w:val="left"/>
      <w:pPr>
        <w:ind w:left="0" w:firstLine="480"/>
      </w:pPr>
      <w:rPr>
        <w:rFonts w:hint="default"/>
      </w:rPr>
    </w:lvl>
  </w:abstractNum>
  <w:abstractNum w:abstractNumId="185">
    <w:nsid w:val="CDCB2430"/>
    <w:multiLevelType w:val="singleLevel"/>
    <w:tmpl w:val="CDCB2430"/>
    <w:lvl w:ilvl="0" w:tentative="0">
      <w:start w:val="1"/>
      <w:numFmt w:val="decimal"/>
      <w:suff w:val="space"/>
      <w:lvlText w:val="5.%1."/>
      <w:lvlJc w:val="left"/>
      <w:pPr>
        <w:tabs>
          <w:tab w:val="left" w:pos="0"/>
        </w:tabs>
        <w:ind w:left="0" w:firstLine="0"/>
      </w:pPr>
      <w:rPr>
        <w:rFonts w:hint="default"/>
      </w:rPr>
    </w:lvl>
  </w:abstractNum>
  <w:abstractNum w:abstractNumId="186">
    <w:nsid w:val="CE122E75"/>
    <w:multiLevelType w:val="singleLevel"/>
    <w:tmpl w:val="CE122E75"/>
    <w:lvl w:ilvl="0" w:tentative="0">
      <w:start w:val="1"/>
      <w:numFmt w:val="decimal"/>
      <w:suff w:val="space"/>
      <w:lvlText w:val="%1."/>
      <w:lvlJc w:val="left"/>
      <w:pPr>
        <w:tabs>
          <w:tab w:val="left" w:pos="0"/>
        </w:tabs>
        <w:ind w:left="0" w:firstLine="0"/>
      </w:pPr>
      <w:rPr>
        <w:rFonts w:hint="default"/>
      </w:rPr>
    </w:lvl>
  </w:abstractNum>
  <w:abstractNum w:abstractNumId="187">
    <w:nsid w:val="CE27EE20"/>
    <w:multiLevelType w:val="multilevel"/>
    <w:tmpl w:val="CE27EE20"/>
    <w:lvl w:ilvl="0" w:tentative="0">
      <w:start w:val="1"/>
      <w:numFmt w:val="bullet"/>
      <w:lvlText w:val=""/>
      <w:lvlJc w:val="left"/>
      <w:pPr>
        <w:tabs>
          <w:tab w:val="left" w:pos="0"/>
        </w:tabs>
        <w:ind w:left="0" w:firstLine="0"/>
      </w:pPr>
      <w:rPr>
        <w:rFonts w:hint="default" w:ascii="Wingdings" w:hAnsi="Wingdings"/>
        <w:color w:val="auto"/>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88">
    <w:nsid w:val="CEE6FFD8"/>
    <w:multiLevelType w:val="singleLevel"/>
    <w:tmpl w:val="CEE6FFD8"/>
    <w:lvl w:ilvl="0" w:tentative="0">
      <w:start w:val="1"/>
      <w:numFmt w:val="decimal"/>
      <w:suff w:val="space"/>
      <w:lvlText w:val="%1)"/>
      <w:lvlJc w:val="left"/>
      <w:pPr>
        <w:ind w:left="425" w:hanging="425"/>
      </w:pPr>
      <w:rPr>
        <w:rFonts w:hint="default"/>
      </w:rPr>
    </w:lvl>
  </w:abstractNum>
  <w:abstractNum w:abstractNumId="189">
    <w:nsid w:val="CF37FC7E"/>
    <w:multiLevelType w:val="singleLevel"/>
    <w:tmpl w:val="CF37FC7E"/>
    <w:lvl w:ilvl="0" w:tentative="0">
      <w:start w:val="1"/>
      <w:numFmt w:val="bullet"/>
      <w:lvlText w:val=""/>
      <w:lvlJc w:val="left"/>
      <w:pPr>
        <w:ind w:left="420" w:hanging="420"/>
      </w:pPr>
      <w:rPr>
        <w:rFonts w:hint="default" w:ascii="Wingdings" w:hAnsi="Wingdings"/>
      </w:rPr>
    </w:lvl>
  </w:abstractNum>
  <w:abstractNum w:abstractNumId="190">
    <w:nsid w:val="CF4E5744"/>
    <w:multiLevelType w:val="singleLevel"/>
    <w:tmpl w:val="CF4E5744"/>
    <w:lvl w:ilvl="0" w:tentative="0">
      <w:start w:val="1"/>
      <w:numFmt w:val="decimal"/>
      <w:suff w:val="nothing"/>
      <w:lvlText w:val="%1."/>
      <w:lvlJc w:val="left"/>
      <w:pPr>
        <w:ind w:left="0" w:firstLine="480"/>
      </w:pPr>
      <w:rPr>
        <w:rFonts w:hint="default" w:ascii="宋体" w:hAnsi="宋体" w:eastAsia="宋体" w:cs="宋体"/>
      </w:rPr>
    </w:lvl>
  </w:abstractNum>
  <w:abstractNum w:abstractNumId="191">
    <w:nsid w:val="CFF598CC"/>
    <w:multiLevelType w:val="singleLevel"/>
    <w:tmpl w:val="CFF598CC"/>
    <w:lvl w:ilvl="0" w:tentative="0">
      <w:start w:val="1"/>
      <w:numFmt w:val="bullet"/>
      <w:lvlText w:val=""/>
      <w:lvlJc w:val="left"/>
      <w:pPr>
        <w:tabs>
          <w:tab w:val="left" w:pos="420"/>
        </w:tabs>
        <w:ind w:left="840" w:hanging="420"/>
      </w:pPr>
      <w:rPr>
        <w:rFonts w:hint="default" w:ascii="Wingdings" w:hAnsi="Wingdings"/>
      </w:rPr>
    </w:lvl>
  </w:abstractNum>
  <w:abstractNum w:abstractNumId="192">
    <w:nsid w:val="D003EB2F"/>
    <w:multiLevelType w:val="singleLevel"/>
    <w:tmpl w:val="D003EB2F"/>
    <w:lvl w:ilvl="0" w:tentative="0">
      <w:start w:val="1"/>
      <w:numFmt w:val="bullet"/>
      <w:lvlText w:val=""/>
      <w:lvlJc w:val="left"/>
      <w:pPr>
        <w:ind w:left="420" w:hanging="420"/>
      </w:pPr>
      <w:rPr>
        <w:rFonts w:hint="default" w:ascii="Wingdings" w:hAnsi="Wingdings"/>
      </w:rPr>
    </w:lvl>
  </w:abstractNum>
  <w:abstractNum w:abstractNumId="193">
    <w:nsid w:val="D05B4E4E"/>
    <w:multiLevelType w:val="singleLevel"/>
    <w:tmpl w:val="D05B4E4E"/>
    <w:lvl w:ilvl="0" w:tentative="0">
      <w:start w:val="1"/>
      <w:numFmt w:val="bullet"/>
      <w:lvlText w:val=""/>
      <w:lvlJc w:val="left"/>
      <w:pPr>
        <w:ind w:left="420" w:hanging="420"/>
      </w:pPr>
      <w:rPr>
        <w:rFonts w:hint="default" w:ascii="Wingdings" w:hAnsi="Wingdings"/>
      </w:rPr>
    </w:lvl>
  </w:abstractNum>
  <w:abstractNum w:abstractNumId="194">
    <w:nsid w:val="D07245A8"/>
    <w:multiLevelType w:val="singleLevel"/>
    <w:tmpl w:val="D07245A8"/>
    <w:lvl w:ilvl="0" w:tentative="0">
      <w:start w:val="1"/>
      <w:numFmt w:val="decimal"/>
      <w:suff w:val="space"/>
      <w:lvlText w:val="%1."/>
      <w:lvlJc w:val="left"/>
      <w:pPr>
        <w:tabs>
          <w:tab w:val="left" w:pos="0"/>
        </w:tabs>
        <w:ind w:left="0" w:firstLine="0"/>
      </w:pPr>
      <w:rPr>
        <w:rFonts w:hint="default"/>
      </w:rPr>
    </w:lvl>
  </w:abstractNum>
  <w:abstractNum w:abstractNumId="195">
    <w:nsid w:val="D12F6FFA"/>
    <w:multiLevelType w:val="singleLevel"/>
    <w:tmpl w:val="D12F6FFA"/>
    <w:lvl w:ilvl="0" w:tentative="0">
      <w:start w:val="1"/>
      <w:numFmt w:val="decimal"/>
      <w:suff w:val="nothing"/>
      <w:lvlText w:val="%1）"/>
      <w:lvlJc w:val="left"/>
      <w:pPr>
        <w:ind w:left="0" w:firstLine="480"/>
      </w:pPr>
      <w:rPr>
        <w:rFonts w:hint="default"/>
      </w:rPr>
    </w:lvl>
  </w:abstractNum>
  <w:abstractNum w:abstractNumId="196">
    <w:nsid w:val="D13CFC68"/>
    <w:multiLevelType w:val="singleLevel"/>
    <w:tmpl w:val="D13CFC68"/>
    <w:lvl w:ilvl="0" w:tentative="0">
      <w:start w:val="1"/>
      <w:numFmt w:val="decimal"/>
      <w:suff w:val="space"/>
      <w:lvlText w:val="1.13.2.%1"/>
      <w:lvlJc w:val="left"/>
      <w:pPr>
        <w:tabs>
          <w:tab w:val="left" w:pos="0"/>
        </w:tabs>
        <w:ind w:left="0" w:firstLine="0"/>
      </w:pPr>
      <w:rPr>
        <w:rFonts w:hint="default"/>
      </w:rPr>
    </w:lvl>
  </w:abstractNum>
  <w:abstractNum w:abstractNumId="197">
    <w:nsid w:val="D16E0B5C"/>
    <w:multiLevelType w:val="singleLevel"/>
    <w:tmpl w:val="D16E0B5C"/>
    <w:lvl w:ilvl="0" w:tentative="0">
      <w:start w:val="1"/>
      <w:numFmt w:val="bullet"/>
      <w:lvlText w:val=""/>
      <w:lvlJc w:val="left"/>
      <w:pPr>
        <w:ind w:left="420" w:hanging="420"/>
      </w:pPr>
      <w:rPr>
        <w:rFonts w:hint="default" w:ascii="Wingdings" w:hAnsi="Wingdings"/>
      </w:rPr>
    </w:lvl>
  </w:abstractNum>
  <w:abstractNum w:abstractNumId="198">
    <w:nsid w:val="D2791E7A"/>
    <w:multiLevelType w:val="singleLevel"/>
    <w:tmpl w:val="D2791E7A"/>
    <w:lvl w:ilvl="0" w:tentative="0">
      <w:start w:val="1"/>
      <w:numFmt w:val="bullet"/>
      <w:suff w:val="space"/>
      <w:lvlText w:val=""/>
      <w:lvlJc w:val="left"/>
      <w:pPr>
        <w:ind w:left="420" w:hanging="420"/>
      </w:pPr>
      <w:rPr>
        <w:rFonts w:hint="default" w:ascii="Wingdings" w:hAnsi="Wingdings"/>
      </w:rPr>
    </w:lvl>
  </w:abstractNum>
  <w:abstractNum w:abstractNumId="199">
    <w:nsid w:val="D28B0020"/>
    <w:multiLevelType w:val="singleLevel"/>
    <w:tmpl w:val="D28B0020"/>
    <w:lvl w:ilvl="0" w:tentative="0">
      <w:start w:val="1"/>
      <w:numFmt w:val="decimal"/>
      <w:suff w:val="nothing"/>
      <w:lvlText w:val="%1）"/>
      <w:lvlJc w:val="left"/>
      <w:pPr>
        <w:ind w:left="0" w:firstLine="480"/>
      </w:pPr>
      <w:rPr>
        <w:rFonts w:hint="default"/>
      </w:rPr>
    </w:lvl>
  </w:abstractNum>
  <w:abstractNum w:abstractNumId="200">
    <w:nsid w:val="D32BA811"/>
    <w:multiLevelType w:val="singleLevel"/>
    <w:tmpl w:val="D32BA811"/>
    <w:lvl w:ilvl="0" w:tentative="0">
      <w:start w:val="1"/>
      <w:numFmt w:val="decimal"/>
      <w:lvlText w:val="%1)"/>
      <w:lvlJc w:val="left"/>
      <w:pPr>
        <w:ind w:left="425" w:hanging="425"/>
      </w:pPr>
      <w:rPr>
        <w:rFonts w:hint="default"/>
      </w:rPr>
    </w:lvl>
  </w:abstractNum>
  <w:abstractNum w:abstractNumId="201">
    <w:nsid w:val="D3825751"/>
    <w:multiLevelType w:val="singleLevel"/>
    <w:tmpl w:val="D3825751"/>
    <w:lvl w:ilvl="0" w:tentative="0">
      <w:start w:val="1"/>
      <w:numFmt w:val="decimal"/>
      <w:suff w:val="space"/>
      <w:lvlText w:val="4.%1"/>
      <w:lvlJc w:val="left"/>
      <w:pPr>
        <w:tabs>
          <w:tab w:val="left" w:pos="0"/>
        </w:tabs>
        <w:ind w:left="0" w:firstLine="0"/>
      </w:pPr>
      <w:rPr>
        <w:rFonts w:hint="default"/>
      </w:rPr>
    </w:lvl>
  </w:abstractNum>
  <w:abstractNum w:abstractNumId="202">
    <w:nsid w:val="D3B247A9"/>
    <w:multiLevelType w:val="singleLevel"/>
    <w:tmpl w:val="D3B247A9"/>
    <w:lvl w:ilvl="0" w:tentative="0">
      <w:start w:val="1"/>
      <w:numFmt w:val="decimal"/>
      <w:suff w:val="space"/>
      <w:lvlText w:val="%1)"/>
      <w:lvlJc w:val="left"/>
      <w:pPr>
        <w:ind w:left="425" w:hanging="425"/>
      </w:pPr>
      <w:rPr>
        <w:rFonts w:hint="default"/>
      </w:rPr>
    </w:lvl>
  </w:abstractNum>
  <w:abstractNum w:abstractNumId="203">
    <w:nsid w:val="D3BFA5DA"/>
    <w:multiLevelType w:val="singleLevel"/>
    <w:tmpl w:val="D3BFA5DA"/>
    <w:lvl w:ilvl="0" w:tentative="0">
      <w:start w:val="1"/>
      <w:numFmt w:val="decimal"/>
      <w:suff w:val="space"/>
      <w:lvlText w:val="%1)"/>
      <w:lvlJc w:val="left"/>
      <w:pPr>
        <w:ind w:left="0" w:firstLine="480"/>
      </w:pPr>
      <w:rPr>
        <w:rFonts w:hint="default"/>
      </w:rPr>
    </w:lvl>
  </w:abstractNum>
  <w:abstractNum w:abstractNumId="204">
    <w:nsid w:val="D3D016A3"/>
    <w:multiLevelType w:val="singleLevel"/>
    <w:tmpl w:val="D3D016A3"/>
    <w:lvl w:ilvl="0" w:tentative="0">
      <w:start w:val="1"/>
      <w:numFmt w:val="decimal"/>
      <w:suff w:val="space"/>
      <w:lvlText w:val="1.15.%1"/>
      <w:lvlJc w:val="left"/>
      <w:pPr>
        <w:tabs>
          <w:tab w:val="left" w:pos="0"/>
        </w:tabs>
        <w:ind w:left="0" w:firstLine="0"/>
      </w:pPr>
      <w:rPr>
        <w:rFonts w:hint="default" w:ascii="宋体" w:hAnsi="宋体" w:eastAsia="宋体" w:cs="宋体"/>
      </w:rPr>
    </w:lvl>
  </w:abstractNum>
  <w:abstractNum w:abstractNumId="205">
    <w:nsid w:val="D42B007B"/>
    <w:multiLevelType w:val="singleLevel"/>
    <w:tmpl w:val="D42B007B"/>
    <w:lvl w:ilvl="0" w:tentative="0">
      <w:start w:val="1"/>
      <w:numFmt w:val="decimal"/>
      <w:suff w:val="space"/>
      <w:lvlText w:val="%1)"/>
      <w:lvlJc w:val="left"/>
      <w:pPr>
        <w:ind w:left="0" w:firstLine="480"/>
      </w:pPr>
      <w:rPr>
        <w:rFonts w:hint="default"/>
      </w:rPr>
    </w:lvl>
  </w:abstractNum>
  <w:abstractNum w:abstractNumId="206">
    <w:nsid w:val="D4414529"/>
    <w:multiLevelType w:val="singleLevel"/>
    <w:tmpl w:val="D4414529"/>
    <w:lvl w:ilvl="0" w:tentative="0">
      <w:start w:val="1"/>
      <w:numFmt w:val="decimal"/>
      <w:suff w:val="space"/>
      <w:lvlText w:val="1.17.2.%1"/>
      <w:lvlJc w:val="left"/>
      <w:pPr>
        <w:tabs>
          <w:tab w:val="left" w:pos="0"/>
        </w:tabs>
        <w:ind w:left="0" w:firstLine="0"/>
      </w:pPr>
      <w:rPr>
        <w:rFonts w:hint="default"/>
      </w:rPr>
    </w:lvl>
  </w:abstractNum>
  <w:abstractNum w:abstractNumId="207">
    <w:nsid w:val="D4501F8C"/>
    <w:multiLevelType w:val="singleLevel"/>
    <w:tmpl w:val="D4501F8C"/>
    <w:lvl w:ilvl="0" w:tentative="0">
      <w:start w:val="1"/>
      <w:numFmt w:val="decimal"/>
      <w:suff w:val="space"/>
      <w:lvlText w:val="1.19.%1"/>
      <w:lvlJc w:val="left"/>
      <w:pPr>
        <w:tabs>
          <w:tab w:val="left" w:pos="0"/>
        </w:tabs>
        <w:ind w:left="0" w:firstLine="0"/>
      </w:pPr>
      <w:rPr>
        <w:rFonts w:hint="default"/>
      </w:rPr>
    </w:lvl>
  </w:abstractNum>
  <w:abstractNum w:abstractNumId="208">
    <w:nsid w:val="D45F2E09"/>
    <w:multiLevelType w:val="singleLevel"/>
    <w:tmpl w:val="D45F2E09"/>
    <w:lvl w:ilvl="0" w:tentative="0">
      <w:start w:val="1"/>
      <w:numFmt w:val="bullet"/>
      <w:suff w:val="space"/>
      <w:lvlText w:val=""/>
      <w:lvlJc w:val="left"/>
      <w:pPr>
        <w:ind w:left="420" w:hanging="137"/>
      </w:pPr>
      <w:rPr>
        <w:rFonts w:hint="default" w:ascii="Wingdings" w:hAnsi="Wingdings"/>
      </w:rPr>
    </w:lvl>
  </w:abstractNum>
  <w:abstractNum w:abstractNumId="209">
    <w:nsid w:val="D4A470C2"/>
    <w:multiLevelType w:val="singleLevel"/>
    <w:tmpl w:val="D4A470C2"/>
    <w:lvl w:ilvl="0" w:tentative="0">
      <w:start w:val="1"/>
      <w:numFmt w:val="decimal"/>
      <w:suff w:val="space"/>
      <w:lvlText w:val="%1)"/>
      <w:lvlJc w:val="left"/>
      <w:pPr>
        <w:ind w:left="0" w:firstLine="480"/>
      </w:pPr>
      <w:rPr>
        <w:rFonts w:hint="default"/>
      </w:rPr>
    </w:lvl>
  </w:abstractNum>
  <w:abstractNum w:abstractNumId="210">
    <w:nsid w:val="D503A0A0"/>
    <w:multiLevelType w:val="singleLevel"/>
    <w:tmpl w:val="D503A0A0"/>
    <w:lvl w:ilvl="0" w:tentative="0">
      <w:start w:val="1"/>
      <w:numFmt w:val="decimal"/>
      <w:suff w:val="space"/>
      <w:lvlText w:val="%1)"/>
      <w:lvlJc w:val="left"/>
      <w:pPr>
        <w:ind w:left="0" w:firstLine="480"/>
      </w:pPr>
      <w:rPr>
        <w:rFonts w:hint="default"/>
      </w:rPr>
    </w:lvl>
  </w:abstractNum>
  <w:abstractNum w:abstractNumId="211">
    <w:nsid w:val="D58B1BB7"/>
    <w:multiLevelType w:val="singleLevel"/>
    <w:tmpl w:val="D58B1BB7"/>
    <w:lvl w:ilvl="0" w:tentative="0">
      <w:start w:val="1"/>
      <w:numFmt w:val="decimal"/>
      <w:suff w:val="space"/>
      <w:lvlText w:val="%1)"/>
      <w:lvlJc w:val="left"/>
      <w:pPr>
        <w:ind w:left="425" w:hanging="425"/>
      </w:pPr>
      <w:rPr>
        <w:rFonts w:hint="default"/>
      </w:rPr>
    </w:lvl>
  </w:abstractNum>
  <w:abstractNum w:abstractNumId="212">
    <w:nsid w:val="D64677C2"/>
    <w:multiLevelType w:val="singleLevel"/>
    <w:tmpl w:val="D64677C2"/>
    <w:lvl w:ilvl="0" w:tentative="0">
      <w:start w:val="1"/>
      <w:numFmt w:val="decimal"/>
      <w:suff w:val="space"/>
      <w:lvlText w:val="21.%1"/>
      <w:lvlJc w:val="left"/>
      <w:pPr>
        <w:tabs>
          <w:tab w:val="left" w:pos="0"/>
        </w:tabs>
        <w:ind w:left="0" w:firstLine="0"/>
      </w:pPr>
      <w:rPr>
        <w:rFonts w:hint="default" w:ascii="宋体" w:hAnsi="宋体" w:eastAsia="宋体" w:cs="宋体"/>
      </w:rPr>
    </w:lvl>
  </w:abstractNum>
  <w:abstractNum w:abstractNumId="213">
    <w:nsid w:val="D6BF30EF"/>
    <w:multiLevelType w:val="singleLevel"/>
    <w:tmpl w:val="D6BF30EF"/>
    <w:lvl w:ilvl="0" w:tentative="0">
      <w:start w:val="1"/>
      <w:numFmt w:val="decimal"/>
      <w:suff w:val="space"/>
      <w:lvlText w:val="3.%1"/>
      <w:lvlJc w:val="left"/>
      <w:pPr>
        <w:tabs>
          <w:tab w:val="left" w:pos="0"/>
        </w:tabs>
        <w:ind w:left="0" w:firstLine="0"/>
      </w:pPr>
      <w:rPr>
        <w:rFonts w:hint="default" w:ascii="宋体" w:hAnsi="宋体" w:eastAsia="宋体" w:cs="宋体"/>
      </w:rPr>
    </w:lvl>
  </w:abstractNum>
  <w:abstractNum w:abstractNumId="214">
    <w:nsid w:val="D6C51B6E"/>
    <w:multiLevelType w:val="singleLevel"/>
    <w:tmpl w:val="D6C51B6E"/>
    <w:lvl w:ilvl="0" w:tentative="0">
      <w:start w:val="1"/>
      <w:numFmt w:val="decimal"/>
      <w:suff w:val="space"/>
      <w:lvlText w:val="11.%1"/>
      <w:lvlJc w:val="left"/>
      <w:pPr>
        <w:tabs>
          <w:tab w:val="left" w:pos="0"/>
        </w:tabs>
        <w:ind w:left="0" w:firstLine="0"/>
      </w:pPr>
      <w:rPr>
        <w:rFonts w:hint="default"/>
      </w:rPr>
    </w:lvl>
  </w:abstractNum>
  <w:abstractNum w:abstractNumId="215">
    <w:nsid w:val="D6D3212A"/>
    <w:multiLevelType w:val="singleLevel"/>
    <w:tmpl w:val="D6D3212A"/>
    <w:lvl w:ilvl="0" w:tentative="0">
      <w:start w:val="1"/>
      <w:numFmt w:val="bullet"/>
      <w:lvlText w:val=""/>
      <w:lvlJc w:val="left"/>
      <w:pPr>
        <w:ind w:left="420" w:hanging="420"/>
      </w:pPr>
      <w:rPr>
        <w:rFonts w:hint="default" w:ascii="Wingdings" w:hAnsi="Wingdings"/>
      </w:rPr>
    </w:lvl>
  </w:abstractNum>
  <w:abstractNum w:abstractNumId="216">
    <w:nsid w:val="D779CF0D"/>
    <w:multiLevelType w:val="singleLevel"/>
    <w:tmpl w:val="D779CF0D"/>
    <w:lvl w:ilvl="0" w:tentative="0">
      <w:start w:val="1"/>
      <w:numFmt w:val="bullet"/>
      <w:lvlText w:val=""/>
      <w:lvlJc w:val="left"/>
      <w:pPr>
        <w:ind w:left="420" w:hanging="420"/>
      </w:pPr>
      <w:rPr>
        <w:rFonts w:hint="default" w:ascii="Wingdings" w:hAnsi="Wingdings"/>
      </w:rPr>
    </w:lvl>
  </w:abstractNum>
  <w:abstractNum w:abstractNumId="217">
    <w:nsid w:val="D77E8326"/>
    <w:multiLevelType w:val="singleLevel"/>
    <w:tmpl w:val="D77E8326"/>
    <w:lvl w:ilvl="0" w:tentative="0">
      <w:start w:val="1"/>
      <w:numFmt w:val="decimal"/>
      <w:suff w:val="space"/>
      <w:lvlText w:val="2.%1"/>
      <w:lvlJc w:val="left"/>
      <w:pPr>
        <w:ind w:left="0" w:firstLine="480"/>
      </w:pPr>
      <w:rPr>
        <w:rFonts w:hint="default"/>
      </w:rPr>
    </w:lvl>
  </w:abstractNum>
  <w:abstractNum w:abstractNumId="218">
    <w:nsid w:val="D7A7F908"/>
    <w:multiLevelType w:val="singleLevel"/>
    <w:tmpl w:val="D7A7F908"/>
    <w:lvl w:ilvl="0" w:tentative="0">
      <w:start w:val="1"/>
      <w:numFmt w:val="decimal"/>
      <w:suff w:val="space"/>
      <w:lvlText w:val="%1)"/>
      <w:lvlJc w:val="left"/>
      <w:pPr>
        <w:ind w:left="0" w:firstLine="480"/>
      </w:pPr>
      <w:rPr>
        <w:rFonts w:hint="default"/>
      </w:rPr>
    </w:lvl>
  </w:abstractNum>
  <w:abstractNum w:abstractNumId="219">
    <w:nsid w:val="D7B9FFA3"/>
    <w:multiLevelType w:val="singleLevel"/>
    <w:tmpl w:val="D7B9FFA3"/>
    <w:lvl w:ilvl="0" w:tentative="0">
      <w:start w:val="1"/>
      <w:numFmt w:val="decimal"/>
      <w:suff w:val="space"/>
      <w:lvlText w:val="21.3.%1"/>
      <w:lvlJc w:val="left"/>
      <w:pPr>
        <w:tabs>
          <w:tab w:val="left" w:pos="0"/>
        </w:tabs>
        <w:ind w:left="0" w:firstLine="0"/>
      </w:pPr>
      <w:rPr>
        <w:rFonts w:hint="default"/>
      </w:rPr>
    </w:lvl>
  </w:abstractNum>
  <w:abstractNum w:abstractNumId="220">
    <w:nsid w:val="D81B6AD0"/>
    <w:multiLevelType w:val="multilevel"/>
    <w:tmpl w:val="D81B6AD0"/>
    <w:lvl w:ilvl="0" w:tentative="0">
      <w:start w:val="1"/>
      <w:numFmt w:val="lowerLetter"/>
      <w:suff w:val="space"/>
      <w:lvlText w:val="%1."/>
      <w:lvlJc w:val="left"/>
      <w:pPr>
        <w:tabs>
          <w:tab w:val="left" w:pos="0"/>
        </w:tabs>
        <w:ind w:left="420" w:firstLine="0"/>
      </w:pPr>
      <w:rPr>
        <w:rFonts w:hint="default"/>
      </w:r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221">
    <w:nsid w:val="D85F7326"/>
    <w:multiLevelType w:val="singleLevel"/>
    <w:tmpl w:val="D85F7326"/>
    <w:lvl w:ilvl="0" w:tentative="0">
      <w:start w:val="1"/>
      <w:numFmt w:val="decimal"/>
      <w:suff w:val="nothing"/>
      <w:lvlText w:val="%1）"/>
      <w:lvlJc w:val="left"/>
      <w:pPr>
        <w:ind w:left="0" w:firstLine="480"/>
      </w:pPr>
      <w:rPr>
        <w:rFonts w:hint="default"/>
      </w:rPr>
    </w:lvl>
  </w:abstractNum>
  <w:abstractNum w:abstractNumId="222">
    <w:nsid w:val="D93D80E0"/>
    <w:multiLevelType w:val="singleLevel"/>
    <w:tmpl w:val="D93D80E0"/>
    <w:lvl w:ilvl="0" w:tentative="0">
      <w:start w:val="1"/>
      <w:numFmt w:val="bullet"/>
      <w:lvlText w:val=""/>
      <w:lvlJc w:val="left"/>
      <w:pPr>
        <w:ind w:left="420" w:hanging="420"/>
      </w:pPr>
      <w:rPr>
        <w:rFonts w:hint="default" w:ascii="Wingdings" w:hAnsi="Wingdings"/>
      </w:rPr>
    </w:lvl>
  </w:abstractNum>
  <w:abstractNum w:abstractNumId="223">
    <w:nsid w:val="D94406E1"/>
    <w:multiLevelType w:val="singleLevel"/>
    <w:tmpl w:val="D94406E1"/>
    <w:lvl w:ilvl="0" w:tentative="0">
      <w:start w:val="1"/>
      <w:numFmt w:val="bullet"/>
      <w:lvlText w:val=""/>
      <w:lvlJc w:val="left"/>
      <w:pPr>
        <w:ind w:left="420" w:hanging="420"/>
      </w:pPr>
      <w:rPr>
        <w:rFonts w:hint="default" w:ascii="Wingdings" w:hAnsi="Wingdings"/>
      </w:rPr>
    </w:lvl>
  </w:abstractNum>
  <w:abstractNum w:abstractNumId="224">
    <w:nsid w:val="D96A52B4"/>
    <w:multiLevelType w:val="multilevel"/>
    <w:tmpl w:val="D96A52B4"/>
    <w:lvl w:ilvl="0" w:tentative="0">
      <w:start w:val="1"/>
      <w:numFmt w:val="lowerLetter"/>
      <w:suff w:val="space"/>
      <w:lvlText w:val="%1)"/>
      <w:lvlJc w:val="left"/>
      <w:pPr>
        <w:ind w:left="1320" w:hanging="420"/>
      </w:p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225">
    <w:nsid w:val="D9BFA14B"/>
    <w:multiLevelType w:val="singleLevel"/>
    <w:tmpl w:val="D9BFA14B"/>
    <w:lvl w:ilvl="0" w:tentative="0">
      <w:start w:val="1"/>
      <w:numFmt w:val="decimal"/>
      <w:suff w:val="space"/>
      <w:lvlText w:val="%1)"/>
      <w:lvlJc w:val="left"/>
      <w:pPr>
        <w:ind w:left="0" w:firstLine="480"/>
      </w:pPr>
      <w:rPr>
        <w:rFonts w:hint="default"/>
      </w:rPr>
    </w:lvl>
  </w:abstractNum>
  <w:abstractNum w:abstractNumId="226">
    <w:nsid w:val="D9D27E9A"/>
    <w:multiLevelType w:val="singleLevel"/>
    <w:tmpl w:val="D9D27E9A"/>
    <w:lvl w:ilvl="0" w:tentative="0">
      <w:start w:val="1"/>
      <w:numFmt w:val="decimal"/>
      <w:suff w:val="space"/>
      <w:lvlText w:val="%1)"/>
      <w:lvlJc w:val="left"/>
      <w:pPr>
        <w:ind w:left="425" w:hanging="425"/>
      </w:pPr>
      <w:rPr>
        <w:rFonts w:hint="default"/>
      </w:rPr>
    </w:lvl>
  </w:abstractNum>
  <w:abstractNum w:abstractNumId="227">
    <w:nsid w:val="DAFD0387"/>
    <w:multiLevelType w:val="singleLevel"/>
    <w:tmpl w:val="DAFD0387"/>
    <w:lvl w:ilvl="0" w:tentative="0">
      <w:start w:val="1"/>
      <w:numFmt w:val="bullet"/>
      <w:lvlText w:val=""/>
      <w:lvlJc w:val="left"/>
      <w:pPr>
        <w:ind w:left="420" w:hanging="420"/>
      </w:pPr>
      <w:rPr>
        <w:rFonts w:hint="default" w:ascii="Wingdings" w:hAnsi="Wingdings"/>
      </w:rPr>
    </w:lvl>
  </w:abstractNum>
  <w:abstractNum w:abstractNumId="228">
    <w:nsid w:val="DB594FA8"/>
    <w:multiLevelType w:val="singleLevel"/>
    <w:tmpl w:val="DB594FA8"/>
    <w:lvl w:ilvl="0" w:tentative="0">
      <w:start w:val="1"/>
      <w:numFmt w:val="decimal"/>
      <w:lvlText w:val="%1."/>
      <w:lvlJc w:val="left"/>
      <w:pPr>
        <w:ind w:left="425" w:hanging="425"/>
      </w:pPr>
      <w:rPr>
        <w:rFonts w:hint="default"/>
      </w:rPr>
    </w:lvl>
  </w:abstractNum>
  <w:abstractNum w:abstractNumId="229">
    <w:nsid w:val="DBC9AF2D"/>
    <w:multiLevelType w:val="singleLevel"/>
    <w:tmpl w:val="DBC9AF2D"/>
    <w:lvl w:ilvl="0" w:tentative="0">
      <w:start w:val="1"/>
      <w:numFmt w:val="bullet"/>
      <w:suff w:val="space"/>
      <w:lvlText w:val=""/>
      <w:lvlJc w:val="left"/>
      <w:pPr>
        <w:ind w:left="420" w:hanging="420"/>
      </w:pPr>
      <w:rPr>
        <w:rFonts w:hint="default" w:ascii="Wingdings" w:hAnsi="Wingdings"/>
      </w:rPr>
    </w:lvl>
  </w:abstractNum>
  <w:abstractNum w:abstractNumId="230">
    <w:nsid w:val="DC05157D"/>
    <w:multiLevelType w:val="singleLevel"/>
    <w:tmpl w:val="DC05157D"/>
    <w:lvl w:ilvl="0" w:tentative="0">
      <w:start w:val="1"/>
      <w:numFmt w:val="decimal"/>
      <w:suff w:val="space"/>
      <w:lvlText w:val="3.3.%1"/>
      <w:lvlJc w:val="left"/>
      <w:pPr>
        <w:tabs>
          <w:tab w:val="left" w:pos="0"/>
        </w:tabs>
        <w:ind w:left="0" w:firstLine="0"/>
      </w:pPr>
      <w:rPr>
        <w:rFonts w:hint="default"/>
      </w:rPr>
    </w:lvl>
  </w:abstractNum>
  <w:abstractNum w:abstractNumId="231">
    <w:nsid w:val="DC0F058F"/>
    <w:multiLevelType w:val="singleLevel"/>
    <w:tmpl w:val="DC0F058F"/>
    <w:lvl w:ilvl="0" w:tentative="0">
      <w:start w:val="1"/>
      <w:numFmt w:val="decimal"/>
      <w:suff w:val="space"/>
      <w:lvlText w:val="%1)"/>
      <w:lvlJc w:val="left"/>
      <w:pPr>
        <w:ind w:left="0" w:firstLine="480"/>
      </w:pPr>
      <w:rPr>
        <w:rFonts w:hint="default"/>
      </w:rPr>
    </w:lvl>
  </w:abstractNum>
  <w:abstractNum w:abstractNumId="232">
    <w:nsid w:val="DC6DA13D"/>
    <w:multiLevelType w:val="singleLevel"/>
    <w:tmpl w:val="DC6DA13D"/>
    <w:lvl w:ilvl="0" w:tentative="0">
      <w:start w:val="1"/>
      <w:numFmt w:val="decimal"/>
      <w:suff w:val="space"/>
      <w:lvlText w:val="1.%1"/>
      <w:lvlJc w:val="left"/>
      <w:pPr>
        <w:ind w:left="0" w:firstLine="0"/>
      </w:pPr>
      <w:rPr>
        <w:rFonts w:hint="default"/>
      </w:rPr>
    </w:lvl>
  </w:abstractNum>
  <w:abstractNum w:abstractNumId="233">
    <w:nsid w:val="DC9F907D"/>
    <w:multiLevelType w:val="singleLevel"/>
    <w:tmpl w:val="DC9F907D"/>
    <w:lvl w:ilvl="0" w:tentative="0">
      <w:start w:val="1"/>
      <w:numFmt w:val="decimal"/>
      <w:suff w:val="space"/>
      <w:lvlText w:val="1.22.2.%1"/>
      <w:lvlJc w:val="left"/>
      <w:pPr>
        <w:tabs>
          <w:tab w:val="left" w:pos="0"/>
        </w:tabs>
        <w:ind w:left="0" w:firstLine="0"/>
      </w:pPr>
      <w:rPr>
        <w:rFonts w:hint="default"/>
      </w:rPr>
    </w:lvl>
  </w:abstractNum>
  <w:abstractNum w:abstractNumId="234">
    <w:nsid w:val="DCBBE994"/>
    <w:multiLevelType w:val="singleLevel"/>
    <w:tmpl w:val="DCBBE994"/>
    <w:lvl w:ilvl="0" w:tentative="0">
      <w:start w:val="1"/>
      <w:numFmt w:val="bullet"/>
      <w:lvlText w:val=""/>
      <w:lvlJc w:val="left"/>
      <w:pPr>
        <w:ind w:left="420" w:hanging="420"/>
      </w:pPr>
      <w:rPr>
        <w:rFonts w:hint="default" w:ascii="Wingdings" w:hAnsi="Wingdings"/>
      </w:rPr>
    </w:lvl>
  </w:abstractNum>
  <w:abstractNum w:abstractNumId="235">
    <w:nsid w:val="DCC4158B"/>
    <w:multiLevelType w:val="singleLevel"/>
    <w:tmpl w:val="DCC4158B"/>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236">
    <w:nsid w:val="DCC9987A"/>
    <w:multiLevelType w:val="singleLevel"/>
    <w:tmpl w:val="DCC9987A"/>
    <w:lvl w:ilvl="0" w:tentative="0">
      <w:start w:val="1"/>
      <w:numFmt w:val="decimal"/>
      <w:suff w:val="space"/>
      <w:lvlText w:val="%1)"/>
      <w:lvlJc w:val="left"/>
      <w:pPr>
        <w:ind w:left="425" w:hanging="425"/>
      </w:pPr>
      <w:rPr>
        <w:rFonts w:hint="default"/>
      </w:rPr>
    </w:lvl>
  </w:abstractNum>
  <w:abstractNum w:abstractNumId="237">
    <w:nsid w:val="DD4E83B1"/>
    <w:multiLevelType w:val="singleLevel"/>
    <w:tmpl w:val="DD4E83B1"/>
    <w:lvl w:ilvl="0" w:tentative="0">
      <w:start w:val="1"/>
      <w:numFmt w:val="decimal"/>
      <w:suff w:val="space"/>
      <w:lvlText w:val="%1)"/>
      <w:lvlJc w:val="left"/>
      <w:pPr>
        <w:ind w:left="0" w:firstLine="480"/>
      </w:pPr>
      <w:rPr>
        <w:rFonts w:hint="default"/>
      </w:rPr>
    </w:lvl>
  </w:abstractNum>
  <w:abstractNum w:abstractNumId="238">
    <w:nsid w:val="DD7DDF23"/>
    <w:multiLevelType w:val="singleLevel"/>
    <w:tmpl w:val="DD7DDF23"/>
    <w:lvl w:ilvl="0" w:tentative="0">
      <w:start w:val="1"/>
      <w:numFmt w:val="decimal"/>
      <w:suff w:val="space"/>
      <w:lvlText w:val="1.14.3.%1"/>
      <w:lvlJc w:val="left"/>
      <w:pPr>
        <w:tabs>
          <w:tab w:val="left" w:pos="0"/>
        </w:tabs>
        <w:ind w:left="0" w:firstLine="0"/>
      </w:pPr>
      <w:rPr>
        <w:rFonts w:hint="default"/>
      </w:rPr>
    </w:lvl>
  </w:abstractNum>
  <w:abstractNum w:abstractNumId="239">
    <w:nsid w:val="DDCEB6EE"/>
    <w:multiLevelType w:val="singleLevel"/>
    <w:tmpl w:val="DDCEB6EE"/>
    <w:lvl w:ilvl="0" w:tentative="0">
      <w:start w:val="1"/>
      <w:numFmt w:val="decimal"/>
      <w:suff w:val="space"/>
      <w:lvlText w:val="%1)"/>
      <w:lvlJc w:val="left"/>
      <w:pPr>
        <w:ind w:left="425" w:hanging="425"/>
      </w:pPr>
      <w:rPr>
        <w:rFonts w:hint="default"/>
      </w:rPr>
    </w:lvl>
  </w:abstractNum>
  <w:abstractNum w:abstractNumId="240">
    <w:nsid w:val="DE3C99FB"/>
    <w:multiLevelType w:val="singleLevel"/>
    <w:tmpl w:val="DE3C99FB"/>
    <w:lvl w:ilvl="0" w:tentative="0">
      <w:start w:val="1"/>
      <w:numFmt w:val="decimal"/>
      <w:suff w:val="space"/>
      <w:lvlText w:val="%1)"/>
      <w:lvlJc w:val="left"/>
      <w:pPr>
        <w:ind w:left="0" w:firstLine="480"/>
      </w:pPr>
      <w:rPr>
        <w:rFonts w:hint="default"/>
      </w:rPr>
    </w:lvl>
  </w:abstractNum>
  <w:abstractNum w:abstractNumId="241">
    <w:nsid w:val="DE722DD9"/>
    <w:multiLevelType w:val="singleLevel"/>
    <w:tmpl w:val="DE722DD9"/>
    <w:lvl w:ilvl="0" w:tentative="0">
      <w:start w:val="1"/>
      <w:numFmt w:val="decimal"/>
      <w:suff w:val="space"/>
      <w:lvlText w:val="2.6.%1"/>
      <w:lvlJc w:val="left"/>
      <w:pPr>
        <w:tabs>
          <w:tab w:val="left" w:pos="0"/>
        </w:tabs>
        <w:ind w:left="0" w:firstLine="0"/>
      </w:pPr>
      <w:rPr>
        <w:rFonts w:hint="default"/>
      </w:rPr>
    </w:lvl>
  </w:abstractNum>
  <w:abstractNum w:abstractNumId="242">
    <w:nsid w:val="DEE77539"/>
    <w:multiLevelType w:val="singleLevel"/>
    <w:tmpl w:val="DEE77539"/>
    <w:lvl w:ilvl="0" w:tentative="0">
      <w:start w:val="1"/>
      <w:numFmt w:val="decimal"/>
      <w:suff w:val="space"/>
      <w:lvlText w:val="%1)"/>
      <w:lvlJc w:val="left"/>
      <w:pPr>
        <w:ind w:left="0" w:firstLine="480"/>
      </w:pPr>
      <w:rPr>
        <w:rFonts w:hint="default"/>
      </w:rPr>
    </w:lvl>
  </w:abstractNum>
  <w:abstractNum w:abstractNumId="243">
    <w:nsid w:val="DEEE5514"/>
    <w:multiLevelType w:val="singleLevel"/>
    <w:tmpl w:val="DEEE5514"/>
    <w:lvl w:ilvl="0" w:tentative="0">
      <w:start w:val="1"/>
      <w:numFmt w:val="decimal"/>
      <w:suff w:val="space"/>
      <w:lvlText w:val="%1)"/>
      <w:lvlJc w:val="left"/>
      <w:pPr>
        <w:ind w:left="425" w:hanging="425"/>
      </w:pPr>
      <w:rPr>
        <w:rFonts w:hint="default"/>
      </w:rPr>
    </w:lvl>
  </w:abstractNum>
  <w:abstractNum w:abstractNumId="244">
    <w:nsid w:val="DEF1A517"/>
    <w:multiLevelType w:val="singleLevel"/>
    <w:tmpl w:val="DEF1A517"/>
    <w:lvl w:ilvl="0" w:tentative="0">
      <w:start w:val="1"/>
      <w:numFmt w:val="decimal"/>
      <w:suff w:val="space"/>
      <w:lvlText w:val="%1)"/>
      <w:lvlJc w:val="left"/>
      <w:pPr>
        <w:ind w:left="0" w:firstLine="480"/>
      </w:pPr>
      <w:rPr>
        <w:rFonts w:hint="default"/>
      </w:rPr>
    </w:lvl>
  </w:abstractNum>
  <w:abstractNum w:abstractNumId="245">
    <w:nsid w:val="DF13BE25"/>
    <w:multiLevelType w:val="singleLevel"/>
    <w:tmpl w:val="DF13BE25"/>
    <w:lvl w:ilvl="0" w:tentative="0">
      <w:start w:val="1"/>
      <w:numFmt w:val="bullet"/>
      <w:lvlText w:val=""/>
      <w:lvlJc w:val="left"/>
      <w:pPr>
        <w:ind w:left="420" w:hanging="420"/>
      </w:pPr>
      <w:rPr>
        <w:rFonts w:hint="default" w:ascii="Wingdings" w:hAnsi="Wingdings"/>
      </w:rPr>
    </w:lvl>
  </w:abstractNum>
  <w:abstractNum w:abstractNumId="246">
    <w:nsid w:val="DF2D7EEB"/>
    <w:multiLevelType w:val="singleLevel"/>
    <w:tmpl w:val="DF2D7EEB"/>
    <w:lvl w:ilvl="0" w:tentative="0">
      <w:start w:val="1"/>
      <w:numFmt w:val="decimal"/>
      <w:suff w:val="space"/>
      <w:lvlText w:val="%1)"/>
      <w:lvlJc w:val="left"/>
      <w:pPr>
        <w:ind w:left="0" w:firstLine="480"/>
      </w:pPr>
      <w:rPr>
        <w:rFonts w:hint="default"/>
      </w:rPr>
    </w:lvl>
  </w:abstractNum>
  <w:abstractNum w:abstractNumId="247">
    <w:nsid w:val="E026390F"/>
    <w:multiLevelType w:val="singleLevel"/>
    <w:tmpl w:val="E026390F"/>
    <w:lvl w:ilvl="0" w:tentative="0">
      <w:start w:val="1"/>
      <w:numFmt w:val="decimal"/>
      <w:suff w:val="space"/>
      <w:lvlText w:val="%1)"/>
      <w:lvlJc w:val="left"/>
      <w:pPr>
        <w:ind w:left="0" w:firstLine="0"/>
      </w:pPr>
      <w:rPr>
        <w:rFonts w:hint="default"/>
      </w:rPr>
    </w:lvl>
  </w:abstractNum>
  <w:abstractNum w:abstractNumId="248">
    <w:nsid w:val="E04A38B7"/>
    <w:multiLevelType w:val="multilevel"/>
    <w:tmpl w:val="E04A38B7"/>
    <w:lvl w:ilvl="0" w:tentative="0">
      <w:start w:val="1"/>
      <w:numFmt w:val="decimal"/>
      <w:suff w:val="space"/>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49">
    <w:nsid w:val="E04BAE8A"/>
    <w:multiLevelType w:val="singleLevel"/>
    <w:tmpl w:val="E04BAE8A"/>
    <w:lvl w:ilvl="0" w:tentative="0">
      <w:start w:val="1"/>
      <w:numFmt w:val="decimal"/>
      <w:suff w:val="space"/>
      <w:lvlText w:val="%1)"/>
      <w:lvlJc w:val="left"/>
      <w:pPr>
        <w:ind w:left="425" w:hanging="425"/>
      </w:pPr>
      <w:rPr>
        <w:rFonts w:hint="default"/>
      </w:rPr>
    </w:lvl>
  </w:abstractNum>
  <w:abstractNum w:abstractNumId="250">
    <w:nsid w:val="E066C47D"/>
    <w:multiLevelType w:val="singleLevel"/>
    <w:tmpl w:val="E066C47D"/>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251">
    <w:nsid w:val="E0A57AA1"/>
    <w:multiLevelType w:val="singleLevel"/>
    <w:tmpl w:val="E0A57AA1"/>
    <w:lvl w:ilvl="0" w:tentative="0">
      <w:start w:val="1"/>
      <w:numFmt w:val="decimal"/>
      <w:suff w:val="space"/>
      <w:lvlText w:val="%1)"/>
      <w:lvlJc w:val="left"/>
      <w:pPr>
        <w:ind w:left="0" w:firstLine="480"/>
      </w:pPr>
      <w:rPr>
        <w:rFonts w:hint="default"/>
      </w:rPr>
    </w:lvl>
  </w:abstractNum>
  <w:abstractNum w:abstractNumId="252">
    <w:nsid w:val="E1B44184"/>
    <w:multiLevelType w:val="singleLevel"/>
    <w:tmpl w:val="E1B44184"/>
    <w:lvl w:ilvl="0" w:tentative="0">
      <w:start w:val="1"/>
      <w:numFmt w:val="chineseCounting"/>
      <w:suff w:val="nothing"/>
      <w:lvlText w:val="%1、"/>
      <w:lvlJc w:val="left"/>
      <w:pPr>
        <w:ind w:left="0" w:firstLine="0"/>
      </w:pPr>
      <w:rPr>
        <w:rFonts w:hint="eastAsia"/>
      </w:rPr>
    </w:lvl>
  </w:abstractNum>
  <w:abstractNum w:abstractNumId="253">
    <w:nsid w:val="E1BC489B"/>
    <w:multiLevelType w:val="singleLevel"/>
    <w:tmpl w:val="E1BC489B"/>
    <w:lvl w:ilvl="0" w:tentative="0">
      <w:start w:val="1"/>
      <w:numFmt w:val="decimal"/>
      <w:suff w:val="space"/>
      <w:lvlText w:val="5.1.%1"/>
      <w:lvlJc w:val="left"/>
      <w:pPr>
        <w:tabs>
          <w:tab w:val="left" w:pos="0"/>
        </w:tabs>
        <w:ind w:left="0" w:firstLine="0"/>
      </w:pPr>
      <w:rPr>
        <w:rFonts w:hint="default"/>
      </w:rPr>
    </w:lvl>
  </w:abstractNum>
  <w:abstractNum w:abstractNumId="254">
    <w:nsid w:val="E2B2FC82"/>
    <w:multiLevelType w:val="singleLevel"/>
    <w:tmpl w:val="E2B2FC82"/>
    <w:lvl w:ilvl="0" w:tentative="0">
      <w:start w:val="1"/>
      <w:numFmt w:val="decimal"/>
      <w:suff w:val="space"/>
      <w:lvlText w:val="1.%1"/>
      <w:lvlJc w:val="left"/>
      <w:pPr>
        <w:ind w:left="0" w:firstLine="0"/>
      </w:pPr>
      <w:rPr>
        <w:rFonts w:hint="default"/>
      </w:rPr>
    </w:lvl>
  </w:abstractNum>
  <w:abstractNum w:abstractNumId="255">
    <w:nsid w:val="E2C5A050"/>
    <w:multiLevelType w:val="singleLevel"/>
    <w:tmpl w:val="E2C5A050"/>
    <w:lvl w:ilvl="0" w:tentative="0">
      <w:start w:val="1"/>
      <w:numFmt w:val="decimal"/>
      <w:suff w:val="space"/>
      <w:lvlText w:val="3.%1"/>
      <w:lvlJc w:val="left"/>
      <w:pPr>
        <w:ind w:left="0" w:firstLine="0"/>
      </w:pPr>
      <w:rPr>
        <w:rFonts w:hint="default"/>
      </w:rPr>
    </w:lvl>
  </w:abstractNum>
  <w:abstractNum w:abstractNumId="256">
    <w:nsid w:val="E3716968"/>
    <w:multiLevelType w:val="singleLevel"/>
    <w:tmpl w:val="E3716968"/>
    <w:lvl w:ilvl="0" w:tentative="0">
      <w:start w:val="1"/>
      <w:numFmt w:val="decimal"/>
      <w:suff w:val="space"/>
      <w:lvlText w:val="14.%1"/>
      <w:lvlJc w:val="left"/>
      <w:pPr>
        <w:tabs>
          <w:tab w:val="left" w:pos="0"/>
        </w:tabs>
        <w:ind w:left="0" w:firstLine="0"/>
      </w:pPr>
      <w:rPr>
        <w:rFonts w:hint="default"/>
      </w:rPr>
    </w:lvl>
  </w:abstractNum>
  <w:abstractNum w:abstractNumId="257">
    <w:nsid w:val="E38109FE"/>
    <w:multiLevelType w:val="singleLevel"/>
    <w:tmpl w:val="E38109FE"/>
    <w:lvl w:ilvl="0" w:tentative="0">
      <w:start w:val="1"/>
      <w:numFmt w:val="decimal"/>
      <w:suff w:val="space"/>
      <w:lvlText w:val="%1)"/>
      <w:lvlJc w:val="left"/>
      <w:pPr>
        <w:ind w:left="0" w:firstLine="480"/>
      </w:pPr>
      <w:rPr>
        <w:rFonts w:hint="default"/>
      </w:rPr>
    </w:lvl>
  </w:abstractNum>
  <w:abstractNum w:abstractNumId="258">
    <w:nsid w:val="E3FB04B7"/>
    <w:multiLevelType w:val="singleLevel"/>
    <w:tmpl w:val="E3FB04B7"/>
    <w:lvl w:ilvl="0" w:tentative="0">
      <w:start w:val="1"/>
      <w:numFmt w:val="bullet"/>
      <w:lvlText w:val=""/>
      <w:lvlJc w:val="left"/>
      <w:pPr>
        <w:ind w:left="420" w:hanging="420"/>
      </w:pPr>
      <w:rPr>
        <w:rFonts w:hint="default" w:ascii="Wingdings" w:hAnsi="Wingdings"/>
      </w:rPr>
    </w:lvl>
  </w:abstractNum>
  <w:abstractNum w:abstractNumId="259">
    <w:nsid w:val="E40ED709"/>
    <w:multiLevelType w:val="singleLevel"/>
    <w:tmpl w:val="E40ED709"/>
    <w:lvl w:ilvl="0" w:tentative="0">
      <w:start w:val="1"/>
      <w:numFmt w:val="decimal"/>
      <w:suff w:val="space"/>
      <w:lvlText w:val="%1)"/>
      <w:lvlJc w:val="left"/>
      <w:pPr>
        <w:ind w:left="0" w:firstLine="480"/>
      </w:pPr>
      <w:rPr>
        <w:rFonts w:hint="default"/>
      </w:rPr>
    </w:lvl>
  </w:abstractNum>
  <w:abstractNum w:abstractNumId="260">
    <w:nsid w:val="E4F52614"/>
    <w:multiLevelType w:val="singleLevel"/>
    <w:tmpl w:val="E4F52614"/>
    <w:lvl w:ilvl="0" w:tentative="0">
      <w:start w:val="1"/>
      <w:numFmt w:val="decimal"/>
      <w:suff w:val="space"/>
      <w:lvlText w:val="1.%1"/>
      <w:lvlJc w:val="left"/>
      <w:pPr>
        <w:ind w:left="0" w:firstLine="480"/>
      </w:pPr>
      <w:rPr>
        <w:rFonts w:hint="default"/>
      </w:rPr>
    </w:lvl>
  </w:abstractNum>
  <w:abstractNum w:abstractNumId="261">
    <w:nsid w:val="E60512C6"/>
    <w:multiLevelType w:val="singleLevel"/>
    <w:tmpl w:val="E60512C6"/>
    <w:lvl w:ilvl="0" w:tentative="0">
      <w:start w:val="1"/>
      <w:numFmt w:val="bullet"/>
      <w:lvlText w:val=""/>
      <w:lvlJc w:val="left"/>
      <w:pPr>
        <w:tabs>
          <w:tab w:val="left" w:pos="420"/>
        </w:tabs>
        <w:ind w:left="840" w:hanging="420"/>
      </w:pPr>
      <w:rPr>
        <w:rFonts w:hint="default" w:ascii="Wingdings" w:hAnsi="Wingdings"/>
      </w:rPr>
    </w:lvl>
  </w:abstractNum>
  <w:abstractNum w:abstractNumId="262">
    <w:nsid w:val="E6B18C95"/>
    <w:multiLevelType w:val="singleLevel"/>
    <w:tmpl w:val="E6B18C95"/>
    <w:lvl w:ilvl="0" w:tentative="0">
      <w:start w:val="1"/>
      <w:numFmt w:val="decimal"/>
      <w:suff w:val="space"/>
      <w:lvlText w:val="1.15.3.%1"/>
      <w:lvlJc w:val="left"/>
      <w:pPr>
        <w:tabs>
          <w:tab w:val="left" w:pos="0"/>
        </w:tabs>
        <w:ind w:left="0" w:firstLine="0"/>
      </w:pPr>
      <w:rPr>
        <w:rFonts w:hint="default"/>
      </w:rPr>
    </w:lvl>
  </w:abstractNum>
  <w:abstractNum w:abstractNumId="263">
    <w:nsid w:val="E7017AC7"/>
    <w:multiLevelType w:val="singleLevel"/>
    <w:tmpl w:val="E7017AC7"/>
    <w:lvl w:ilvl="0" w:tentative="0">
      <w:start w:val="1"/>
      <w:numFmt w:val="decimal"/>
      <w:suff w:val="space"/>
      <w:lvlText w:val="1.13.6.%1"/>
      <w:lvlJc w:val="left"/>
      <w:pPr>
        <w:tabs>
          <w:tab w:val="left" w:pos="0"/>
        </w:tabs>
        <w:ind w:left="0" w:firstLine="0"/>
      </w:pPr>
      <w:rPr>
        <w:rFonts w:hint="default"/>
      </w:rPr>
    </w:lvl>
  </w:abstractNum>
  <w:abstractNum w:abstractNumId="264">
    <w:nsid w:val="E7059953"/>
    <w:multiLevelType w:val="singleLevel"/>
    <w:tmpl w:val="E7059953"/>
    <w:lvl w:ilvl="0" w:tentative="0">
      <w:start w:val="1"/>
      <w:numFmt w:val="decimal"/>
      <w:suff w:val="space"/>
      <w:lvlText w:val="4.16.%1"/>
      <w:lvlJc w:val="left"/>
      <w:pPr>
        <w:tabs>
          <w:tab w:val="left" w:pos="0"/>
        </w:tabs>
        <w:ind w:left="0" w:firstLine="0"/>
      </w:pPr>
      <w:rPr>
        <w:rFonts w:hint="default"/>
      </w:rPr>
    </w:lvl>
  </w:abstractNum>
  <w:abstractNum w:abstractNumId="265">
    <w:nsid w:val="E7361F52"/>
    <w:multiLevelType w:val="singleLevel"/>
    <w:tmpl w:val="E7361F52"/>
    <w:lvl w:ilvl="0" w:tentative="0">
      <w:start w:val="1"/>
      <w:numFmt w:val="decimal"/>
      <w:suff w:val="space"/>
      <w:lvlText w:val="2.%1"/>
      <w:lvlJc w:val="left"/>
      <w:pPr>
        <w:ind w:left="0" w:firstLine="480"/>
      </w:pPr>
      <w:rPr>
        <w:rFonts w:hint="default" w:ascii="宋体" w:hAnsi="宋体" w:eastAsia="宋体" w:cs="宋体"/>
        <w:sz w:val="24"/>
        <w:szCs w:val="24"/>
      </w:rPr>
    </w:lvl>
  </w:abstractNum>
  <w:abstractNum w:abstractNumId="266">
    <w:nsid w:val="E7913F39"/>
    <w:multiLevelType w:val="singleLevel"/>
    <w:tmpl w:val="E7913F39"/>
    <w:lvl w:ilvl="0" w:tentative="0">
      <w:start w:val="1"/>
      <w:numFmt w:val="decimal"/>
      <w:suff w:val="space"/>
      <w:lvlText w:val="7.%1"/>
      <w:lvlJc w:val="left"/>
      <w:pPr>
        <w:ind w:left="0" w:firstLine="0"/>
      </w:pPr>
      <w:rPr>
        <w:rFonts w:hint="default"/>
      </w:rPr>
    </w:lvl>
  </w:abstractNum>
  <w:abstractNum w:abstractNumId="267">
    <w:nsid w:val="E8A0BBA9"/>
    <w:multiLevelType w:val="singleLevel"/>
    <w:tmpl w:val="E8A0BBA9"/>
    <w:lvl w:ilvl="0" w:tentative="0">
      <w:start w:val="1"/>
      <w:numFmt w:val="bullet"/>
      <w:suff w:val="space"/>
      <w:lvlText w:val=""/>
      <w:lvlJc w:val="left"/>
      <w:pPr>
        <w:ind w:left="420" w:hanging="420"/>
      </w:pPr>
      <w:rPr>
        <w:rFonts w:hint="default" w:ascii="Wingdings" w:hAnsi="Wingdings"/>
      </w:rPr>
    </w:lvl>
  </w:abstractNum>
  <w:abstractNum w:abstractNumId="268">
    <w:nsid w:val="E8BE5E59"/>
    <w:multiLevelType w:val="singleLevel"/>
    <w:tmpl w:val="E8BE5E59"/>
    <w:lvl w:ilvl="0" w:tentative="0">
      <w:start w:val="1"/>
      <w:numFmt w:val="decimal"/>
      <w:suff w:val="space"/>
      <w:lvlText w:val="%1."/>
      <w:lvlJc w:val="left"/>
      <w:pPr>
        <w:tabs>
          <w:tab w:val="left" w:pos="0"/>
        </w:tabs>
        <w:ind w:left="0" w:firstLine="0"/>
      </w:pPr>
      <w:rPr>
        <w:rFonts w:hint="default"/>
      </w:rPr>
    </w:lvl>
  </w:abstractNum>
  <w:abstractNum w:abstractNumId="269">
    <w:nsid w:val="E9748B3A"/>
    <w:multiLevelType w:val="singleLevel"/>
    <w:tmpl w:val="E9748B3A"/>
    <w:lvl w:ilvl="0" w:tentative="0">
      <w:start w:val="1"/>
      <w:numFmt w:val="decimal"/>
      <w:suff w:val="space"/>
      <w:lvlText w:val="16.%1"/>
      <w:lvlJc w:val="left"/>
      <w:pPr>
        <w:tabs>
          <w:tab w:val="left" w:pos="0"/>
        </w:tabs>
        <w:ind w:left="0" w:firstLine="0"/>
      </w:pPr>
      <w:rPr>
        <w:rFonts w:hint="default"/>
      </w:rPr>
    </w:lvl>
  </w:abstractNum>
  <w:abstractNum w:abstractNumId="270">
    <w:nsid w:val="E9C12817"/>
    <w:multiLevelType w:val="singleLevel"/>
    <w:tmpl w:val="E9C12817"/>
    <w:lvl w:ilvl="0" w:tentative="0">
      <w:start w:val="1"/>
      <w:numFmt w:val="decimal"/>
      <w:suff w:val="space"/>
      <w:lvlText w:val="1.6.4.%1"/>
      <w:lvlJc w:val="left"/>
      <w:pPr>
        <w:tabs>
          <w:tab w:val="left" w:pos="0"/>
        </w:tabs>
        <w:ind w:left="0" w:firstLine="0"/>
      </w:pPr>
      <w:rPr>
        <w:rFonts w:hint="default"/>
      </w:rPr>
    </w:lvl>
  </w:abstractNum>
  <w:abstractNum w:abstractNumId="271">
    <w:nsid w:val="EA0DF0E8"/>
    <w:multiLevelType w:val="singleLevel"/>
    <w:tmpl w:val="EA0DF0E8"/>
    <w:lvl w:ilvl="0" w:tentative="0">
      <w:start w:val="1"/>
      <w:numFmt w:val="decimal"/>
      <w:suff w:val="space"/>
      <w:lvlText w:val="%1)"/>
      <w:lvlJc w:val="left"/>
      <w:pPr>
        <w:ind w:left="0" w:firstLine="480"/>
      </w:pPr>
      <w:rPr>
        <w:rFonts w:hint="default"/>
      </w:rPr>
    </w:lvl>
  </w:abstractNum>
  <w:abstractNum w:abstractNumId="272">
    <w:nsid w:val="EA0E2AC5"/>
    <w:multiLevelType w:val="singleLevel"/>
    <w:tmpl w:val="EA0E2AC5"/>
    <w:lvl w:ilvl="0" w:tentative="0">
      <w:start w:val="1"/>
      <w:numFmt w:val="bullet"/>
      <w:suff w:val="space"/>
      <w:lvlText w:val=""/>
      <w:lvlJc w:val="left"/>
      <w:pPr>
        <w:ind w:left="420" w:hanging="420"/>
      </w:pPr>
      <w:rPr>
        <w:rFonts w:hint="default" w:ascii="Wingdings" w:hAnsi="Wingdings"/>
      </w:rPr>
    </w:lvl>
  </w:abstractNum>
  <w:abstractNum w:abstractNumId="273">
    <w:nsid w:val="EA129810"/>
    <w:multiLevelType w:val="multilevel"/>
    <w:tmpl w:val="EA129810"/>
    <w:lvl w:ilvl="0" w:tentative="0">
      <w:start w:val="1"/>
      <w:numFmt w:val="lowerLetter"/>
      <w:suff w:val="space"/>
      <w:lvlText w:val="%1)"/>
      <w:lvlJc w:val="left"/>
      <w:pPr>
        <w:ind w:left="1320" w:hanging="420"/>
      </w:pPr>
    </w:lvl>
    <w:lvl w:ilvl="1" w:tentative="0">
      <w:start w:val="1"/>
      <w:numFmt w:val="lowerLetter"/>
      <w:lvlText w:val="%2)"/>
      <w:lvlJc w:val="left"/>
      <w:pPr>
        <w:ind w:left="1740" w:hanging="420"/>
      </w:pPr>
    </w:lvl>
    <w:lvl w:ilvl="2" w:tentative="0">
      <w:start w:val="1"/>
      <w:numFmt w:val="lowerRoman"/>
      <w:lvlText w:val="%3."/>
      <w:lvlJc w:val="right"/>
      <w:pPr>
        <w:ind w:left="2160" w:hanging="420"/>
      </w:pPr>
    </w:lvl>
    <w:lvl w:ilvl="3" w:tentative="0">
      <w:start w:val="1"/>
      <w:numFmt w:val="decimal"/>
      <w:lvlText w:val="%4."/>
      <w:lvlJc w:val="left"/>
      <w:pPr>
        <w:ind w:left="2580" w:hanging="420"/>
      </w:pPr>
    </w:lvl>
    <w:lvl w:ilvl="4" w:tentative="0">
      <w:start w:val="1"/>
      <w:numFmt w:val="lowerLetter"/>
      <w:lvlText w:val="%5)"/>
      <w:lvlJc w:val="left"/>
      <w:pPr>
        <w:ind w:left="3000" w:hanging="420"/>
      </w:pPr>
    </w:lvl>
    <w:lvl w:ilvl="5" w:tentative="0">
      <w:start w:val="1"/>
      <w:numFmt w:val="lowerRoman"/>
      <w:lvlText w:val="%6."/>
      <w:lvlJc w:val="right"/>
      <w:pPr>
        <w:ind w:left="3420" w:hanging="420"/>
      </w:pPr>
    </w:lvl>
    <w:lvl w:ilvl="6" w:tentative="0">
      <w:start w:val="1"/>
      <w:numFmt w:val="decimal"/>
      <w:lvlText w:val="%7."/>
      <w:lvlJc w:val="left"/>
      <w:pPr>
        <w:ind w:left="3840" w:hanging="420"/>
      </w:pPr>
    </w:lvl>
    <w:lvl w:ilvl="7" w:tentative="0">
      <w:start w:val="1"/>
      <w:numFmt w:val="lowerLetter"/>
      <w:lvlText w:val="%8)"/>
      <w:lvlJc w:val="left"/>
      <w:pPr>
        <w:ind w:left="4260" w:hanging="420"/>
      </w:pPr>
    </w:lvl>
    <w:lvl w:ilvl="8" w:tentative="0">
      <w:start w:val="1"/>
      <w:numFmt w:val="lowerRoman"/>
      <w:lvlText w:val="%9."/>
      <w:lvlJc w:val="right"/>
      <w:pPr>
        <w:ind w:left="4680" w:hanging="420"/>
      </w:pPr>
    </w:lvl>
  </w:abstractNum>
  <w:abstractNum w:abstractNumId="274">
    <w:nsid w:val="EAF3EF45"/>
    <w:multiLevelType w:val="singleLevel"/>
    <w:tmpl w:val="EAF3EF45"/>
    <w:lvl w:ilvl="0" w:tentative="0">
      <w:start w:val="1"/>
      <w:numFmt w:val="decimal"/>
      <w:suff w:val="space"/>
      <w:lvlText w:val="%1)"/>
      <w:lvlJc w:val="left"/>
      <w:pPr>
        <w:ind w:left="0" w:firstLine="480"/>
      </w:pPr>
      <w:rPr>
        <w:rFonts w:hint="default"/>
      </w:rPr>
    </w:lvl>
  </w:abstractNum>
  <w:abstractNum w:abstractNumId="275">
    <w:nsid w:val="EBCD16CC"/>
    <w:multiLevelType w:val="singleLevel"/>
    <w:tmpl w:val="EBCD16CC"/>
    <w:lvl w:ilvl="0" w:tentative="0">
      <w:start w:val="1"/>
      <w:numFmt w:val="bullet"/>
      <w:lvlText w:val=""/>
      <w:lvlJc w:val="left"/>
      <w:pPr>
        <w:ind w:left="420" w:hanging="420"/>
      </w:pPr>
      <w:rPr>
        <w:rFonts w:hint="default" w:ascii="Wingdings" w:hAnsi="Wingdings"/>
      </w:rPr>
    </w:lvl>
  </w:abstractNum>
  <w:abstractNum w:abstractNumId="276">
    <w:nsid w:val="EBEBB072"/>
    <w:multiLevelType w:val="singleLevel"/>
    <w:tmpl w:val="EBEBB072"/>
    <w:lvl w:ilvl="0" w:tentative="0">
      <w:start w:val="1"/>
      <w:numFmt w:val="decimal"/>
      <w:suff w:val="nothing"/>
      <w:lvlText w:val="%1、"/>
      <w:lvlJc w:val="left"/>
      <w:pPr>
        <w:ind w:left="0" w:firstLine="0"/>
      </w:pPr>
      <w:rPr>
        <w:rFonts w:hint="default"/>
      </w:rPr>
    </w:lvl>
  </w:abstractNum>
  <w:abstractNum w:abstractNumId="277">
    <w:nsid w:val="EC1A1BBB"/>
    <w:multiLevelType w:val="singleLevel"/>
    <w:tmpl w:val="EC1A1BBB"/>
    <w:lvl w:ilvl="0" w:tentative="0">
      <w:start w:val="1"/>
      <w:numFmt w:val="decimal"/>
      <w:suff w:val="space"/>
      <w:lvlText w:val="%1)"/>
      <w:lvlJc w:val="left"/>
      <w:pPr>
        <w:ind w:left="0" w:firstLine="480"/>
      </w:pPr>
      <w:rPr>
        <w:rFonts w:hint="default"/>
      </w:rPr>
    </w:lvl>
  </w:abstractNum>
  <w:abstractNum w:abstractNumId="278">
    <w:nsid w:val="EC1B75F6"/>
    <w:multiLevelType w:val="singleLevel"/>
    <w:tmpl w:val="EC1B75F6"/>
    <w:lvl w:ilvl="0" w:tentative="0">
      <w:start w:val="1"/>
      <w:numFmt w:val="decimal"/>
      <w:suff w:val="space"/>
      <w:lvlText w:val="%1)"/>
      <w:lvlJc w:val="left"/>
      <w:pPr>
        <w:ind w:left="0" w:firstLine="480"/>
      </w:pPr>
      <w:rPr>
        <w:rFonts w:hint="default"/>
      </w:rPr>
    </w:lvl>
  </w:abstractNum>
  <w:abstractNum w:abstractNumId="279">
    <w:nsid w:val="EC30936D"/>
    <w:multiLevelType w:val="singleLevel"/>
    <w:tmpl w:val="EC30936D"/>
    <w:lvl w:ilvl="0" w:tentative="0">
      <w:start w:val="1"/>
      <w:numFmt w:val="decimal"/>
      <w:suff w:val="space"/>
      <w:lvlText w:val="%1)"/>
      <w:lvlJc w:val="left"/>
      <w:pPr>
        <w:ind w:left="425" w:hanging="425"/>
      </w:pPr>
      <w:rPr>
        <w:rFonts w:hint="default"/>
      </w:rPr>
    </w:lvl>
  </w:abstractNum>
  <w:abstractNum w:abstractNumId="280">
    <w:nsid w:val="ECEDE9A2"/>
    <w:multiLevelType w:val="singleLevel"/>
    <w:tmpl w:val="ECEDE9A2"/>
    <w:lvl w:ilvl="0" w:tentative="0">
      <w:start w:val="1"/>
      <w:numFmt w:val="decimal"/>
      <w:suff w:val="space"/>
      <w:lvlText w:val="%1)"/>
      <w:lvlJc w:val="left"/>
      <w:pPr>
        <w:ind w:left="0" w:firstLine="480"/>
      </w:pPr>
      <w:rPr>
        <w:rFonts w:hint="default"/>
      </w:rPr>
    </w:lvl>
  </w:abstractNum>
  <w:abstractNum w:abstractNumId="281">
    <w:nsid w:val="ED2B5B21"/>
    <w:multiLevelType w:val="singleLevel"/>
    <w:tmpl w:val="ED2B5B21"/>
    <w:lvl w:ilvl="0" w:tentative="0">
      <w:start w:val="1"/>
      <w:numFmt w:val="decimal"/>
      <w:suff w:val="space"/>
      <w:lvlText w:val="%1."/>
      <w:lvlJc w:val="left"/>
      <w:pPr>
        <w:tabs>
          <w:tab w:val="left" w:pos="0"/>
        </w:tabs>
        <w:ind w:left="0" w:firstLine="0"/>
      </w:pPr>
      <w:rPr>
        <w:rFonts w:hint="default" w:ascii="宋体" w:hAnsi="宋体" w:eastAsia="宋体" w:cs="宋体"/>
        <w:sz w:val="24"/>
        <w:szCs w:val="24"/>
      </w:rPr>
    </w:lvl>
  </w:abstractNum>
  <w:abstractNum w:abstractNumId="282">
    <w:nsid w:val="ED924619"/>
    <w:multiLevelType w:val="singleLevel"/>
    <w:tmpl w:val="ED924619"/>
    <w:lvl w:ilvl="0" w:tentative="0">
      <w:start w:val="1"/>
      <w:numFmt w:val="decimal"/>
      <w:suff w:val="space"/>
      <w:lvlText w:val="%1)"/>
      <w:lvlJc w:val="left"/>
      <w:pPr>
        <w:ind w:left="0" w:firstLine="480"/>
      </w:pPr>
      <w:rPr>
        <w:rFonts w:hint="default"/>
      </w:rPr>
    </w:lvl>
  </w:abstractNum>
  <w:abstractNum w:abstractNumId="283">
    <w:nsid w:val="EE404BD6"/>
    <w:multiLevelType w:val="multilevel"/>
    <w:tmpl w:val="EE404BD6"/>
    <w:lvl w:ilvl="0" w:tentative="0">
      <w:start w:val="1"/>
      <w:numFmt w:val="lowerLetter"/>
      <w:suff w:val="space"/>
      <w:lvlText w:val="%1."/>
      <w:lvlJc w:val="left"/>
      <w:pPr>
        <w:ind w:left="420" w:firstLine="0"/>
      </w:pPr>
      <w:rPr>
        <w:rFonts w:hint="default"/>
      </w:r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284">
    <w:nsid w:val="EE59AA25"/>
    <w:multiLevelType w:val="singleLevel"/>
    <w:tmpl w:val="EE59AA25"/>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285">
    <w:nsid w:val="EEC51CD8"/>
    <w:multiLevelType w:val="singleLevel"/>
    <w:tmpl w:val="EEC51CD8"/>
    <w:lvl w:ilvl="0" w:tentative="0">
      <w:start w:val="1"/>
      <w:numFmt w:val="bullet"/>
      <w:lvlText w:val=""/>
      <w:lvlJc w:val="left"/>
      <w:pPr>
        <w:ind w:left="420" w:hanging="420"/>
      </w:pPr>
      <w:rPr>
        <w:rFonts w:hint="default" w:ascii="Wingdings" w:hAnsi="Wingdings"/>
      </w:rPr>
    </w:lvl>
  </w:abstractNum>
  <w:abstractNum w:abstractNumId="286">
    <w:nsid w:val="EEE3992A"/>
    <w:multiLevelType w:val="singleLevel"/>
    <w:tmpl w:val="EEE3992A"/>
    <w:lvl w:ilvl="0" w:tentative="0">
      <w:start w:val="1"/>
      <w:numFmt w:val="decimal"/>
      <w:suff w:val="space"/>
      <w:lvlText w:val="1.%1"/>
      <w:lvlJc w:val="left"/>
      <w:pPr>
        <w:ind w:left="0" w:firstLine="0"/>
      </w:pPr>
      <w:rPr>
        <w:rFonts w:hint="default"/>
      </w:rPr>
    </w:lvl>
  </w:abstractNum>
  <w:abstractNum w:abstractNumId="287">
    <w:nsid w:val="EF25799E"/>
    <w:multiLevelType w:val="singleLevel"/>
    <w:tmpl w:val="EF25799E"/>
    <w:lvl w:ilvl="0" w:tentative="0">
      <w:start w:val="1"/>
      <w:numFmt w:val="bullet"/>
      <w:lvlText w:val=""/>
      <w:lvlJc w:val="left"/>
      <w:pPr>
        <w:tabs>
          <w:tab w:val="left" w:pos="0"/>
        </w:tabs>
        <w:ind w:left="0" w:firstLine="0"/>
      </w:pPr>
      <w:rPr>
        <w:rFonts w:hint="default" w:ascii="Wingdings" w:hAnsi="Wingdings"/>
      </w:rPr>
    </w:lvl>
  </w:abstractNum>
  <w:abstractNum w:abstractNumId="288">
    <w:nsid w:val="EF3E45AD"/>
    <w:multiLevelType w:val="singleLevel"/>
    <w:tmpl w:val="EF3E45AD"/>
    <w:lvl w:ilvl="0" w:tentative="0">
      <w:start w:val="1"/>
      <w:numFmt w:val="bullet"/>
      <w:lvlText w:val=""/>
      <w:lvlJc w:val="left"/>
      <w:pPr>
        <w:ind w:left="420" w:hanging="420"/>
      </w:pPr>
      <w:rPr>
        <w:rFonts w:hint="default" w:ascii="Wingdings" w:hAnsi="Wingdings"/>
      </w:rPr>
    </w:lvl>
  </w:abstractNum>
  <w:abstractNum w:abstractNumId="289">
    <w:nsid w:val="EF784075"/>
    <w:multiLevelType w:val="singleLevel"/>
    <w:tmpl w:val="EF784075"/>
    <w:lvl w:ilvl="0" w:tentative="0">
      <w:start w:val="1"/>
      <w:numFmt w:val="decimal"/>
      <w:suff w:val="space"/>
      <w:lvlText w:val="%1)"/>
      <w:lvlJc w:val="left"/>
      <w:pPr>
        <w:ind w:left="0" w:firstLine="480"/>
      </w:pPr>
      <w:rPr>
        <w:rFonts w:hint="default"/>
      </w:rPr>
    </w:lvl>
  </w:abstractNum>
  <w:abstractNum w:abstractNumId="290">
    <w:nsid w:val="EFBA915C"/>
    <w:multiLevelType w:val="singleLevel"/>
    <w:tmpl w:val="EFBA915C"/>
    <w:lvl w:ilvl="0" w:tentative="0">
      <w:start w:val="1"/>
      <w:numFmt w:val="decimal"/>
      <w:suff w:val="space"/>
      <w:lvlText w:val="%1)"/>
      <w:lvlJc w:val="left"/>
      <w:pPr>
        <w:ind w:left="0" w:firstLine="480"/>
      </w:pPr>
      <w:rPr>
        <w:rFonts w:hint="default"/>
      </w:rPr>
    </w:lvl>
  </w:abstractNum>
  <w:abstractNum w:abstractNumId="291">
    <w:nsid w:val="EFC48734"/>
    <w:multiLevelType w:val="singleLevel"/>
    <w:tmpl w:val="EFC48734"/>
    <w:lvl w:ilvl="0" w:tentative="0">
      <w:start w:val="1"/>
      <w:numFmt w:val="decimal"/>
      <w:suff w:val="space"/>
      <w:lvlText w:val="%1)"/>
      <w:lvlJc w:val="left"/>
      <w:pPr>
        <w:ind w:left="425" w:hanging="425"/>
      </w:pPr>
      <w:rPr>
        <w:rFonts w:hint="default"/>
      </w:rPr>
    </w:lvl>
  </w:abstractNum>
  <w:abstractNum w:abstractNumId="292">
    <w:nsid w:val="EFFA5187"/>
    <w:multiLevelType w:val="singleLevel"/>
    <w:tmpl w:val="EFFA5187"/>
    <w:lvl w:ilvl="0" w:tentative="0">
      <w:start w:val="1"/>
      <w:numFmt w:val="decimal"/>
      <w:suff w:val="space"/>
      <w:lvlText w:val="2.%1"/>
      <w:lvlJc w:val="left"/>
      <w:pPr>
        <w:tabs>
          <w:tab w:val="left" w:pos="0"/>
        </w:tabs>
        <w:ind w:left="0" w:firstLine="0"/>
      </w:pPr>
      <w:rPr>
        <w:rFonts w:hint="default"/>
      </w:rPr>
    </w:lvl>
  </w:abstractNum>
  <w:abstractNum w:abstractNumId="293">
    <w:nsid w:val="F06DF812"/>
    <w:multiLevelType w:val="singleLevel"/>
    <w:tmpl w:val="F06DF812"/>
    <w:lvl w:ilvl="0" w:tentative="0">
      <w:start w:val="1"/>
      <w:numFmt w:val="decimal"/>
      <w:suff w:val="space"/>
      <w:lvlText w:val="%1)"/>
      <w:lvlJc w:val="left"/>
      <w:pPr>
        <w:ind w:left="425" w:hanging="425"/>
      </w:pPr>
      <w:rPr>
        <w:rFonts w:hint="default"/>
      </w:rPr>
    </w:lvl>
  </w:abstractNum>
  <w:abstractNum w:abstractNumId="294">
    <w:nsid w:val="F1673433"/>
    <w:multiLevelType w:val="singleLevel"/>
    <w:tmpl w:val="F1673433"/>
    <w:lvl w:ilvl="0" w:tentative="0">
      <w:start w:val="1"/>
      <w:numFmt w:val="decimal"/>
      <w:suff w:val="space"/>
      <w:lvlText w:val="%1)"/>
      <w:lvlJc w:val="left"/>
      <w:pPr>
        <w:ind w:left="0" w:firstLine="480"/>
      </w:pPr>
      <w:rPr>
        <w:rFonts w:hint="default"/>
      </w:rPr>
    </w:lvl>
  </w:abstractNum>
  <w:abstractNum w:abstractNumId="295">
    <w:nsid w:val="F1D997ED"/>
    <w:multiLevelType w:val="singleLevel"/>
    <w:tmpl w:val="F1D997ED"/>
    <w:lvl w:ilvl="0" w:tentative="0">
      <w:start w:val="1"/>
      <w:numFmt w:val="bullet"/>
      <w:suff w:val="space"/>
      <w:lvlText w:val=""/>
      <w:lvlJc w:val="left"/>
      <w:pPr>
        <w:ind w:left="420" w:hanging="420"/>
      </w:pPr>
      <w:rPr>
        <w:rFonts w:hint="default" w:ascii="Wingdings" w:hAnsi="Wingdings"/>
      </w:rPr>
    </w:lvl>
  </w:abstractNum>
  <w:abstractNum w:abstractNumId="296">
    <w:nsid w:val="F26DF62F"/>
    <w:multiLevelType w:val="singleLevel"/>
    <w:tmpl w:val="F26DF62F"/>
    <w:lvl w:ilvl="0" w:tentative="0">
      <w:start w:val="1"/>
      <w:numFmt w:val="decimal"/>
      <w:suff w:val="space"/>
      <w:lvlText w:val="%1)"/>
      <w:lvlJc w:val="left"/>
      <w:pPr>
        <w:ind w:left="0" w:firstLine="480"/>
      </w:pPr>
      <w:rPr>
        <w:rFonts w:hint="default"/>
      </w:rPr>
    </w:lvl>
  </w:abstractNum>
  <w:abstractNum w:abstractNumId="297">
    <w:nsid w:val="F2AFBCD1"/>
    <w:multiLevelType w:val="singleLevel"/>
    <w:tmpl w:val="F2AFBCD1"/>
    <w:lvl w:ilvl="0" w:tentative="0">
      <w:start w:val="1"/>
      <w:numFmt w:val="bullet"/>
      <w:suff w:val="space"/>
      <w:lvlText w:val=""/>
      <w:lvlJc w:val="left"/>
      <w:pPr>
        <w:ind w:left="420" w:hanging="420"/>
      </w:pPr>
      <w:rPr>
        <w:rFonts w:hint="default" w:ascii="Wingdings" w:hAnsi="Wingdings"/>
      </w:rPr>
    </w:lvl>
  </w:abstractNum>
  <w:abstractNum w:abstractNumId="298">
    <w:nsid w:val="F2B3CCCD"/>
    <w:multiLevelType w:val="singleLevel"/>
    <w:tmpl w:val="F2B3CCCD"/>
    <w:lvl w:ilvl="0" w:tentative="0">
      <w:start w:val="1"/>
      <w:numFmt w:val="decimal"/>
      <w:lvlText w:val="%1."/>
      <w:lvlJc w:val="left"/>
      <w:pPr>
        <w:tabs>
          <w:tab w:val="left" w:pos="283"/>
        </w:tabs>
        <w:ind w:left="0" w:firstLine="0"/>
      </w:pPr>
      <w:rPr>
        <w:rFonts w:hint="default" w:ascii="宋体" w:hAnsi="宋体" w:eastAsia="宋体" w:cs="宋体"/>
        <w:sz w:val="24"/>
        <w:szCs w:val="24"/>
      </w:rPr>
    </w:lvl>
  </w:abstractNum>
  <w:abstractNum w:abstractNumId="299">
    <w:nsid w:val="F31A30D8"/>
    <w:multiLevelType w:val="singleLevel"/>
    <w:tmpl w:val="F31A30D8"/>
    <w:lvl w:ilvl="0" w:tentative="0">
      <w:start w:val="1"/>
      <w:numFmt w:val="decimal"/>
      <w:suff w:val="space"/>
      <w:lvlText w:val="%1)"/>
      <w:lvlJc w:val="left"/>
      <w:pPr>
        <w:ind w:left="0" w:firstLine="480"/>
      </w:pPr>
      <w:rPr>
        <w:rFonts w:hint="default"/>
      </w:rPr>
    </w:lvl>
  </w:abstractNum>
  <w:abstractNum w:abstractNumId="300">
    <w:nsid w:val="F36E4CCC"/>
    <w:multiLevelType w:val="singleLevel"/>
    <w:tmpl w:val="F36E4CCC"/>
    <w:lvl w:ilvl="0" w:tentative="0">
      <w:start w:val="1"/>
      <w:numFmt w:val="decimal"/>
      <w:suff w:val="space"/>
      <w:lvlText w:val="1.3.2.%1"/>
      <w:lvlJc w:val="left"/>
      <w:pPr>
        <w:tabs>
          <w:tab w:val="left" w:pos="0"/>
        </w:tabs>
        <w:ind w:left="0" w:firstLine="0"/>
      </w:pPr>
      <w:rPr>
        <w:rFonts w:hint="default"/>
      </w:rPr>
    </w:lvl>
  </w:abstractNum>
  <w:abstractNum w:abstractNumId="301">
    <w:nsid w:val="F3AE370F"/>
    <w:multiLevelType w:val="singleLevel"/>
    <w:tmpl w:val="F3AE370F"/>
    <w:lvl w:ilvl="0" w:tentative="0">
      <w:start w:val="1"/>
      <w:numFmt w:val="decimal"/>
      <w:suff w:val="space"/>
      <w:lvlText w:val="4.3.%1"/>
      <w:lvlJc w:val="left"/>
      <w:pPr>
        <w:tabs>
          <w:tab w:val="left" w:pos="0"/>
        </w:tabs>
        <w:ind w:left="0" w:firstLine="0"/>
      </w:pPr>
      <w:rPr>
        <w:rFonts w:hint="default"/>
      </w:rPr>
    </w:lvl>
  </w:abstractNum>
  <w:abstractNum w:abstractNumId="302">
    <w:nsid w:val="F49DFAAD"/>
    <w:multiLevelType w:val="multilevel"/>
    <w:tmpl w:val="F49DFAAD"/>
    <w:lvl w:ilvl="0" w:tentative="0">
      <w:start w:val="1"/>
      <w:numFmt w:val="lowerLetter"/>
      <w:suff w:val="space"/>
      <w:lvlText w:val="%1."/>
      <w:lvlJc w:val="left"/>
      <w:pPr>
        <w:tabs>
          <w:tab w:val="left" w:pos="0"/>
        </w:tabs>
        <w:ind w:left="420" w:firstLine="0"/>
      </w:pPr>
      <w:rPr>
        <w:rFonts w:hint="eastAsia"/>
      </w:rPr>
    </w:lvl>
    <w:lvl w:ilvl="1" w:tentative="0">
      <w:start w:val="1"/>
      <w:numFmt w:val="decimalEnclosedCircle"/>
      <w:lvlText w:val="%2、"/>
      <w:lvlJc w:val="left"/>
      <w:pPr>
        <w:tabs>
          <w:tab w:val="left" w:pos="420"/>
        </w:tabs>
        <w:ind w:left="1320" w:hanging="48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303">
    <w:nsid w:val="F525890E"/>
    <w:multiLevelType w:val="singleLevel"/>
    <w:tmpl w:val="F525890E"/>
    <w:lvl w:ilvl="0" w:tentative="0">
      <w:start w:val="1"/>
      <w:numFmt w:val="bullet"/>
      <w:suff w:val="space"/>
      <w:lvlText w:val=""/>
      <w:lvlJc w:val="left"/>
      <w:pPr>
        <w:ind w:left="420" w:hanging="420"/>
      </w:pPr>
      <w:rPr>
        <w:rFonts w:hint="default" w:ascii="Wingdings" w:hAnsi="Wingdings"/>
      </w:rPr>
    </w:lvl>
  </w:abstractNum>
  <w:abstractNum w:abstractNumId="304">
    <w:nsid w:val="F54A2C20"/>
    <w:multiLevelType w:val="singleLevel"/>
    <w:tmpl w:val="F54A2C20"/>
    <w:lvl w:ilvl="0" w:tentative="0">
      <w:start w:val="1"/>
      <w:numFmt w:val="decimal"/>
      <w:suff w:val="space"/>
      <w:lvlText w:val="1.%1"/>
      <w:lvlJc w:val="left"/>
      <w:pPr>
        <w:tabs>
          <w:tab w:val="left" w:pos="0"/>
        </w:tabs>
        <w:ind w:left="0" w:firstLine="0"/>
      </w:pPr>
      <w:rPr>
        <w:rFonts w:hint="default" w:ascii="宋体" w:hAnsi="宋体" w:eastAsia="宋体" w:cs="宋体"/>
        <w:sz w:val="24"/>
        <w:szCs w:val="24"/>
      </w:rPr>
    </w:lvl>
  </w:abstractNum>
  <w:abstractNum w:abstractNumId="305">
    <w:nsid w:val="F54DE870"/>
    <w:multiLevelType w:val="singleLevel"/>
    <w:tmpl w:val="F54DE870"/>
    <w:lvl w:ilvl="0" w:tentative="0">
      <w:start w:val="1"/>
      <w:numFmt w:val="bullet"/>
      <w:suff w:val="space"/>
      <w:lvlText w:val=""/>
      <w:lvlJc w:val="left"/>
      <w:pPr>
        <w:ind w:left="420" w:hanging="420"/>
      </w:pPr>
      <w:rPr>
        <w:rFonts w:hint="default" w:ascii="Wingdings" w:hAnsi="Wingdings"/>
      </w:rPr>
    </w:lvl>
  </w:abstractNum>
  <w:abstractNum w:abstractNumId="306">
    <w:nsid w:val="F56CE61E"/>
    <w:multiLevelType w:val="singleLevel"/>
    <w:tmpl w:val="F56CE61E"/>
    <w:lvl w:ilvl="0" w:tentative="0">
      <w:start w:val="1"/>
      <w:numFmt w:val="bullet"/>
      <w:suff w:val="space"/>
      <w:lvlText w:val=""/>
      <w:lvlJc w:val="left"/>
      <w:pPr>
        <w:ind w:left="420" w:hanging="420"/>
      </w:pPr>
      <w:rPr>
        <w:rFonts w:hint="default" w:ascii="Wingdings" w:hAnsi="Wingdings"/>
      </w:rPr>
    </w:lvl>
  </w:abstractNum>
  <w:abstractNum w:abstractNumId="307">
    <w:nsid w:val="F5912170"/>
    <w:multiLevelType w:val="singleLevel"/>
    <w:tmpl w:val="F5912170"/>
    <w:lvl w:ilvl="0" w:tentative="0">
      <w:start w:val="1"/>
      <w:numFmt w:val="decimal"/>
      <w:suff w:val="space"/>
      <w:lvlText w:val="20.%1"/>
      <w:lvlJc w:val="left"/>
      <w:pPr>
        <w:tabs>
          <w:tab w:val="left" w:pos="0"/>
        </w:tabs>
        <w:ind w:left="0" w:firstLine="0"/>
      </w:pPr>
      <w:rPr>
        <w:rFonts w:hint="default"/>
      </w:rPr>
    </w:lvl>
  </w:abstractNum>
  <w:abstractNum w:abstractNumId="308">
    <w:nsid w:val="F5EE1458"/>
    <w:multiLevelType w:val="singleLevel"/>
    <w:tmpl w:val="F5EE1458"/>
    <w:lvl w:ilvl="0" w:tentative="0">
      <w:start w:val="1"/>
      <w:numFmt w:val="decimal"/>
      <w:suff w:val="space"/>
      <w:lvlText w:val="1.18.2.%1"/>
      <w:lvlJc w:val="left"/>
      <w:pPr>
        <w:tabs>
          <w:tab w:val="left" w:pos="0"/>
        </w:tabs>
        <w:ind w:left="0" w:firstLine="0"/>
      </w:pPr>
      <w:rPr>
        <w:rFonts w:hint="default"/>
      </w:rPr>
    </w:lvl>
  </w:abstractNum>
  <w:abstractNum w:abstractNumId="309">
    <w:nsid w:val="F60EC41B"/>
    <w:multiLevelType w:val="singleLevel"/>
    <w:tmpl w:val="F60EC41B"/>
    <w:lvl w:ilvl="0" w:tentative="0">
      <w:start w:val="1"/>
      <w:numFmt w:val="decimal"/>
      <w:suff w:val="nothing"/>
      <w:lvlText w:val="%1）"/>
      <w:lvlJc w:val="left"/>
      <w:pPr>
        <w:ind w:left="0" w:firstLine="480"/>
      </w:pPr>
      <w:rPr>
        <w:rFonts w:hint="default"/>
      </w:rPr>
    </w:lvl>
  </w:abstractNum>
  <w:abstractNum w:abstractNumId="310">
    <w:nsid w:val="F638CA89"/>
    <w:multiLevelType w:val="singleLevel"/>
    <w:tmpl w:val="F638CA89"/>
    <w:lvl w:ilvl="0" w:tentative="0">
      <w:start w:val="1"/>
      <w:numFmt w:val="decimal"/>
      <w:suff w:val="space"/>
      <w:lvlText w:val="1.%1"/>
      <w:lvlJc w:val="left"/>
      <w:pPr>
        <w:ind w:left="0" w:firstLine="480"/>
      </w:pPr>
      <w:rPr>
        <w:rFonts w:hint="default"/>
      </w:rPr>
    </w:lvl>
  </w:abstractNum>
  <w:abstractNum w:abstractNumId="311">
    <w:nsid w:val="F851585D"/>
    <w:multiLevelType w:val="multilevel"/>
    <w:tmpl w:val="F851585D"/>
    <w:lvl w:ilvl="0" w:tentative="0">
      <w:start w:val="1"/>
      <w:numFmt w:val="lowerLetter"/>
      <w:suff w:val="space"/>
      <w:lvlText w:val="%1)"/>
      <w:lvlJc w:val="left"/>
      <w:pPr>
        <w:ind w:left="1264" w:hanging="844"/>
      </w:pPr>
      <w:rPr>
        <w:rFonts w:hint="default"/>
      </w:rPr>
    </w:lvl>
    <w:lvl w:ilvl="1" w:tentative="0">
      <w:start w:val="1"/>
      <w:numFmt w:val="lowerLetter"/>
      <w:lvlText w:val="%2)"/>
      <w:lvlJc w:val="left"/>
      <w:pPr>
        <w:tabs>
          <w:tab w:val="left" w:pos="420"/>
        </w:tabs>
        <w:ind w:left="1684" w:hanging="420"/>
      </w:pPr>
    </w:lvl>
    <w:lvl w:ilvl="2" w:tentative="0">
      <w:start w:val="1"/>
      <w:numFmt w:val="lowerRoman"/>
      <w:lvlText w:val="%3."/>
      <w:lvlJc w:val="right"/>
      <w:pPr>
        <w:tabs>
          <w:tab w:val="left" w:pos="420"/>
        </w:tabs>
        <w:ind w:left="2104" w:hanging="420"/>
      </w:pPr>
    </w:lvl>
    <w:lvl w:ilvl="3" w:tentative="0">
      <w:start w:val="1"/>
      <w:numFmt w:val="decimal"/>
      <w:lvlText w:val="%4."/>
      <w:lvlJc w:val="left"/>
      <w:pPr>
        <w:tabs>
          <w:tab w:val="left" w:pos="420"/>
        </w:tabs>
        <w:ind w:left="2524" w:hanging="420"/>
      </w:pPr>
    </w:lvl>
    <w:lvl w:ilvl="4" w:tentative="0">
      <w:start w:val="1"/>
      <w:numFmt w:val="lowerLetter"/>
      <w:lvlText w:val="%5)"/>
      <w:lvlJc w:val="left"/>
      <w:pPr>
        <w:tabs>
          <w:tab w:val="left" w:pos="420"/>
        </w:tabs>
        <w:ind w:left="2944" w:hanging="420"/>
      </w:pPr>
    </w:lvl>
    <w:lvl w:ilvl="5" w:tentative="0">
      <w:start w:val="1"/>
      <w:numFmt w:val="lowerRoman"/>
      <w:lvlText w:val="%6."/>
      <w:lvlJc w:val="right"/>
      <w:pPr>
        <w:tabs>
          <w:tab w:val="left" w:pos="420"/>
        </w:tabs>
        <w:ind w:left="3364" w:hanging="420"/>
      </w:pPr>
    </w:lvl>
    <w:lvl w:ilvl="6" w:tentative="0">
      <w:start w:val="1"/>
      <w:numFmt w:val="decimal"/>
      <w:lvlText w:val="%7."/>
      <w:lvlJc w:val="left"/>
      <w:pPr>
        <w:tabs>
          <w:tab w:val="left" w:pos="420"/>
        </w:tabs>
        <w:ind w:left="3784" w:hanging="420"/>
      </w:pPr>
    </w:lvl>
    <w:lvl w:ilvl="7" w:tentative="0">
      <w:start w:val="1"/>
      <w:numFmt w:val="lowerLetter"/>
      <w:lvlText w:val="%8)"/>
      <w:lvlJc w:val="left"/>
      <w:pPr>
        <w:tabs>
          <w:tab w:val="left" w:pos="420"/>
        </w:tabs>
        <w:ind w:left="4204" w:hanging="420"/>
      </w:pPr>
    </w:lvl>
    <w:lvl w:ilvl="8" w:tentative="0">
      <w:start w:val="1"/>
      <w:numFmt w:val="lowerRoman"/>
      <w:lvlText w:val="%9."/>
      <w:lvlJc w:val="right"/>
      <w:pPr>
        <w:tabs>
          <w:tab w:val="left" w:pos="420"/>
        </w:tabs>
        <w:ind w:left="4624" w:hanging="420"/>
      </w:pPr>
    </w:lvl>
  </w:abstractNum>
  <w:abstractNum w:abstractNumId="312">
    <w:nsid w:val="F8609E18"/>
    <w:multiLevelType w:val="singleLevel"/>
    <w:tmpl w:val="F8609E18"/>
    <w:lvl w:ilvl="0" w:tentative="0">
      <w:start w:val="1"/>
      <w:numFmt w:val="decimal"/>
      <w:suff w:val="space"/>
      <w:lvlText w:val="%1)"/>
      <w:lvlJc w:val="left"/>
      <w:pPr>
        <w:ind w:left="425" w:hanging="425"/>
      </w:pPr>
      <w:rPr>
        <w:rFonts w:hint="default"/>
      </w:rPr>
    </w:lvl>
  </w:abstractNum>
  <w:abstractNum w:abstractNumId="313">
    <w:nsid w:val="F86EE85C"/>
    <w:multiLevelType w:val="multilevel"/>
    <w:tmpl w:val="F86EE85C"/>
    <w:lvl w:ilvl="0" w:tentative="0">
      <w:start w:val="1"/>
      <w:numFmt w:val="decimal"/>
      <w:suff w:val="space"/>
      <w:lvlText w:val="6.12.%1"/>
      <w:lvlJc w:val="left"/>
      <w:pPr>
        <w:ind w:left="420" w:hanging="420"/>
      </w:pPr>
      <w:rPr>
        <w:rFonts w:hint="default" w:ascii="宋体" w:hAnsi="宋体" w:eastAsia="宋体"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14">
    <w:nsid w:val="F8EA874C"/>
    <w:multiLevelType w:val="singleLevel"/>
    <w:tmpl w:val="F8EA874C"/>
    <w:lvl w:ilvl="0" w:tentative="0">
      <w:start w:val="1"/>
      <w:numFmt w:val="decimal"/>
      <w:suff w:val="space"/>
      <w:lvlText w:val="%1)"/>
      <w:lvlJc w:val="left"/>
      <w:pPr>
        <w:ind w:left="0" w:firstLine="480"/>
      </w:pPr>
      <w:rPr>
        <w:rFonts w:hint="default"/>
      </w:rPr>
    </w:lvl>
  </w:abstractNum>
  <w:abstractNum w:abstractNumId="315">
    <w:nsid w:val="F90E5E85"/>
    <w:multiLevelType w:val="singleLevel"/>
    <w:tmpl w:val="F90E5E85"/>
    <w:lvl w:ilvl="0" w:tentative="0">
      <w:start w:val="1"/>
      <w:numFmt w:val="decimal"/>
      <w:suff w:val="space"/>
      <w:lvlText w:val="15.%1"/>
      <w:lvlJc w:val="left"/>
      <w:pPr>
        <w:tabs>
          <w:tab w:val="left" w:pos="0"/>
        </w:tabs>
        <w:ind w:left="0" w:firstLine="0"/>
      </w:pPr>
      <w:rPr>
        <w:rFonts w:hint="default"/>
      </w:rPr>
    </w:lvl>
  </w:abstractNum>
  <w:abstractNum w:abstractNumId="316">
    <w:nsid w:val="F9D1F939"/>
    <w:multiLevelType w:val="singleLevel"/>
    <w:tmpl w:val="F9D1F939"/>
    <w:lvl w:ilvl="0" w:tentative="0">
      <w:start w:val="1"/>
      <w:numFmt w:val="decimal"/>
      <w:suff w:val="space"/>
      <w:lvlText w:val="33.%1"/>
      <w:lvlJc w:val="left"/>
      <w:pPr>
        <w:tabs>
          <w:tab w:val="left" w:pos="0"/>
        </w:tabs>
        <w:ind w:left="0" w:firstLine="0"/>
      </w:pPr>
      <w:rPr>
        <w:rFonts w:hint="default"/>
      </w:rPr>
    </w:lvl>
  </w:abstractNum>
  <w:abstractNum w:abstractNumId="317">
    <w:nsid w:val="FA32521F"/>
    <w:multiLevelType w:val="singleLevel"/>
    <w:tmpl w:val="FA32521F"/>
    <w:lvl w:ilvl="0" w:tentative="0">
      <w:start w:val="1"/>
      <w:numFmt w:val="decimal"/>
      <w:suff w:val="space"/>
      <w:lvlText w:val="%1)"/>
      <w:lvlJc w:val="left"/>
      <w:pPr>
        <w:ind w:left="0" w:firstLine="480"/>
      </w:pPr>
      <w:rPr>
        <w:rFonts w:hint="default"/>
      </w:rPr>
    </w:lvl>
  </w:abstractNum>
  <w:abstractNum w:abstractNumId="318">
    <w:nsid w:val="FA3572B2"/>
    <w:multiLevelType w:val="singleLevel"/>
    <w:tmpl w:val="FA3572B2"/>
    <w:lvl w:ilvl="0" w:tentative="0">
      <w:start w:val="1"/>
      <w:numFmt w:val="decimal"/>
      <w:suff w:val="space"/>
      <w:lvlText w:val="4.%1"/>
      <w:lvlJc w:val="left"/>
      <w:pPr>
        <w:tabs>
          <w:tab w:val="left" w:pos="0"/>
        </w:tabs>
        <w:ind w:left="0" w:firstLine="0"/>
      </w:pPr>
      <w:rPr>
        <w:rFonts w:hint="default"/>
      </w:rPr>
    </w:lvl>
  </w:abstractNum>
  <w:abstractNum w:abstractNumId="319">
    <w:nsid w:val="FA498FC1"/>
    <w:multiLevelType w:val="singleLevel"/>
    <w:tmpl w:val="FA498FC1"/>
    <w:lvl w:ilvl="0" w:tentative="0">
      <w:start w:val="1"/>
      <w:numFmt w:val="bullet"/>
      <w:suff w:val="space"/>
      <w:lvlText w:val=""/>
      <w:lvlJc w:val="left"/>
      <w:pPr>
        <w:ind w:left="420" w:hanging="137"/>
      </w:pPr>
      <w:rPr>
        <w:rFonts w:hint="default" w:ascii="Wingdings" w:hAnsi="Wingdings"/>
      </w:rPr>
    </w:lvl>
  </w:abstractNum>
  <w:abstractNum w:abstractNumId="320">
    <w:nsid w:val="FA4B9C26"/>
    <w:multiLevelType w:val="singleLevel"/>
    <w:tmpl w:val="FA4B9C26"/>
    <w:lvl w:ilvl="0" w:tentative="0">
      <w:start w:val="1"/>
      <w:numFmt w:val="decimal"/>
      <w:suff w:val="space"/>
      <w:lvlText w:val="%1)"/>
      <w:lvlJc w:val="left"/>
      <w:pPr>
        <w:ind w:left="0" w:firstLine="480"/>
      </w:pPr>
      <w:rPr>
        <w:rFonts w:hint="default"/>
      </w:rPr>
    </w:lvl>
  </w:abstractNum>
  <w:abstractNum w:abstractNumId="321">
    <w:nsid w:val="FBED57A6"/>
    <w:multiLevelType w:val="singleLevel"/>
    <w:tmpl w:val="FBED57A6"/>
    <w:lvl w:ilvl="0" w:tentative="0">
      <w:start w:val="1"/>
      <w:numFmt w:val="decimal"/>
      <w:suff w:val="space"/>
      <w:lvlText w:val="3.%1"/>
      <w:lvlJc w:val="left"/>
      <w:pPr>
        <w:tabs>
          <w:tab w:val="left" w:pos="0"/>
        </w:tabs>
        <w:ind w:left="0" w:firstLine="0"/>
      </w:pPr>
      <w:rPr>
        <w:rFonts w:hint="default" w:ascii="宋体" w:hAnsi="宋体" w:eastAsia="宋体" w:cs="宋体"/>
        <w:sz w:val="24"/>
        <w:szCs w:val="24"/>
      </w:rPr>
    </w:lvl>
  </w:abstractNum>
  <w:abstractNum w:abstractNumId="322">
    <w:nsid w:val="FC518EF8"/>
    <w:multiLevelType w:val="singleLevel"/>
    <w:tmpl w:val="FC518EF8"/>
    <w:lvl w:ilvl="0" w:tentative="0">
      <w:start w:val="1"/>
      <w:numFmt w:val="decimal"/>
      <w:suff w:val="space"/>
      <w:lvlText w:val="%1)"/>
      <w:lvlJc w:val="left"/>
      <w:pPr>
        <w:ind w:left="0" w:firstLine="480"/>
      </w:pPr>
      <w:rPr>
        <w:rFonts w:hint="default"/>
      </w:rPr>
    </w:lvl>
  </w:abstractNum>
  <w:abstractNum w:abstractNumId="323">
    <w:nsid w:val="FC800E9D"/>
    <w:multiLevelType w:val="singleLevel"/>
    <w:tmpl w:val="FC800E9D"/>
    <w:lvl w:ilvl="0" w:tentative="0">
      <w:start w:val="1"/>
      <w:numFmt w:val="decimal"/>
      <w:suff w:val="space"/>
      <w:lvlText w:val="%1)"/>
      <w:lvlJc w:val="left"/>
      <w:pPr>
        <w:ind w:left="0" w:firstLine="480"/>
      </w:pPr>
      <w:rPr>
        <w:rFonts w:hint="default"/>
      </w:rPr>
    </w:lvl>
  </w:abstractNum>
  <w:abstractNum w:abstractNumId="324">
    <w:nsid w:val="FD917A27"/>
    <w:multiLevelType w:val="multilevel"/>
    <w:tmpl w:val="FD917A27"/>
    <w:lvl w:ilvl="0" w:tentative="0">
      <w:start w:val="1"/>
      <w:numFmt w:val="bullet"/>
      <w:suff w:val="space"/>
      <w:lvlText w:val=""/>
      <w:lvlJc w:val="left"/>
      <w:pPr>
        <w:ind w:left="704" w:hanging="420"/>
      </w:pPr>
      <w:rPr>
        <w:rFonts w:hint="default" w:ascii="Wingdings" w:hAnsi="Wingdings"/>
      </w:rPr>
    </w:lvl>
    <w:lvl w:ilvl="1" w:tentative="0">
      <w:start w:val="3"/>
      <w:numFmt w:val="decimal"/>
      <w:lvlText w:val="%2."/>
      <w:lvlJc w:val="left"/>
      <w:pPr>
        <w:tabs>
          <w:tab w:val="left" w:pos="1200"/>
        </w:tabs>
        <w:ind w:left="1200" w:hanging="360"/>
      </w:pPr>
    </w:lvl>
    <w:lvl w:ilvl="2" w:tentative="0">
      <w:start w:val="3"/>
      <w:numFmt w:val="decimal"/>
      <w:lvlText w:val="%3、"/>
      <w:lvlJc w:val="left"/>
      <w:pPr>
        <w:tabs>
          <w:tab w:val="left" w:pos="1980"/>
        </w:tabs>
        <w:ind w:left="1980" w:hanging="7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25">
    <w:nsid w:val="FDCBD468"/>
    <w:multiLevelType w:val="singleLevel"/>
    <w:tmpl w:val="FDCBD468"/>
    <w:lvl w:ilvl="0" w:tentative="0">
      <w:start w:val="1"/>
      <w:numFmt w:val="decimal"/>
      <w:suff w:val="space"/>
      <w:lvlText w:val="2.%1"/>
      <w:lvlJc w:val="left"/>
      <w:pPr>
        <w:ind w:left="0" w:firstLine="0"/>
      </w:pPr>
      <w:rPr>
        <w:rFonts w:hint="default"/>
      </w:rPr>
    </w:lvl>
  </w:abstractNum>
  <w:abstractNum w:abstractNumId="326">
    <w:nsid w:val="FE944E62"/>
    <w:multiLevelType w:val="singleLevel"/>
    <w:tmpl w:val="FE944E62"/>
    <w:lvl w:ilvl="0" w:tentative="0">
      <w:start w:val="1"/>
      <w:numFmt w:val="decimal"/>
      <w:suff w:val="space"/>
      <w:lvlText w:val="1.8.2.%1"/>
      <w:lvlJc w:val="left"/>
      <w:pPr>
        <w:tabs>
          <w:tab w:val="left" w:pos="0"/>
        </w:tabs>
        <w:ind w:left="0" w:firstLine="0"/>
      </w:pPr>
      <w:rPr>
        <w:rFonts w:hint="default"/>
      </w:rPr>
    </w:lvl>
  </w:abstractNum>
  <w:abstractNum w:abstractNumId="327">
    <w:nsid w:val="FEA6A2A7"/>
    <w:multiLevelType w:val="singleLevel"/>
    <w:tmpl w:val="FEA6A2A7"/>
    <w:lvl w:ilvl="0" w:tentative="0">
      <w:start w:val="1"/>
      <w:numFmt w:val="decimal"/>
      <w:suff w:val="space"/>
      <w:lvlText w:val="%1)"/>
      <w:lvlJc w:val="left"/>
      <w:pPr>
        <w:ind w:left="0" w:firstLine="480"/>
      </w:pPr>
      <w:rPr>
        <w:rFonts w:hint="default"/>
      </w:rPr>
    </w:lvl>
  </w:abstractNum>
  <w:abstractNum w:abstractNumId="328">
    <w:nsid w:val="FEF3A460"/>
    <w:multiLevelType w:val="singleLevel"/>
    <w:tmpl w:val="FEF3A460"/>
    <w:lvl w:ilvl="0" w:tentative="0">
      <w:start w:val="1"/>
      <w:numFmt w:val="bullet"/>
      <w:lvlText w:val=""/>
      <w:lvlJc w:val="left"/>
      <w:pPr>
        <w:ind w:left="420" w:hanging="420"/>
      </w:pPr>
      <w:rPr>
        <w:rFonts w:hint="default" w:ascii="Wingdings" w:hAnsi="Wingdings"/>
      </w:rPr>
    </w:lvl>
  </w:abstractNum>
  <w:abstractNum w:abstractNumId="329">
    <w:nsid w:val="FF03A176"/>
    <w:multiLevelType w:val="multilevel"/>
    <w:tmpl w:val="FF03A176"/>
    <w:lvl w:ilvl="0" w:tentative="0">
      <w:start w:val="1"/>
      <w:numFmt w:val="decimal"/>
      <w:suff w:val="space"/>
      <w:lvlText w:val="1.%1"/>
      <w:lvlJc w:val="left"/>
      <w:pPr>
        <w:ind w:left="420" w:hanging="420"/>
      </w:pPr>
      <w:rPr>
        <w:rFonts w:hint="default" w:ascii="宋体" w:hAnsi="宋体" w:eastAsia="宋体"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30">
    <w:nsid w:val="FF24BD4C"/>
    <w:multiLevelType w:val="singleLevel"/>
    <w:tmpl w:val="FF24BD4C"/>
    <w:lvl w:ilvl="0" w:tentative="0">
      <w:start w:val="1"/>
      <w:numFmt w:val="bullet"/>
      <w:suff w:val="space"/>
      <w:lvlText w:val=""/>
      <w:lvlJc w:val="left"/>
      <w:pPr>
        <w:ind w:left="420" w:hanging="420"/>
      </w:pPr>
      <w:rPr>
        <w:rFonts w:hint="default" w:ascii="Wingdings" w:hAnsi="Wingdings"/>
      </w:rPr>
    </w:lvl>
  </w:abstractNum>
  <w:abstractNum w:abstractNumId="331">
    <w:nsid w:val="FF51A770"/>
    <w:multiLevelType w:val="singleLevel"/>
    <w:tmpl w:val="FF51A770"/>
    <w:lvl w:ilvl="0" w:tentative="0">
      <w:start w:val="1"/>
      <w:numFmt w:val="decimal"/>
      <w:suff w:val="space"/>
      <w:lvlText w:val="4.%1"/>
      <w:lvlJc w:val="left"/>
      <w:pPr>
        <w:ind w:left="0" w:firstLine="0"/>
      </w:pPr>
      <w:rPr>
        <w:rFonts w:hint="default"/>
      </w:rPr>
    </w:lvl>
  </w:abstractNum>
  <w:abstractNum w:abstractNumId="332">
    <w:nsid w:val="FF54C746"/>
    <w:multiLevelType w:val="singleLevel"/>
    <w:tmpl w:val="FF54C746"/>
    <w:lvl w:ilvl="0" w:tentative="0">
      <w:start w:val="1"/>
      <w:numFmt w:val="decimal"/>
      <w:suff w:val="space"/>
      <w:lvlText w:val="1.4.2.%1"/>
      <w:lvlJc w:val="left"/>
      <w:pPr>
        <w:tabs>
          <w:tab w:val="left" w:pos="0"/>
        </w:tabs>
        <w:ind w:left="0" w:firstLine="0"/>
      </w:pPr>
      <w:rPr>
        <w:rFonts w:hint="default"/>
      </w:rPr>
    </w:lvl>
  </w:abstractNum>
  <w:abstractNum w:abstractNumId="333">
    <w:nsid w:val="FFD56ED0"/>
    <w:multiLevelType w:val="singleLevel"/>
    <w:tmpl w:val="FFD56ED0"/>
    <w:lvl w:ilvl="0" w:tentative="0">
      <w:start w:val="1"/>
      <w:numFmt w:val="decimal"/>
      <w:suff w:val="space"/>
      <w:lvlText w:val="1.13.3.%1"/>
      <w:lvlJc w:val="left"/>
      <w:pPr>
        <w:tabs>
          <w:tab w:val="left" w:pos="0"/>
        </w:tabs>
        <w:ind w:left="0" w:firstLine="0"/>
      </w:pPr>
      <w:rPr>
        <w:rFonts w:hint="default"/>
      </w:rPr>
    </w:lvl>
  </w:abstractNum>
  <w:abstractNum w:abstractNumId="334">
    <w:nsid w:val="00000002"/>
    <w:multiLevelType w:val="singleLevel"/>
    <w:tmpl w:val="00000002"/>
    <w:lvl w:ilvl="0" w:tentative="0">
      <w:start w:val="1"/>
      <w:numFmt w:val="decimal"/>
      <w:pStyle w:val="19"/>
      <w:lvlText w:val="%1."/>
      <w:lvlJc w:val="left"/>
      <w:pPr>
        <w:tabs>
          <w:tab w:val="left" w:pos="1200"/>
        </w:tabs>
        <w:ind w:left="1200" w:hanging="360"/>
      </w:pPr>
    </w:lvl>
  </w:abstractNum>
  <w:abstractNum w:abstractNumId="335">
    <w:nsid w:val="00000008"/>
    <w:multiLevelType w:val="multilevel"/>
    <w:tmpl w:val="00000008"/>
    <w:lvl w:ilvl="0" w:tentative="0">
      <w:start w:val="1"/>
      <w:numFmt w:val="chineseCountingThousand"/>
      <w:pStyle w:val="407"/>
      <w:suff w:val="nothing"/>
      <w:lvlText w:val="第%1章"/>
      <w:lvlJc w:val="left"/>
      <w:pPr>
        <w:ind w:left="0" w:firstLine="0"/>
      </w:pPr>
      <w:rPr>
        <w:rFonts w:hint="eastAsia" w:ascii="仿宋_GB2312" w:eastAsia="仿宋_GB2312"/>
        <w:sz w:val="44"/>
      </w:rPr>
    </w:lvl>
    <w:lvl w:ilvl="1" w:tentative="0">
      <w:start w:val="1"/>
      <w:numFmt w:val="none"/>
      <w:pStyle w:val="382"/>
      <w:suff w:val="nothing"/>
      <w:lvlText w:val=""/>
      <w:lvlJc w:val="left"/>
      <w:pPr>
        <w:ind w:left="0" w:firstLine="0"/>
      </w:pPr>
      <w:rPr>
        <w:rFonts w:hint="eastAsia"/>
      </w:rPr>
    </w:lvl>
    <w:lvl w:ilvl="2" w:tentative="0">
      <w:start w:val="1"/>
      <w:numFmt w:val="none"/>
      <w:pStyle w:val="423"/>
      <w:suff w:val="nothing"/>
      <w:lvlText w:val=""/>
      <w:lvlJc w:val="left"/>
      <w:pPr>
        <w:ind w:left="0" w:firstLine="0"/>
      </w:pPr>
      <w:rPr>
        <w:rFonts w:hint="eastAsia"/>
      </w:rPr>
    </w:lvl>
    <w:lvl w:ilvl="3" w:tentative="0">
      <w:start w:val="1"/>
      <w:numFmt w:val="none"/>
      <w:pStyle w:val="422"/>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36">
    <w:nsid w:val="00513BFC"/>
    <w:multiLevelType w:val="singleLevel"/>
    <w:tmpl w:val="00513BFC"/>
    <w:lvl w:ilvl="0" w:tentative="0">
      <w:start w:val="1"/>
      <w:numFmt w:val="decimal"/>
      <w:suff w:val="space"/>
      <w:lvlText w:val="2.%1"/>
      <w:lvlJc w:val="left"/>
      <w:pPr>
        <w:tabs>
          <w:tab w:val="left" w:pos="0"/>
        </w:tabs>
        <w:ind w:left="0" w:firstLine="0"/>
      </w:pPr>
      <w:rPr>
        <w:rFonts w:hint="default"/>
      </w:rPr>
    </w:lvl>
  </w:abstractNum>
  <w:abstractNum w:abstractNumId="337">
    <w:nsid w:val="00826043"/>
    <w:multiLevelType w:val="singleLevel"/>
    <w:tmpl w:val="00826043"/>
    <w:lvl w:ilvl="0" w:tentative="0">
      <w:start w:val="1"/>
      <w:numFmt w:val="decimal"/>
      <w:suff w:val="space"/>
      <w:lvlText w:val="6.%1"/>
      <w:lvlJc w:val="left"/>
      <w:pPr>
        <w:tabs>
          <w:tab w:val="left" w:pos="0"/>
        </w:tabs>
        <w:ind w:left="0" w:firstLine="0"/>
      </w:pPr>
      <w:rPr>
        <w:rFonts w:hint="default"/>
      </w:rPr>
    </w:lvl>
  </w:abstractNum>
  <w:abstractNum w:abstractNumId="338">
    <w:nsid w:val="00BB3C48"/>
    <w:multiLevelType w:val="singleLevel"/>
    <w:tmpl w:val="00BB3C48"/>
    <w:lvl w:ilvl="0" w:tentative="0">
      <w:start w:val="1"/>
      <w:numFmt w:val="decimal"/>
      <w:suff w:val="space"/>
      <w:lvlText w:val="%1)"/>
      <w:lvlJc w:val="left"/>
      <w:pPr>
        <w:ind w:left="0" w:firstLine="480"/>
      </w:pPr>
      <w:rPr>
        <w:rFonts w:hint="default"/>
      </w:rPr>
    </w:lvl>
  </w:abstractNum>
  <w:abstractNum w:abstractNumId="339">
    <w:nsid w:val="01015052"/>
    <w:multiLevelType w:val="singleLevel"/>
    <w:tmpl w:val="01015052"/>
    <w:lvl w:ilvl="0" w:tentative="0">
      <w:start w:val="1"/>
      <w:numFmt w:val="bullet"/>
      <w:lvlText w:val=""/>
      <w:lvlJc w:val="left"/>
      <w:pPr>
        <w:ind w:left="420" w:hanging="420"/>
      </w:pPr>
      <w:rPr>
        <w:rFonts w:hint="default" w:ascii="Wingdings" w:hAnsi="Wingdings"/>
      </w:rPr>
    </w:lvl>
  </w:abstractNum>
  <w:abstractNum w:abstractNumId="340">
    <w:nsid w:val="0121002B"/>
    <w:multiLevelType w:val="singleLevel"/>
    <w:tmpl w:val="0121002B"/>
    <w:lvl w:ilvl="0" w:tentative="0">
      <w:start w:val="1"/>
      <w:numFmt w:val="bullet"/>
      <w:suff w:val="space"/>
      <w:lvlText w:val=""/>
      <w:lvlJc w:val="left"/>
      <w:pPr>
        <w:ind w:left="420" w:hanging="420"/>
      </w:pPr>
      <w:rPr>
        <w:rFonts w:hint="default" w:ascii="Wingdings" w:hAnsi="Wingdings"/>
      </w:rPr>
    </w:lvl>
  </w:abstractNum>
  <w:abstractNum w:abstractNumId="341">
    <w:nsid w:val="014B4F98"/>
    <w:multiLevelType w:val="multilevel"/>
    <w:tmpl w:val="014B4F9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42">
    <w:nsid w:val="02B79921"/>
    <w:multiLevelType w:val="singleLevel"/>
    <w:tmpl w:val="02B79921"/>
    <w:lvl w:ilvl="0" w:tentative="0">
      <w:start w:val="1"/>
      <w:numFmt w:val="bullet"/>
      <w:lvlText w:val=""/>
      <w:lvlJc w:val="left"/>
      <w:pPr>
        <w:ind w:left="420" w:hanging="420"/>
      </w:pPr>
      <w:rPr>
        <w:rFonts w:hint="default" w:ascii="Wingdings" w:hAnsi="Wingdings"/>
        <w:color w:val="auto"/>
      </w:rPr>
    </w:lvl>
  </w:abstractNum>
  <w:abstractNum w:abstractNumId="343">
    <w:nsid w:val="02E7671D"/>
    <w:multiLevelType w:val="singleLevel"/>
    <w:tmpl w:val="02E7671D"/>
    <w:lvl w:ilvl="0" w:tentative="0">
      <w:start w:val="1"/>
      <w:numFmt w:val="decimal"/>
      <w:suff w:val="space"/>
      <w:lvlText w:val="1.18.%1"/>
      <w:lvlJc w:val="left"/>
      <w:pPr>
        <w:tabs>
          <w:tab w:val="left" w:pos="0"/>
        </w:tabs>
        <w:ind w:left="0" w:firstLine="0"/>
      </w:pPr>
      <w:rPr>
        <w:rFonts w:hint="default"/>
      </w:rPr>
    </w:lvl>
  </w:abstractNum>
  <w:abstractNum w:abstractNumId="344">
    <w:nsid w:val="02FA3DF4"/>
    <w:multiLevelType w:val="singleLevel"/>
    <w:tmpl w:val="02FA3DF4"/>
    <w:lvl w:ilvl="0" w:tentative="0">
      <w:start w:val="1"/>
      <w:numFmt w:val="decimal"/>
      <w:suff w:val="space"/>
      <w:lvlText w:val="%1."/>
      <w:lvlJc w:val="left"/>
      <w:pPr>
        <w:ind w:left="0" w:firstLine="0"/>
      </w:pPr>
      <w:rPr>
        <w:rFonts w:hint="default"/>
      </w:rPr>
    </w:lvl>
  </w:abstractNum>
  <w:abstractNum w:abstractNumId="345">
    <w:nsid w:val="02FC5AA5"/>
    <w:multiLevelType w:val="singleLevel"/>
    <w:tmpl w:val="02FC5AA5"/>
    <w:lvl w:ilvl="0" w:tentative="0">
      <w:start w:val="1"/>
      <w:numFmt w:val="decimal"/>
      <w:suff w:val="nothing"/>
      <w:lvlText w:val="%1）"/>
      <w:lvlJc w:val="left"/>
      <w:pPr>
        <w:ind w:left="0" w:firstLine="480"/>
      </w:pPr>
      <w:rPr>
        <w:rFonts w:hint="default"/>
      </w:rPr>
    </w:lvl>
  </w:abstractNum>
  <w:abstractNum w:abstractNumId="346">
    <w:nsid w:val="0328CB07"/>
    <w:multiLevelType w:val="singleLevel"/>
    <w:tmpl w:val="0328CB07"/>
    <w:lvl w:ilvl="0" w:tentative="0">
      <w:start w:val="1"/>
      <w:numFmt w:val="decimal"/>
      <w:suff w:val="space"/>
      <w:lvlText w:val="1.12.4.%1"/>
      <w:lvlJc w:val="left"/>
      <w:pPr>
        <w:tabs>
          <w:tab w:val="left" w:pos="0"/>
        </w:tabs>
        <w:ind w:left="0" w:firstLine="0"/>
      </w:pPr>
      <w:rPr>
        <w:rFonts w:hint="default"/>
      </w:rPr>
    </w:lvl>
  </w:abstractNum>
  <w:abstractNum w:abstractNumId="347">
    <w:nsid w:val="0347CE63"/>
    <w:multiLevelType w:val="multilevel"/>
    <w:tmpl w:val="0347CE63"/>
    <w:lvl w:ilvl="0" w:tentative="0">
      <w:start w:val="1"/>
      <w:numFmt w:val="lowerLetter"/>
      <w:suff w:val="space"/>
      <w:lvlText w:val="%1."/>
      <w:lvlJc w:val="left"/>
      <w:pPr>
        <w:tabs>
          <w:tab w:val="left" w:pos="0"/>
        </w:tabs>
        <w:ind w:left="420" w:firstLine="0"/>
      </w:pPr>
      <w:rPr>
        <w:rFonts w:hint="default"/>
      </w:r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348">
    <w:nsid w:val="03BF25F1"/>
    <w:multiLevelType w:val="singleLevel"/>
    <w:tmpl w:val="03BF25F1"/>
    <w:lvl w:ilvl="0" w:tentative="0">
      <w:start w:val="1"/>
      <w:numFmt w:val="bullet"/>
      <w:lvlText w:val=""/>
      <w:lvlJc w:val="left"/>
      <w:pPr>
        <w:tabs>
          <w:tab w:val="left" w:pos="420"/>
        </w:tabs>
        <w:ind w:left="840" w:hanging="420"/>
      </w:pPr>
      <w:rPr>
        <w:rFonts w:hint="default" w:ascii="Wingdings" w:hAnsi="Wingdings"/>
      </w:rPr>
    </w:lvl>
  </w:abstractNum>
  <w:abstractNum w:abstractNumId="349">
    <w:nsid w:val="04054DE2"/>
    <w:multiLevelType w:val="singleLevel"/>
    <w:tmpl w:val="04054DE2"/>
    <w:lvl w:ilvl="0" w:tentative="0">
      <w:start w:val="1"/>
      <w:numFmt w:val="bullet"/>
      <w:lvlText w:val=""/>
      <w:lvlJc w:val="left"/>
      <w:pPr>
        <w:ind w:left="420" w:hanging="420"/>
      </w:pPr>
      <w:rPr>
        <w:rFonts w:hint="default" w:ascii="Wingdings" w:hAnsi="Wingdings"/>
      </w:rPr>
    </w:lvl>
  </w:abstractNum>
  <w:abstractNum w:abstractNumId="350">
    <w:nsid w:val="0424D89F"/>
    <w:multiLevelType w:val="singleLevel"/>
    <w:tmpl w:val="0424D89F"/>
    <w:lvl w:ilvl="0" w:tentative="0">
      <w:start w:val="1"/>
      <w:numFmt w:val="decimal"/>
      <w:suff w:val="space"/>
      <w:lvlText w:val="%1)"/>
      <w:lvlJc w:val="left"/>
      <w:pPr>
        <w:ind w:left="425" w:hanging="425"/>
      </w:pPr>
      <w:rPr>
        <w:rFonts w:hint="default"/>
      </w:rPr>
    </w:lvl>
  </w:abstractNum>
  <w:abstractNum w:abstractNumId="351">
    <w:nsid w:val="04527FC1"/>
    <w:multiLevelType w:val="singleLevel"/>
    <w:tmpl w:val="04527FC1"/>
    <w:lvl w:ilvl="0" w:tentative="0">
      <w:start w:val="1"/>
      <w:numFmt w:val="decimal"/>
      <w:lvlText w:val="5.%1"/>
      <w:lvlJc w:val="left"/>
      <w:pPr>
        <w:tabs>
          <w:tab w:val="left" w:pos="0"/>
        </w:tabs>
        <w:ind w:left="0" w:firstLine="0"/>
      </w:pPr>
      <w:rPr>
        <w:rFonts w:hint="default" w:ascii="宋体" w:hAnsi="宋体" w:eastAsia="宋体" w:cs="宋体"/>
      </w:rPr>
    </w:lvl>
  </w:abstractNum>
  <w:abstractNum w:abstractNumId="352">
    <w:nsid w:val="05304316"/>
    <w:multiLevelType w:val="singleLevel"/>
    <w:tmpl w:val="05304316"/>
    <w:lvl w:ilvl="0" w:tentative="0">
      <w:start w:val="1"/>
      <w:numFmt w:val="decimal"/>
      <w:suff w:val="space"/>
      <w:lvlText w:val="2.3.%1"/>
      <w:lvlJc w:val="left"/>
      <w:pPr>
        <w:tabs>
          <w:tab w:val="left" w:pos="0"/>
        </w:tabs>
        <w:ind w:left="0" w:firstLine="0"/>
      </w:pPr>
      <w:rPr>
        <w:rFonts w:hint="default"/>
      </w:rPr>
    </w:lvl>
  </w:abstractNum>
  <w:abstractNum w:abstractNumId="353">
    <w:nsid w:val="05822893"/>
    <w:multiLevelType w:val="singleLevel"/>
    <w:tmpl w:val="05822893"/>
    <w:lvl w:ilvl="0" w:tentative="0">
      <w:start w:val="1"/>
      <w:numFmt w:val="decimal"/>
      <w:suff w:val="nothing"/>
      <w:lvlText w:val="%1）"/>
      <w:lvlJc w:val="left"/>
      <w:pPr>
        <w:ind w:left="0" w:firstLine="480"/>
      </w:pPr>
      <w:rPr>
        <w:rFonts w:hint="default"/>
      </w:rPr>
    </w:lvl>
  </w:abstractNum>
  <w:abstractNum w:abstractNumId="354">
    <w:nsid w:val="06C8D285"/>
    <w:multiLevelType w:val="singleLevel"/>
    <w:tmpl w:val="06C8D285"/>
    <w:lvl w:ilvl="0" w:tentative="0">
      <w:start w:val="1"/>
      <w:numFmt w:val="decimal"/>
      <w:suff w:val="space"/>
      <w:lvlText w:val="%1)"/>
      <w:lvlJc w:val="left"/>
      <w:pPr>
        <w:ind w:left="0" w:firstLine="480"/>
      </w:pPr>
      <w:rPr>
        <w:rFonts w:hint="default"/>
      </w:rPr>
    </w:lvl>
  </w:abstractNum>
  <w:abstractNum w:abstractNumId="355">
    <w:nsid w:val="06D4F2CC"/>
    <w:multiLevelType w:val="singleLevel"/>
    <w:tmpl w:val="06D4F2CC"/>
    <w:lvl w:ilvl="0" w:tentative="0">
      <w:start w:val="1"/>
      <w:numFmt w:val="decimal"/>
      <w:suff w:val="space"/>
      <w:lvlText w:val="%1)"/>
      <w:lvlJc w:val="left"/>
      <w:pPr>
        <w:ind w:left="0" w:firstLine="480"/>
      </w:pPr>
      <w:rPr>
        <w:rFonts w:hint="default"/>
      </w:rPr>
    </w:lvl>
  </w:abstractNum>
  <w:abstractNum w:abstractNumId="356">
    <w:nsid w:val="06DD2B89"/>
    <w:multiLevelType w:val="singleLevel"/>
    <w:tmpl w:val="06DD2B89"/>
    <w:lvl w:ilvl="0" w:tentative="0">
      <w:start w:val="1"/>
      <w:numFmt w:val="decimal"/>
      <w:suff w:val="space"/>
      <w:lvlText w:val="%1)"/>
      <w:lvlJc w:val="left"/>
      <w:pPr>
        <w:ind w:left="425" w:hanging="425"/>
      </w:pPr>
      <w:rPr>
        <w:rFonts w:hint="default"/>
      </w:rPr>
    </w:lvl>
  </w:abstractNum>
  <w:abstractNum w:abstractNumId="357">
    <w:nsid w:val="0793999E"/>
    <w:multiLevelType w:val="singleLevel"/>
    <w:tmpl w:val="0793999E"/>
    <w:lvl w:ilvl="0" w:tentative="0">
      <w:start w:val="1"/>
      <w:numFmt w:val="bullet"/>
      <w:lvlText w:val=""/>
      <w:lvlJc w:val="left"/>
      <w:pPr>
        <w:ind w:left="0" w:firstLine="0"/>
      </w:pPr>
      <w:rPr>
        <w:rFonts w:hint="default" w:ascii="Wingdings" w:hAnsi="Wingdings"/>
      </w:rPr>
    </w:lvl>
  </w:abstractNum>
  <w:abstractNum w:abstractNumId="358">
    <w:nsid w:val="07B3361A"/>
    <w:multiLevelType w:val="singleLevel"/>
    <w:tmpl w:val="07B3361A"/>
    <w:lvl w:ilvl="0" w:tentative="0">
      <w:start w:val="1"/>
      <w:numFmt w:val="decimal"/>
      <w:suff w:val="space"/>
      <w:lvlText w:val="%1)"/>
      <w:lvlJc w:val="left"/>
      <w:pPr>
        <w:ind w:left="0" w:firstLine="480"/>
      </w:pPr>
      <w:rPr>
        <w:rFonts w:hint="default"/>
      </w:rPr>
    </w:lvl>
  </w:abstractNum>
  <w:abstractNum w:abstractNumId="359">
    <w:nsid w:val="07EEF7CB"/>
    <w:multiLevelType w:val="singleLevel"/>
    <w:tmpl w:val="07EEF7CB"/>
    <w:lvl w:ilvl="0" w:tentative="0">
      <w:start w:val="1"/>
      <w:numFmt w:val="decimal"/>
      <w:suff w:val="space"/>
      <w:lvlText w:val="1.12.%1"/>
      <w:lvlJc w:val="left"/>
      <w:pPr>
        <w:tabs>
          <w:tab w:val="left" w:pos="0"/>
        </w:tabs>
        <w:ind w:left="0" w:firstLine="0"/>
      </w:pPr>
      <w:rPr>
        <w:rFonts w:hint="default"/>
      </w:rPr>
    </w:lvl>
  </w:abstractNum>
  <w:abstractNum w:abstractNumId="360">
    <w:nsid w:val="087A8E76"/>
    <w:multiLevelType w:val="singleLevel"/>
    <w:tmpl w:val="087A8E76"/>
    <w:lvl w:ilvl="0" w:tentative="0">
      <w:start w:val="1"/>
      <w:numFmt w:val="bullet"/>
      <w:lvlText w:val=""/>
      <w:lvlJc w:val="left"/>
      <w:pPr>
        <w:tabs>
          <w:tab w:val="left" w:pos="420"/>
        </w:tabs>
        <w:ind w:left="840" w:hanging="420"/>
      </w:pPr>
      <w:rPr>
        <w:rFonts w:hint="default" w:ascii="Wingdings" w:hAnsi="Wingdings"/>
      </w:rPr>
    </w:lvl>
  </w:abstractNum>
  <w:abstractNum w:abstractNumId="361">
    <w:nsid w:val="0902410D"/>
    <w:multiLevelType w:val="singleLevel"/>
    <w:tmpl w:val="0902410D"/>
    <w:lvl w:ilvl="0" w:tentative="0">
      <w:start w:val="1"/>
      <w:numFmt w:val="decimal"/>
      <w:suff w:val="space"/>
      <w:lvlText w:val="1.2.%1"/>
      <w:lvlJc w:val="left"/>
      <w:pPr>
        <w:ind w:left="0" w:firstLine="0"/>
      </w:pPr>
      <w:rPr>
        <w:rFonts w:hint="default"/>
      </w:rPr>
    </w:lvl>
  </w:abstractNum>
  <w:abstractNum w:abstractNumId="362">
    <w:nsid w:val="0955287E"/>
    <w:multiLevelType w:val="singleLevel"/>
    <w:tmpl w:val="0955287E"/>
    <w:lvl w:ilvl="0" w:tentative="0">
      <w:start w:val="1"/>
      <w:numFmt w:val="bullet"/>
      <w:lvlText w:val=""/>
      <w:lvlJc w:val="left"/>
      <w:pPr>
        <w:ind w:left="420" w:hanging="420"/>
      </w:pPr>
      <w:rPr>
        <w:rFonts w:hint="default" w:ascii="Wingdings" w:hAnsi="Wingdings"/>
      </w:rPr>
    </w:lvl>
  </w:abstractNum>
  <w:abstractNum w:abstractNumId="363">
    <w:nsid w:val="0A3A32BD"/>
    <w:multiLevelType w:val="singleLevel"/>
    <w:tmpl w:val="0A3A32BD"/>
    <w:lvl w:ilvl="0" w:tentative="0">
      <w:start w:val="1"/>
      <w:numFmt w:val="decimal"/>
      <w:suff w:val="space"/>
      <w:lvlText w:val="30.%1"/>
      <w:lvlJc w:val="left"/>
      <w:pPr>
        <w:tabs>
          <w:tab w:val="left" w:pos="0"/>
        </w:tabs>
        <w:ind w:left="0" w:firstLine="0"/>
      </w:pPr>
      <w:rPr>
        <w:rFonts w:hint="default"/>
      </w:rPr>
    </w:lvl>
  </w:abstractNum>
  <w:abstractNum w:abstractNumId="364">
    <w:nsid w:val="0A604C8E"/>
    <w:multiLevelType w:val="singleLevel"/>
    <w:tmpl w:val="0A604C8E"/>
    <w:lvl w:ilvl="0" w:tentative="0">
      <w:start w:val="1"/>
      <w:numFmt w:val="decimal"/>
      <w:suff w:val="space"/>
      <w:lvlText w:val="%1)"/>
      <w:lvlJc w:val="left"/>
      <w:pPr>
        <w:ind w:left="0" w:firstLine="480"/>
      </w:pPr>
      <w:rPr>
        <w:rFonts w:hint="default"/>
      </w:rPr>
    </w:lvl>
  </w:abstractNum>
  <w:abstractNum w:abstractNumId="365">
    <w:nsid w:val="0A7C023B"/>
    <w:multiLevelType w:val="singleLevel"/>
    <w:tmpl w:val="0A7C023B"/>
    <w:lvl w:ilvl="0" w:tentative="0">
      <w:start w:val="1"/>
      <w:numFmt w:val="decimal"/>
      <w:suff w:val="space"/>
      <w:lvlText w:val="%1)"/>
      <w:lvlJc w:val="left"/>
      <w:pPr>
        <w:ind w:left="0" w:firstLine="480"/>
      </w:pPr>
      <w:rPr>
        <w:rFonts w:hint="default"/>
      </w:rPr>
    </w:lvl>
  </w:abstractNum>
  <w:abstractNum w:abstractNumId="366">
    <w:nsid w:val="0B15636C"/>
    <w:multiLevelType w:val="singleLevel"/>
    <w:tmpl w:val="0B15636C"/>
    <w:lvl w:ilvl="0" w:tentative="0">
      <w:start w:val="1"/>
      <w:numFmt w:val="decimal"/>
      <w:suff w:val="space"/>
      <w:lvlText w:val="1.13.%1"/>
      <w:lvlJc w:val="left"/>
      <w:pPr>
        <w:tabs>
          <w:tab w:val="left" w:pos="0"/>
        </w:tabs>
        <w:ind w:left="0" w:firstLine="0"/>
      </w:pPr>
      <w:rPr>
        <w:rFonts w:hint="default" w:ascii="宋体" w:hAnsi="宋体" w:eastAsia="宋体" w:cs="宋体"/>
      </w:rPr>
    </w:lvl>
  </w:abstractNum>
  <w:abstractNum w:abstractNumId="367">
    <w:nsid w:val="0B6C503B"/>
    <w:multiLevelType w:val="singleLevel"/>
    <w:tmpl w:val="0B6C503B"/>
    <w:lvl w:ilvl="0" w:tentative="0">
      <w:start w:val="1"/>
      <w:numFmt w:val="bullet"/>
      <w:lvlText w:val=""/>
      <w:lvlJc w:val="left"/>
      <w:pPr>
        <w:tabs>
          <w:tab w:val="left" w:pos="420"/>
        </w:tabs>
        <w:ind w:left="840" w:hanging="420"/>
      </w:pPr>
      <w:rPr>
        <w:rFonts w:hint="default" w:ascii="Wingdings" w:hAnsi="Wingdings"/>
      </w:rPr>
    </w:lvl>
  </w:abstractNum>
  <w:abstractNum w:abstractNumId="368">
    <w:nsid w:val="0B8FF6E8"/>
    <w:multiLevelType w:val="multilevel"/>
    <w:tmpl w:val="0B8FF6E8"/>
    <w:lvl w:ilvl="0" w:tentative="0">
      <w:start w:val="1"/>
      <w:numFmt w:val="decimal"/>
      <w:lvlText w:val="1.%1"/>
      <w:lvlJc w:val="left"/>
      <w:pPr>
        <w:tabs>
          <w:tab w:val="left" w:pos="0"/>
        </w:tabs>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69">
    <w:nsid w:val="0BB5C52B"/>
    <w:multiLevelType w:val="singleLevel"/>
    <w:tmpl w:val="0BB5C52B"/>
    <w:lvl w:ilvl="0" w:tentative="0">
      <w:start w:val="1"/>
      <w:numFmt w:val="decimal"/>
      <w:suff w:val="space"/>
      <w:lvlText w:val="%1)"/>
      <w:lvlJc w:val="left"/>
      <w:pPr>
        <w:ind w:left="0" w:firstLine="480"/>
      </w:pPr>
      <w:rPr>
        <w:rFonts w:hint="default"/>
      </w:rPr>
    </w:lvl>
  </w:abstractNum>
  <w:abstractNum w:abstractNumId="370">
    <w:nsid w:val="0C518E93"/>
    <w:multiLevelType w:val="singleLevel"/>
    <w:tmpl w:val="0C518E93"/>
    <w:lvl w:ilvl="0" w:tentative="0">
      <w:start w:val="1"/>
      <w:numFmt w:val="decimal"/>
      <w:suff w:val="space"/>
      <w:lvlText w:val="1.8.%1"/>
      <w:lvlJc w:val="left"/>
      <w:pPr>
        <w:tabs>
          <w:tab w:val="left" w:pos="0"/>
        </w:tabs>
        <w:ind w:left="0" w:firstLine="0"/>
      </w:pPr>
      <w:rPr>
        <w:rFonts w:hint="default"/>
      </w:rPr>
    </w:lvl>
  </w:abstractNum>
  <w:abstractNum w:abstractNumId="371">
    <w:nsid w:val="0C7678A7"/>
    <w:multiLevelType w:val="singleLevel"/>
    <w:tmpl w:val="0C7678A7"/>
    <w:lvl w:ilvl="0" w:tentative="0">
      <w:start w:val="1"/>
      <w:numFmt w:val="decimal"/>
      <w:suff w:val="space"/>
      <w:lvlText w:val="%1)"/>
      <w:lvlJc w:val="left"/>
      <w:pPr>
        <w:ind w:left="0" w:firstLine="480"/>
      </w:pPr>
      <w:rPr>
        <w:rFonts w:hint="default"/>
      </w:rPr>
    </w:lvl>
  </w:abstractNum>
  <w:abstractNum w:abstractNumId="372">
    <w:nsid w:val="0C77917E"/>
    <w:multiLevelType w:val="singleLevel"/>
    <w:tmpl w:val="0C77917E"/>
    <w:lvl w:ilvl="0" w:tentative="0">
      <w:start w:val="1"/>
      <w:numFmt w:val="bullet"/>
      <w:lvlText w:val=""/>
      <w:lvlJc w:val="left"/>
      <w:pPr>
        <w:ind w:left="420" w:hanging="420"/>
      </w:pPr>
      <w:rPr>
        <w:rFonts w:hint="default" w:ascii="Wingdings" w:hAnsi="Wingdings"/>
      </w:rPr>
    </w:lvl>
  </w:abstractNum>
  <w:abstractNum w:abstractNumId="373">
    <w:nsid w:val="0C9FF46F"/>
    <w:multiLevelType w:val="singleLevel"/>
    <w:tmpl w:val="0C9FF46F"/>
    <w:lvl w:ilvl="0" w:tentative="0">
      <w:start w:val="1"/>
      <w:numFmt w:val="bullet"/>
      <w:lvlText w:val=""/>
      <w:lvlJc w:val="left"/>
      <w:pPr>
        <w:ind w:left="420" w:hanging="420"/>
      </w:pPr>
      <w:rPr>
        <w:rFonts w:hint="default" w:ascii="Wingdings" w:hAnsi="Wingdings"/>
      </w:rPr>
    </w:lvl>
  </w:abstractNum>
  <w:abstractNum w:abstractNumId="374">
    <w:nsid w:val="0CB397FE"/>
    <w:multiLevelType w:val="singleLevel"/>
    <w:tmpl w:val="0CB397FE"/>
    <w:lvl w:ilvl="0" w:tentative="0">
      <w:start w:val="1"/>
      <w:numFmt w:val="decimal"/>
      <w:suff w:val="space"/>
      <w:lvlText w:val="%1)"/>
      <w:lvlJc w:val="left"/>
      <w:pPr>
        <w:ind w:left="0" w:firstLine="480"/>
      </w:pPr>
      <w:rPr>
        <w:rFonts w:hint="default"/>
      </w:rPr>
    </w:lvl>
  </w:abstractNum>
  <w:abstractNum w:abstractNumId="375">
    <w:nsid w:val="0D463EC8"/>
    <w:multiLevelType w:val="singleLevel"/>
    <w:tmpl w:val="0D463EC8"/>
    <w:lvl w:ilvl="0" w:tentative="0">
      <w:start w:val="1"/>
      <w:numFmt w:val="decimal"/>
      <w:suff w:val="space"/>
      <w:lvlText w:val="1.7.%1"/>
      <w:lvlJc w:val="left"/>
      <w:pPr>
        <w:tabs>
          <w:tab w:val="left" w:pos="0"/>
        </w:tabs>
        <w:ind w:left="0" w:firstLine="0"/>
      </w:pPr>
      <w:rPr>
        <w:rFonts w:hint="default"/>
      </w:rPr>
    </w:lvl>
  </w:abstractNum>
  <w:abstractNum w:abstractNumId="376">
    <w:nsid w:val="0D5BEB9D"/>
    <w:multiLevelType w:val="singleLevel"/>
    <w:tmpl w:val="0D5BEB9D"/>
    <w:lvl w:ilvl="0" w:tentative="0">
      <w:start w:val="1"/>
      <w:numFmt w:val="decimal"/>
      <w:suff w:val="space"/>
      <w:lvlText w:val="%1)"/>
      <w:lvlJc w:val="left"/>
      <w:pPr>
        <w:ind w:left="0" w:firstLine="480"/>
      </w:pPr>
      <w:rPr>
        <w:rFonts w:hint="default"/>
      </w:rPr>
    </w:lvl>
  </w:abstractNum>
  <w:abstractNum w:abstractNumId="377">
    <w:nsid w:val="0D9FB6C7"/>
    <w:multiLevelType w:val="singleLevel"/>
    <w:tmpl w:val="0D9FB6C7"/>
    <w:lvl w:ilvl="0" w:tentative="0">
      <w:start w:val="1"/>
      <w:numFmt w:val="decimal"/>
      <w:suff w:val="space"/>
      <w:lvlText w:val="1.%1"/>
      <w:lvlJc w:val="left"/>
      <w:pPr>
        <w:tabs>
          <w:tab w:val="left" w:pos="0"/>
        </w:tabs>
        <w:ind w:left="-60" w:firstLine="480"/>
      </w:pPr>
      <w:rPr>
        <w:rFonts w:hint="default" w:ascii="宋体" w:hAnsi="宋体" w:eastAsia="宋体" w:cs="宋体"/>
      </w:rPr>
    </w:lvl>
  </w:abstractNum>
  <w:abstractNum w:abstractNumId="378">
    <w:nsid w:val="0DF20F97"/>
    <w:multiLevelType w:val="singleLevel"/>
    <w:tmpl w:val="0DF20F97"/>
    <w:lvl w:ilvl="0" w:tentative="0">
      <w:start w:val="1"/>
      <w:numFmt w:val="decimal"/>
      <w:suff w:val="space"/>
      <w:lvlText w:val="%1)"/>
      <w:lvlJc w:val="left"/>
      <w:pPr>
        <w:ind w:left="0" w:firstLine="480"/>
      </w:pPr>
      <w:rPr>
        <w:rFonts w:hint="default"/>
      </w:rPr>
    </w:lvl>
  </w:abstractNum>
  <w:abstractNum w:abstractNumId="379">
    <w:nsid w:val="0E166AED"/>
    <w:multiLevelType w:val="singleLevel"/>
    <w:tmpl w:val="0E166AED"/>
    <w:lvl w:ilvl="0" w:tentative="0">
      <w:start w:val="1"/>
      <w:numFmt w:val="decimal"/>
      <w:suff w:val="nothing"/>
      <w:lvlText w:val="%1）"/>
      <w:lvlJc w:val="left"/>
      <w:pPr>
        <w:ind w:left="0" w:firstLine="480"/>
      </w:pPr>
      <w:rPr>
        <w:rFonts w:hint="default"/>
      </w:rPr>
    </w:lvl>
  </w:abstractNum>
  <w:abstractNum w:abstractNumId="380">
    <w:nsid w:val="0E2949E7"/>
    <w:multiLevelType w:val="singleLevel"/>
    <w:tmpl w:val="0E2949E7"/>
    <w:lvl w:ilvl="0" w:tentative="0">
      <w:start w:val="1"/>
      <w:numFmt w:val="decimal"/>
      <w:suff w:val="space"/>
      <w:lvlText w:val="1.16.2.%1"/>
      <w:lvlJc w:val="left"/>
      <w:pPr>
        <w:tabs>
          <w:tab w:val="left" w:pos="0"/>
        </w:tabs>
        <w:ind w:left="0" w:firstLine="0"/>
      </w:pPr>
      <w:rPr>
        <w:rFonts w:hint="default"/>
      </w:rPr>
    </w:lvl>
  </w:abstractNum>
  <w:abstractNum w:abstractNumId="381">
    <w:nsid w:val="0F6372C5"/>
    <w:multiLevelType w:val="singleLevel"/>
    <w:tmpl w:val="0F6372C5"/>
    <w:lvl w:ilvl="0" w:tentative="0">
      <w:start w:val="1"/>
      <w:numFmt w:val="decimal"/>
      <w:suff w:val="space"/>
      <w:lvlText w:val="%1)"/>
      <w:lvlJc w:val="left"/>
      <w:pPr>
        <w:ind w:left="425" w:hanging="425"/>
      </w:pPr>
      <w:rPr>
        <w:rFonts w:hint="default"/>
      </w:rPr>
    </w:lvl>
  </w:abstractNum>
  <w:abstractNum w:abstractNumId="382">
    <w:nsid w:val="0F9B6421"/>
    <w:multiLevelType w:val="singleLevel"/>
    <w:tmpl w:val="0F9B6421"/>
    <w:lvl w:ilvl="0" w:tentative="0">
      <w:start w:val="1"/>
      <w:numFmt w:val="decimal"/>
      <w:suff w:val="space"/>
      <w:lvlText w:val="%1)"/>
      <w:lvlJc w:val="left"/>
      <w:pPr>
        <w:ind w:left="0" w:firstLine="480"/>
      </w:pPr>
      <w:rPr>
        <w:rFonts w:hint="default"/>
      </w:rPr>
    </w:lvl>
  </w:abstractNum>
  <w:abstractNum w:abstractNumId="383">
    <w:nsid w:val="10088609"/>
    <w:multiLevelType w:val="singleLevel"/>
    <w:tmpl w:val="10088609"/>
    <w:lvl w:ilvl="0" w:tentative="0">
      <w:start w:val="1"/>
      <w:numFmt w:val="bullet"/>
      <w:lvlText w:val=""/>
      <w:lvlJc w:val="left"/>
      <w:pPr>
        <w:ind w:left="420" w:hanging="420"/>
      </w:pPr>
      <w:rPr>
        <w:rFonts w:hint="default" w:ascii="Wingdings" w:hAnsi="Wingdings"/>
      </w:rPr>
    </w:lvl>
  </w:abstractNum>
  <w:abstractNum w:abstractNumId="384">
    <w:nsid w:val="1037FDB1"/>
    <w:multiLevelType w:val="singleLevel"/>
    <w:tmpl w:val="1037FDB1"/>
    <w:lvl w:ilvl="0" w:tentative="0">
      <w:start w:val="1"/>
      <w:numFmt w:val="decimal"/>
      <w:suff w:val="space"/>
      <w:lvlText w:val="%1)"/>
      <w:lvlJc w:val="left"/>
      <w:pPr>
        <w:ind w:left="0" w:firstLine="480"/>
      </w:pPr>
      <w:rPr>
        <w:rFonts w:hint="default"/>
      </w:rPr>
    </w:lvl>
  </w:abstractNum>
  <w:abstractNum w:abstractNumId="385">
    <w:nsid w:val="103A71AB"/>
    <w:multiLevelType w:val="multilevel"/>
    <w:tmpl w:val="103A71AB"/>
    <w:lvl w:ilvl="0" w:tentative="0">
      <w:start w:val="1"/>
      <w:numFmt w:val="bullet"/>
      <w:lvlText w:val=""/>
      <w:lvlJc w:val="left"/>
      <w:pPr>
        <w:tabs>
          <w:tab w:val="left" w:pos="0"/>
        </w:tabs>
        <w:ind w:left="0" w:firstLine="0"/>
      </w:pPr>
      <w:rPr>
        <w:rFonts w:hint="default" w:ascii="Wingdings" w:hAnsi="Wingdings"/>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86">
    <w:nsid w:val="108C4C19"/>
    <w:multiLevelType w:val="singleLevel"/>
    <w:tmpl w:val="108C4C19"/>
    <w:lvl w:ilvl="0" w:tentative="0">
      <w:start w:val="1"/>
      <w:numFmt w:val="bullet"/>
      <w:lvlText w:val=""/>
      <w:lvlJc w:val="left"/>
      <w:pPr>
        <w:ind w:left="420" w:hanging="420"/>
      </w:pPr>
      <w:rPr>
        <w:rFonts w:hint="default" w:ascii="Wingdings" w:hAnsi="Wingdings"/>
      </w:rPr>
    </w:lvl>
  </w:abstractNum>
  <w:abstractNum w:abstractNumId="387">
    <w:nsid w:val="10920109"/>
    <w:multiLevelType w:val="singleLevel"/>
    <w:tmpl w:val="10920109"/>
    <w:lvl w:ilvl="0" w:tentative="0">
      <w:start w:val="1"/>
      <w:numFmt w:val="decimal"/>
      <w:suff w:val="space"/>
      <w:lvlText w:val="31.%1"/>
      <w:lvlJc w:val="left"/>
      <w:pPr>
        <w:tabs>
          <w:tab w:val="left" w:pos="0"/>
        </w:tabs>
        <w:ind w:left="0" w:firstLine="0"/>
      </w:pPr>
      <w:rPr>
        <w:rFonts w:hint="default"/>
      </w:rPr>
    </w:lvl>
  </w:abstractNum>
  <w:abstractNum w:abstractNumId="388">
    <w:nsid w:val="10A72A5E"/>
    <w:multiLevelType w:val="singleLevel"/>
    <w:tmpl w:val="10A72A5E"/>
    <w:lvl w:ilvl="0" w:tentative="0">
      <w:start w:val="1"/>
      <w:numFmt w:val="decimal"/>
      <w:suff w:val="space"/>
      <w:lvlText w:val="%1)"/>
      <w:lvlJc w:val="left"/>
      <w:pPr>
        <w:ind w:left="0" w:firstLine="480"/>
      </w:pPr>
      <w:rPr>
        <w:rFonts w:hint="default"/>
      </w:rPr>
    </w:lvl>
  </w:abstractNum>
  <w:abstractNum w:abstractNumId="389">
    <w:nsid w:val="10AE1660"/>
    <w:multiLevelType w:val="singleLevel"/>
    <w:tmpl w:val="10AE1660"/>
    <w:lvl w:ilvl="0" w:tentative="0">
      <w:start w:val="1"/>
      <w:numFmt w:val="decimal"/>
      <w:suff w:val="nothing"/>
      <w:lvlText w:val="%1）"/>
      <w:lvlJc w:val="left"/>
      <w:pPr>
        <w:ind w:left="0" w:firstLine="480"/>
      </w:pPr>
      <w:rPr>
        <w:rFonts w:hint="default"/>
      </w:rPr>
    </w:lvl>
  </w:abstractNum>
  <w:abstractNum w:abstractNumId="390">
    <w:nsid w:val="10EA9833"/>
    <w:multiLevelType w:val="singleLevel"/>
    <w:tmpl w:val="10EA9833"/>
    <w:lvl w:ilvl="0" w:tentative="0">
      <w:start w:val="1"/>
      <w:numFmt w:val="decimal"/>
      <w:suff w:val="space"/>
      <w:lvlText w:val="3.27.%1"/>
      <w:lvlJc w:val="left"/>
      <w:pPr>
        <w:tabs>
          <w:tab w:val="left" w:pos="0"/>
        </w:tabs>
        <w:ind w:left="0" w:firstLine="0"/>
      </w:pPr>
      <w:rPr>
        <w:rFonts w:hint="default" w:ascii="宋体" w:hAnsi="宋体" w:eastAsia="宋体" w:cs="宋体"/>
        <w:sz w:val="24"/>
        <w:szCs w:val="24"/>
      </w:rPr>
    </w:lvl>
  </w:abstractNum>
  <w:abstractNum w:abstractNumId="391">
    <w:nsid w:val="1157E5F3"/>
    <w:multiLevelType w:val="singleLevel"/>
    <w:tmpl w:val="1157E5F3"/>
    <w:lvl w:ilvl="0" w:tentative="0">
      <w:start w:val="1"/>
      <w:numFmt w:val="bullet"/>
      <w:lvlText w:val=""/>
      <w:lvlJc w:val="left"/>
      <w:pPr>
        <w:ind w:left="440" w:hanging="440"/>
      </w:pPr>
      <w:rPr>
        <w:rFonts w:hint="default" w:ascii="Wingdings" w:hAnsi="Wingdings"/>
      </w:rPr>
    </w:lvl>
  </w:abstractNum>
  <w:abstractNum w:abstractNumId="392">
    <w:nsid w:val="115D3C98"/>
    <w:multiLevelType w:val="singleLevel"/>
    <w:tmpl w:val="115D3C98"/>
    <w:lvl w:ilvl="0" w:tentative="0">
      <w:start w:val="1"/>
      <w:numFmt w:val="bullet"/>
      <w:lvlText w:val=""/>
      <w:lvlJc w:val="left"/>
      <w:pPr>
        <w:ind w:left="420" w:hanging="420"/>
      </w:pPr>
      <w:rPr>
        <w:rFonts w:hint="default" w:ascii="Wingdings" w:hAnsi="Wingdings"/>
      </w:rPr>
    </w:lvl>
  </w:abstractNum>
  <w:abstractNum w:abstractNumId="393">
    <w:nsid w:val="11A0FFB0"/>
    <w:multiLevelType w:val="singleLevel"/>
    <w:tmpl w:val="11A0FFB0"/>
    <w:lvl w:ilvl="0" w:tentative="0">
      <w:start w:val="1"/>
      <w:numFmt w:val="decimal"/>
      <w:suff w:val="space"/>
      <w:lvlText w:val="%1)"/>
      <w:lvlJc w:val="left"/>
      <w:pPr>
        <w:ind w:left="0" w:firstLine="480"/>
      </w:pPr>
      <w:rPr>
        <w:rFonts w:hint="default"/>
      </w:rPr>
    </w:lvl>
  </w:abstractNum>
  <w:abstractNum w:abstractNumId="394">
    <w:nsid w:val="13A417D6"/>
    <w:multiLevelType w:val="singleLevel"/>
    <w:tmpl w:val="13A417D6"/>
    <w:lvl w:ilvl="0" w:tentative="0">
      <w:start w:val="1"/>
      <w:numFmt w:val="bullet"/>
      <w:lvlText w:val=""/>
      <w:lvlJc w:val="left"/>
      <w:pPr>
        <w:ind w:left="420" w:hanging="420"/>
      </w:pPr>
      <w:rPr>
        <w:rFonts w:hint="default" w:ascii="Wingdings" w:hAnsi="Wingdings"/>
      </w:rPr>
    </w:lvl>
  </w:abstractNum>
  <w:abstractNum w:abstractNumId="395">
    <w:nsid w:val="13C7E554"/>
    <w:multiLevelType w:val="singleLevel"/>
    <w:tmpl w:val="13C7E554"/>
    <w:lvl w:ilvl="0" w:tentative="0">
      <w:start w:val="1"/>
      <w:numFmt w:val="decimal"/>
      <w:suff w:val="space"/>
      <w:lvlText w:val="%1)"/>
      <w:lvlJc w:val="left"/>
      <w:pPr>
        <w:ind w:left="0" w:firstLine="480"/>
      </w:pPr>
      <w:rPr>
        <w:rFonts w:hint="default"/>
      </w:rPr>
    </w:lvl>
  </w:abstractNum>
  <w:abstractNum w:abstractNumId="396">
    <w:nsid w:val="143725F1"/>
    <w:multiLevelType w:val="multilevel"/>
    <w:tmpl w:val="143725F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97">
    <w:nsid w:val="149D784B"/>
    <w:multiLevelType w:val="singleLevel"/>
    <w:tmpl w:val="149D784B"/>
    <w:lvl w:ilvl="0" w:tentative="0">
      <w:start w:val="1"/>
      <w:numFmt w:val="decimal"/>
      <w:suff w:val="nothing"/>
      <w:lvlText w:val="%1）"/>
      <w:lvlJc w:val="left"/>
      <w:pPr>
        <w:ind w:left="0" w:firstLine="480"/>
      </w:pPr>
      <w:rPr>
        <w:rFonts w:hint="default"/>
      </w:rPr>
    </w:lvl>
  </w:abstractNum>
  <w:abstractNum w:abstractNumId="398">
    <w:nsid w:val="14B2C1F1"/>
    <w:multiLevelType w:val="singleLevel"/>
    <w:tmpl w:val="14B2C1F1"/>
    <w:lvl w:ilvl="0" w:tentative="0">
      <w:start w:val="1"/>
      <w:numFmt w:val="decimal"/>
      <w:suff w:val="space"/>
      <w:lvlText w:val="1.2.%1"/>
      <w:lvlJc w:val="left"/>
      <w:pPr>
        <w:tabs>
          <w:tab w:val="left" w:pos="0"/>
        </w:tabs>
        <w:ind w:left="0" w:firstLine="0"/>
      </w:pPr>
      <w:rPr>
        <w:rFonts w:hint="default"/>
      </w:rPr>
    </w:lvl>
  </w:abstractNum>
  <w:abstractNum w:abstractNumId="399">
    <w:nsid w:val="14FEA476"/>
    <w:multiLevelType w:val="singleLevel"/>
    <w:tmpl w:val="14FEA476"/>
    <w:lvl w:ilvl="0" w:tentative="0">
      <w:start w:val="1"/>
      <w:numFmt w:val="decimal"/>
      <w:suff w:val="nothing"/>
      <w:lvlText w:val="%1）"/>
      <w:lvlJc w:val="left"/>
      <w:pPr>
        <w:ind w:left="0" w:firstLine="480"/>
      </w:pPr>
      <w:rPr>
        <w:rFonts w:hint="default"/>
      </w:rPr>
    </w:lvl>
  </w:abstractNum>
  <w:abstractNum w:abstractNumId="400">
    <w:nsid w:val="151BF31B"/>
    <w:multiLevelType w:val="singleLevel"/>
    <w:tmpl w:val="151BF31B"/>
    <w:lvl w:ilvl="0" w:tentative="0">
      <w:start w:val="1"/>
      <w:numFmt w:val="decimal"/>
      <w:suff w:val="nothing"/>
      <w:lvlText w:val="%1）"/>
      <w:lvlJc w:val="left"/>
      <w:pPr>
        <w:ind w:left="0" w:firstLine="480"/>
      </w:pPr>
      <w:rPr>
        <w:rFonts w:hint="default"/>
      </w:rPr>
    </w:lvl>
  </w:abstractNum>
  <w:abstractNum w:abstractNumId="401">
    <w:nsid w:val="1530B296"/>
    <w:multiLevelType w:val="singleLevel"/>
    <w:tmpl w:val="1530B296"/>
    <w:lvl w:ilvl="0" w:tentative="0">
      <w:start w:val="1"/>
      <w:numFmt w:val="decimal"/>
      <w:suff w:val="space"/>
      <w:lvlText w:val="21.1.%1"/>
      <w:lvlJc w:val="left"/>
      <w:pPr>
        <w:tabs>
          <w:tab w:val="left" w:pos="0"/>
        </w:tabs>
        <w:ind w:left="0" w:firstLine="0"/>
      </w:pPr>
      <w:rPr>
        <w:rFonts w:hint="default"/>
      </w:rPr>
    </w:lvl>
  </w:abstractNum>
  <w:abstractNum w:abstractNumId="402">
    <w:nsid w:val="15C6DF95"/>
    <w:multiLevelType w:val="singleLevel"/>
    <w:tmpl w:val="15C6DF95"/>
    <w:lvl w:ilvl="0" w:tentative="0">
      <w:start w:val="1"/>
      <w:numFmt w:val="decimal"/>
      <w:suff w:val="space"/>
      <w:lvlText w:val="1.%1"/>
      <w:lvlJc w:val="left"/>
      <w:pPr>
        <w:tabs>
          <w:tab w:val="left" w:pos="0"/>
        </w:tabs>
        <w:ind w:left="0" w:firstLine="0"/>
      </w:pPr>
      <w:rPr>
        <w:rFonts w:hint="default"/>
      </w:rPr>
    </w:lvl>
  </w:abstractNum>
  <w:abstractNum w:abstractNumId="403">
    <w:nsid w:val="16429555"/>
    <w:multiLevelType w:val="singleLevel"/>
    <w:tmpl w:val="16429555"/>
    <w:lvl w:ilvl="0" w:tentative="0">
      <w:start w:val="1"/>
      <w:numFmt w:val="decimal"/>
      <w:suff w:val="space"/>
      <w:lvlText w:val="%1)"/>
      <w:lvlJc w:val="left"/>
      <w:pPr>
        <w:ind w:left="0" w:firstLine="480"/>
      </w:pPr>
      <w:rPr>
        <w:rFonts w:hint="default"/>
      </w:rPr>
    </w:lvl>
  </w:abstractNum>
  <w:abstractNum w:abstractNumId="404">
    <w:nsid w:val="16A9E976"/>
    <w:multiLevelType w:val="singleLevel"/>
    <w:tmpl w:val="16A9E976"/>
    <w:lvl w:ilvl="0" w:tentative="0">
      <w:start w:val="1"/>
      <w:numFmt w:val="decimal"/>
      <w:suff w:val="space"/>
      <w:lvlText w:val="1.%1"/>
      <w:lvlJc w:val="left"/>
      <w:pPr>
        <w:tabs>
          <w:tab w:val="left" w:pos="0"/>
        </w:tabs>
        <w:ind w:left="-60" w:firstLine="480"/>
      </w:pPr>
      <w:rPr>
        <w:rFonts w:hint="default" w:ascii="宋体" w:hAnsi="宋体" w:eastAsia="宋体" w:cs="宋体"/>
      </w:rPr>
    </w:lvl>
  </w:abstractNum>
  <w:abstractNum w:abstractNumId="405">
    <w:nsid w:val="16B55188"/>
    <w:multiLevelType w:val="singleLevel"/>
    <w:tmpl w:val="16B55188"/>
    <w:lvl w:ilvl="0" w:tentative="0">
      <w:start w:val="1"/>
      <w:numFmt w:val="decimal"/>
      <w:suff w:val="space"/>
      <w:lvlText w:val="1.%1"/>
      <w:lvlJc w:val="left"/>
      <w:pPr>
        <w:tabs>
          <w:tab w:val="left" w:pos="0"/>
        </w:tabs>
        <w:ind w:left="0" w:firstLine="480"/>
      </w:pPr>
      <w:rPr>
        <w:rFonts w:hint="default" w:ascii="宋体" w:hAnsi="宋体" w:eastAsia="宋体" w:cs="宋体"/>
      </w:rPr>
    </w:lvl>
  </w:abstractNum>
  <w:abstractNum w:abstractNumId="406">
    <w:nsid w:val="16D168C8"/>
    <w:multiLevelType w:val="singleLevel"/>
    <w:tmpl w:val="16D168C8"/>
    <w:lvl w:ilvl="0" w:tentative="0">
      <w:start w:val="1"/>
      <w:numFmt w:val="decimal"/>
      <w:suff w:val="space"/>
      <w:lvlText w:val="%1)"/>
      <w:lvlJc w:val="left"/>
      <w:pPr>
        <w:ind w:left="425" w:hanging="425"/>
      </w:pPr>
      <w:rPr>
        <w:rFonts w:hint="default"/>
      </w:rPr>
    </w:lvl>
  </w:abstractNum>
  <w:abstractNum w:abstractNumId="407">
    <w:nsid w:val="1710CA4C"/>
    <w:multiLevelType w:val="multilevel"/>
    <w:tmpl w:val="1710CA4C"/>
    <w:lvl w:ilvl="0" w:tentative="0">
      <w:start w:val="1"/>
      <w:numFmt w:val="decimal"/>
      <w:lvlText w:val="7.%1"/>
      <w:lvlJc w:val="left"/>
      <w:pPr>
        <w:tabs>
          <w:tab w:val="left" w:pos="0"/>
        </w:tabs>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8">
    <w:nsid w:val="17C35D58"/>
    <w:multiLevelType w:val="singleLevel"/>
    <w:tmpl w:val="17C35D58"/>
    <w:lvl w:ilvl="0" w:tentative="0">
      <w:start w:val="1"/>
      <w:numFmt w:val="decimal"/>
      <w:suff w:val="space"/>
      <w:lvlText w:val="%1)"/>
      <w:lvlJc w:val="left"/>
      <w:pPr>
        <w:ind w:left="0" w:firstLine="480"/>
      </w:pPr>
      <w:rPr>
        <w:rFonts w:hint="default"/>
      </w:rPr>
    </w:lvl>
  </w:abstractNum>
  <w:abstractNum w:abstractNumId="409">
    <w:nsid w:val="183B8255"/>
    <w:multiLevelType w:val="singleLevel"/>
    <w:tmpl w:val="183B8255"/>
    <w:lvl w:ilvl="0" w:tentative="0">
      <w:start w:val="1"/>
      <w:numFmt w:val="decimal"/>
      <w:suff w:val="space"/>
      <w:lvlText w:val="%1."/>
      <w:lvlJc w:val="left"/>
      <w:pPr>
        <w:ind w:left="0" w:firstLine="0"/>
      </w:pPr>
      <w:rPr>
        <w:rFonts w:hint="default"/>
      </w:rPr>
    </w:lvl>
  </w:abstractNum>
  <w:abstractNum w:abstractNumId="410">
    <w:nsid w:val="188328F3"/>
    <w:multiLevelType w:val="singleLevel"/>
    <w:tmpl w:val="188328F3"/>
    <w:lvl w:ilvl="0" w:tentative="0">
      <w:start w:val="1"/>
      <w:numFmt w:val="decimal"/>
      <w:suff w:val="space"/>
      <w:lvlText w:val="28.%1"/>
      <w:lvlJc w:val="left"/>
      <w:pPr>
        <w:tabs>
          <w:tab w:val="left" w:pos="0"/>
        </w:tabs>
        <w:ind w:left="0" w:firstLine="0"/>
      </w:pPr>
      <w:rPr>
        <w:rFonts w:hint="default"/>
      </w:rPr>
    </w:lvl>
  </w:abstractNum>
  <w:abstractNum w:abstractNumId="411">
    <w:nsid w:val="18CCAECA"/>
    <w:multiLevelType w:val="singleLevel"/>
    <w:tmpl w:val="18CCAECA"/>
    <w:lvl w:ilvl="0" w:tentative="0">
      <w:start w:val="1"/>
      <w:numFmt w:val="decimal"/>
      <w:lvlText w:val="%1."/>
      <w:lvlJc w:val="left"/>
      <w:pPr>
        <w:tabs>
          <w:tab w:val="left" w:pos="0"/>
        </w:tabs>
        <w:ind w:left="0" w:firstLine="0"/>
      </w:pPr>
      <w:rPr>
        <w:rFonts w:hint="default" w:ascii="宋体" w:hAnsi="宋体" w:eastAsia="宋体" w:cs="宋体"/>
      </w:rPr>
    </w:lvl>
  </w:abstractNum>
  <w:abstractNum w:abstractNumId="412">
    <w:nsid w:val="190F3DC1"/>
    <w:multiLevelType w:val="multilevel"/>
    <w:tmpl w:val="190F3DC1"/>
    <w:lvl w:ilvl="0" w:tentative="0">
      <w:start w:val="1"/>
      <w:numFmt w:val="decimal"/>
      <w:suff w:val="space"/>
      <w:lvlText w:val="1.3.%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13">
    <w:nsid w:val="1A14168C"/>
    <w:multiLevelType w:val="singleLevel"/>
    <w:tmpl w:val="1A14168C"/>
    <w:lvl w:ilvl="0" w:tentative="0">
      <w:start w:val="1"/>
      <w:numFmt w:val="decimal"/>
      <w:lvlText w:val="%1)"/>
      <w:lvlJc w:val="left"/>
      <w:pPr>
        <w:ind w:left="425" w:hanging="425"/>
      </w:pPr>
      <w:rPr>
        <w:rFonts w:hint="default"/>
      </w:rPr>
    </w:lvl>
  </w:abstractNum>
  <w:abstractNum w:abstractNumId="414">
    <w:nsid w:val="1AC374A5"/>
    <w:multiLevelType w:val="singleLevel"/>
    <w:tmpl w:val="1AC374A5"/>
    <w:lvl w:ilvl="0" w:tentative="0">
      <w:start w:val="1"/>
      <w:numFmt w:val="decimal"/>
      <w:suff w:val="nothing"/>
      <w:lvlText w:val="%1."/>
      <w:lvlJc w:val="left"/>
      <w:pPr>
        <w:tabs>
          <w:tab w:val="left" w:pos="0"/>
        </w:tabs>
        <w:ind w:left="0" w:firstLine="480"/>
      </w:pPr>
      <w:rPr>
        <w:rFonts w:hint="default" w:ascii="宋体" w:hAnsi="宋体" w:eastAsia="宋体" w:cs="宋体"/>
      </w:rPr>
    </w:lvl>
  </w:abstractNum>
  <w:abstractNum w:abstractNumId="415">
    <w:nsid w:val="1AC99C7A"/>
    <w:multiLevelType w:val="singleLevel"/>
    <w:tmpl w:val="1AC99C7A"/>
    <w:lvl w:ilvl="0" w:tentative="0">
      <w:start w:val="1"/>
      <w:numFmt w:val="decimal"/>
      <w:suff w:val="space"/>
      <w:lvlText w:val="%1)"/>
      <w:lvlJc w:val="left"/>
      <w:pPr>
        <w:ind w:left="0" w:firstLine="480"/>
      </w:pPr>
      <w:rPr>
        <w:rFonts w:hint="default"/>
      </w:rPr>
    </w:lvl>
  </w:abstractNum>
  <w:abstractNum w:abstractNumId="416">
    <w:nsid w:val="1B1E9D70"/>
    <w:multiLevelType w:val="singleLevel"/>
    <w:tmpl w:val="1B1E9D70"/>
    <w:lvl w:ilvl="0" w:tentative="0">
      <w:start w:val="1"/>
      <w:numFmt w:val="decimal"/>
      <w:suff w:val="space"/>
      <w:lvlText w:val="2.2.%1"/>
      <w:lvlJc w:val="left"/>
      <w:pPr>
        <w:tabs>
          <w:tab w:val="left" w:pos="0"/>
        </w:tabs>
        <w:ind w:left="0" w:firstLine="0"/>
      </w:pPr>
      <w:rPr>
        <w:rFonts w:hint="default"/>
      </w:rPr>
    </w:lvl>
  </w:abstractNum>
  <w:abstractNum w:abstractNumId="417">
    <w:nsid w:val="1B52AC23"/>
    <w:multiLevelType w:val="singleLevel"/>
    <w:tmpl w:val="1B52AC23"/>
    <w:lvl w:ilvl="0" w:tentative="0">
      <w:start w:val="1"/>
      <w:numFmt w:val="decimal"/>
      <w:suff w:val="space"/>
      <w:lvlText w:val="%1)"/>
      <w:lvlJc w:val="left"/>
      <w:pPr>
        <w:ind w:left="0" w:firstLine="480"/>
      </w:pPr>
      <w:rPr>
        <w:rFonts w:hint="default"/>
      </w:rPr>
    </w:lvl>
  </w:abstractNum>
  <w:abstractNum w:abstractNumId="418">
    <w:nsid w:val="1C454D5B"/>
    <w:multiLevelType w:val="singleLevel"/>
    <w:tmpl w:val="1C454D5B"/>
    <w:lvl w:ilvl="0" w:tentative="0">
      <w:start w:val="1"/>
      <w:numFmt w:val="decimal"/>
      <w:suff w:val="space"/>
      <w:lvlText w:val="%1)"/>
      <w:lvlJc w:val="left"/>
      <w:pPr>
        <w:ind w:left="425" w:hanging="425"/>
      </w:pPr>
      <w:rPr>
        <w:rFonts w:hint="default" w:ascii="宋体" w:hAnsi="宋体" w:eastAsia="宋体" w:cs="宋体"/>
        <w:color w:val="000000" w:themeColor="text1"/>
        <w14:textFill>
          <w14:solidFill>
            <w14:schemeClr w14:val="tx1"/>
          </w14:solidFill>
        </w14:textFill>
      </w:rPr>
    </w:lvl>
  </w:abstractNum>
  <w:abstractNum w:abstractNumId="419">
    <w:nsid w:val="1D2F9A2E"/>
    <w:multiLevelType w:val="singleLevel"/>
    <w:tmpl w:val="1D2F9A2E"/>
    <w:lvl w:ilvl="0" w:tentative="0">
      <w:start w:val="1"/>
      <w:numFmt w:val="bullet"/>
      <w:suff w:val="space"/>
      <w:lvlText w:val=""/>
      <w:lvlJc w:val="left"/>
      <w:pPr>
        <w:ind w:left="0" w:firstLine="0"/>
      </w:pPr>
      <w:rPr>
        <w:rFonts w:hint="default" w:ascii="Wingdings" w:hAnsi="Wingdings"/>
      </w:rPr>
    </w:lvl>
  </w:abstractNum>
  <w:abstractNum w:abstractNumId="420">
    <w:nsid w:val="1D853475"/>
    <w:multiLevelType w:val="singleLevel"/>
    <w:tmpl w:val="1D853475"/>
    <w:lvl w:ilvl="0" w:tentative="0">
      <w:start w:val="1"/>
      <w:numFmt w:val="decimal"/>
      <w:suff w:val="space"/>
      <w:lvlText w:val="12.%1"/>
      <w:lvlJc w:val="left"/>
      <w:pPr>
        <w:ind w:left="0" w:firstLine="0"/>
      </w:pPr>
      <w:rPr>
        <w:rFonts w:hint="default"/>
      </w:rPr>
    </w:lvl>
  </w:abstractNum>
  <w:abstractNum w:abstractNumId="421">
    <w:nsid w:val="1DDB6E18"/>
    <w:multiLevelType w:val="singleLevel"/>
    <w:tmpl w:val="1DDB6E18"/>
    <w:lvl w:ilvl="0" w:tentative="0">
      <w:start w:val="1"/>
      <w:numFmt w:val="bullet"/>
      <w:suff w:val="space"/>
      <w:lvlText w:val=""/>
      <w:lvlJc w:val="left"/>
      <w:pPr>
        <w:ind w:left="420" w:hanging="137"/>
      </w:pPr>
      <w:rPr>
        <w:rFonts w:hint="default" w:ascii="Wingdings" w:hAnsi="Wingdings"/>
      </w:rPr>
    </w:lvl>
  </w:abstractNum>
  <w:abstractNum w:abstractNumId="422">
    <w:nsid w:val="1E948F51"/>
    <w:multiLevelType w:val="singleLevel"/>
    <w:tmpl w:val="1E948F51"/>
    <w:lvl w:ilvl="0" w:tentative="0">
      <w:start w:val="1"/>
      <w:numFmt w:val="decimal"/>
      <w:suff w:val="nothing"/>
      <w:lvlText w:val="%1)"/>
      <w:lvlJc w:val="left"/>
      <w:pPr>
        <w:ind w:left="454" w:leftChars="0" w:hanging="454" w:firstLineChars="0"/>
      </w:pPr>
      <w:rPr>
        <w:rFonts w:hint="default"/>
      </w:rPr>
    </w:lvl>
  </w:abstractNum>
  <w:abstractNum w:abstractNumId="423">
    <w:nsid w:val="1EA30F0D"/>
    <w:multiLevelType w:val="multilevel"/>
    <w:tmpl w:val="1EA30F0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24">
    <w:nsid w:val="1EB01084"/>
    <w:multiLevelType w:val="singleLevel"/>
    <w:tmpl w:val="1EB01084"/>
    <w:lvl w:ilvl="0" w:tentative="0">
      <w:start w:val="1"/>
      <w:numFmt w:val="decimal"/>
      <w:suff w:val="space"/>
      <w:lvlText w:val="%1)"/>
      <w:lvlJc w:val="left"/>
      <w:pPr>
        <w:ind w:left="0" w:firstLine="480"/>
      </w:pPr>
      <w:rPr>
        <w:rFonts w:hint="default"/>
      </w:rPr>
    </w:lvl>
  </w:abstractNum>
  <w:abstractNum w:abstractNumId="425">
    <w:nsid w:val="1F3F0E0D"/>
    <w:multiLevelType w:val="singleLevel"/>
    <w:tmpl w:val="1F3F0E0D"/>
    <w:lvl w:ilvl="0" w:tentative="0">
      <w:start w:val="1"/>
      <w:numFmt w:val="decimal"/>
      <w:lvlText w:val="%1."/>
      <w:lvlJc w:val="left"/>
      <w:pPr>
        <w:tabs>
          <w:tab w:val="left" w:pos="283"/>
        </w:tabs>
        <w:ind w:left="0" w:firstLine="0"/>
      </w:pPr>
      <w:rPr>
        <w:rFonts w:hint="default" w:ascii="宋体" w:hAnsi="宋体" w:eastAsia="宋体" w:cs="宋体"/>
      </w:rPr>
    </w:lvl>
  </w:abstractNum>
  <w:abstractNum w:abstractNumId="426">
    <w:nsid w:val="1F64A470"/>
    <w:multiLevelType w:val="singleLevel"/>
    <w:tmpl w:val="1F64A470"/>
    <w:lvl w:ilvl="0" w:tentative="0">
      <w:start w:val="1"/>
      <w:numFmt w:val="decimal"/>
      <w:suff w:val="space"/>
      <w:lvlText w:val="1.%1"/>
      <w:lvlJc w:val="left"/>
      <w:pPr>
        <w:tabs>
          <w:tab w:val="left" w:pos="0"/>
        </w:tabs>
        <w:ind w:left="0" w:firstLine="480"/>
      </w:pPr>
      <w:rPr>
        <w:rFonts w:hint="default" w:ascii="宋体" w:hAnsi="宋体" w:eastAsia="宋体" w:cs="宋体"/>
      </w:rPr>
    </w:lvl>
  </w:abstractNum>
  <w:abstractNum w:abstractNumId="427">
    <w:nsid w:val="200FC98A"/>
    <w:multiLevelType w:val="singleLevel"/>
    <w:tmpl w:val="200FC98A"/>
    <w:lvl w:ilvl="0" w:tentative="0">
      <w:start w:val="1"/>
      <w:numFmt w:val="decimal"/>
      <w:suff w:val="nothing"/>
      <w:lvlText w:val="%1）"/>
      <w:lvlJc w:val="left"/>
      <w:pPr>
        <w:ind w:left="0" w:firstLine="480"/>
      </w:pPr>
      <w:rPr>
        <w:rFonts w:hint="default"/>
      </w:rPr>
    </w:lvl>
  </w:abstractNum>
  <w:abstractNum w:abstractNumId="428">
    <w:nsid w:val="202499A5"/>
    <w:multiLevelType w:val="multilevel"/>
    <w:tmpl w:val="202499A5"/>
    <w:lvl w:ilvl="0" w:tentative="0">
      <w:start w:val="1"/>
      <w:numFmt w:val="decimal"/>
      <w:suff w:val="space"/>
      <w:lvlText w:val="1.%1"/>
      <w:lvlJc w:val="left"/>
      <w:pPr>
        <w:tabs>
          <w:tab w:val="left" w:pos="0"/>
        </w:tabs>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9">
    <w:nsid w:val="20B185AF"/>
    <w:multiLevelType w:val="singleLevel"/>
    <w:tmpl w:val="20B185AF"/>
    <w:lvl w:ilvl="0" w:tentative="0">
      <w:start w:val="1"/>
      <w:numFmt w:val="bullet"/>
      <w:suff w:val="space"/>
      <w:lvlText w:val=""/>
      <w:lvlJc w:val="left"/>
      <w:pPr>
        <w:ind w:left="420" w:hanging="420"/>
      </w:pPr>
      <w:rPr>
        <w:rFonts w:hint="default" w:ascii="Wingdings" w:hAnsi="Wingdings"/>
      </w:rPr>
    </w:lvl>
  </w:abstractNum>
  <w:abstractNum w:abstractNumId="430">
    <w:nsid w:val="20CEBA0C"/>
    <w:multiLevelType w:val="singleLevel"/>
    <w:tmpl w:val="20CEBA0C"/>
    <w:lvl w:ilvl="0" w:tentative="0">
      <w:start w:val="1"/>
      <w:numFmt w:val="decimal"/>
      <w:suff w:val="nothing"/>
      <w:lvlText w:val="%1．"/>
      <w:lvlJc w:val="left"/>
      <w:pPr>
        <w:ind w:left="0" w:firstLine="0"/>
      </w:pPr>
      <w:rPr>
        <w:rFonts w:hint="default"/>
        <w:b w:val="0"/>
        <w:bCs w:val="0"/>
      </w:rPr>
    </w:lvl>
  </w:abstractNum>
  <w:abstractNum w:abstractNumId="431">
    <w:nsid w:val="20EAC3E8"/>
    <w:multiLevelType w:val="singleLevel"/>
    <w:tmpl w:val="20EAC3E8"/>
    <w:lvl w:ilvl="0" w:tentative="0">
      <w:start w:val="1"/>
      <w:numFmt w:val="decimal"/>
      <w:suff w:val="space"/>
      <w:lvlText w:val="%1)"/>
      <w:lvlJc w:val="left"/>
      <w:pPr>
        <w:ind w:left="425" w:hanging="425"/>
      </w:pPr>
      <w:rPr>
        <w:rFonts w:hint="default"/>
      </w:rPr>
    </w:lvl>
  </w:abstractNum>
  <w:abstractNum w:abstractNumId="432">
    <w:nsid w:val="21142DBE"/>
    <w:multiLevelType w:val="singleLevel"/>
    <w:tmpl w:val="21142DBE"/>
    <w:lvl w:ilvl="0" w:tentative="0">
      <w:start w:val="1"/>
      <w:numFmt w:val="decimal"/>
      <w:suff w:val="space"/>
      <w:lvlText w:val="%1)"/>
      <w:lvlJc w:val="left"/>
      <w:pPr>
        <w:ind w:left="0" w:firstLine="480"/>
      </w:pPr>
      <w:rPr>
        <w:rFonts w:hint="default"/>
      </w:rPr>
    </w:lvl>
  </w:abstractNum>
  <w:abstractNum w:abstractNumId="433">
    <w:nsid w:val="21601BC5"/>
    <w:multiLevelType w:val="singleLevel"/>
    <w:tmpl w:val="21601BC5"/>
    <w:lvl w:ilvl="0" w:tentative="0">
      <w:start w:val="1"/>
      <w:numFmt w:val="decimal"/>
      <w:suff w:val="space"/>
      <w:lvlText w:val="1.1.%1"/>
      <w:lvlJc w:val="left"/>
      <w:pPr>
        <w:tabs>
          <w:tab w:val="left" w:pos="0"/>
        </w:tabs>
        <w:ind w:left="0" w:firstLine="0"/>
      </w:pPr>
      <w:rPr>
        <w:rFonts w:hint="default"/>
      </w:rPr>
    </w:lvl>
  </w:abstractNum>
  <w:abstractNum w:abstractNumId="434">
    <w:nsid w:val="229DC1C0"/>
    <w:multiLevelType w:val="singleLevel"/>
    <w:tmpl w:val="229DC1C0"/>
    <w:lvl w:ilvl="0" w:tentative="0">
      <w:start w:val="1"/>
      <w:numFmt w:val="decimal"/>
      <w:suff w:val="space"/>
      <w:lvlText w:val="%1)"/>
      <w:lvlJc w:val="left"/>
      <w:pPr>
        <w:ind w:left="0" w:firstLine="480"/>
      </w:pPr>
      <w:rPr>
        <w:rFonts w:hint="default"/>
      </w:rPr>
    </w:lvl>
  </w:abstractNum>
  <w:abstractNum w:abstractNumId="435">
    <w:nsid w:val="22DC4DBC"/>
    <w:multiLevelType w:val="singleLevel"/>
    <w:tmpl w:val="22DC4DBC"/>
    <w:lvl w:ilvl="0" w:tentative="0">
      <w:start w:val="1"/>
      <w:numFmt w:val="bullet"/>
      <w:lvlText w:val=""/>
      <w:lvlJc w:val="left"/>
      <w:pPr>
        <w:ind w:left="420" w:hanging="420"/>
      </w:pPr>
      <w:rPr>
        <w:rFonts w:hint="default" w:ascii="Wingdings" w:hAnsi="Wingdings"/>
      </w:rPr>
    </w:lvl>
  </w:abstractNum>
  <w:abstractNum w:abstractNumId="436">
    <w:nsid w:val="2329E219"/>
    <w:multiLevelType w:val="singleLevel"/>
    <w:tmpl w:val="2329E219"/>
    <w:lvl w:ilvl="0" w:tentative="0">
      <w:start w:val="1"/>
      <w:numFmt w:val="decimal"/>
      <w:suff w:val="space"/>
      <w:lvlText w:val="4.%1"/>
      <w:lvlJc w:val="left"/>
      <w:pPr>
        <w:ind w:left="0" w:firstLine="0"/>
      </w:pPr>
      <w:rPr>
        <w:rFonts w:hint="default"/>
      </w:rPr>
    </w:lvl>
  </w:abstractNum>
  <w:abstractNum w:abstractNumId="437">
    <w:nsid w:val="2348CC60"/>
    <w:multiLevelType w:val="singleLevel"/>
    <w:tmpl w:val="2348CC60"/>
    <w:lvl w:ilvl="0" w:tentative="0">
      <w:start w:val="1"/>
      <w:numFmt w:val="decimal"/>
      <w:suff w:val="space"/>
      <w:lvlText w:val="%1."/>
      <w:lvlJc w:val="left"/>
      <w:pPr>
        <w:ind w:left="0" w:firstLine="0"/>
      </w:pPr>
      <w:rPr>
        <w:rFonts w:hint="default"/>
      </w:rPr>
    </w:lvl>
  </w:abstractNum>
  <w:abstractNum w:abstractNumId="438">
    <w:nsid w:val="2359768D"/>
    <w:multiLevelType w:val="singleLevel"/>
    <w:tmpl w:val="2359768D"/>
    <w:lvl w:ilvl="0" w:tentative="0">
      <w:start w:val="1"/>
      <w:numFmt w:val="bullet"/>
      <w:lvlText w:val=""/>
      <w:lvlJc w:val="left"/>
      <w:pPr>
        <w:ind w:left="420" w:hanging="420"/>
      </w:pPr>
      <w:rPr>
        <w:rFonts w:hint="default" w:ascii="Wingdings" w:hAnsi="Wingdings"/>
      </w:rPr>
    </w:lvl>
  </w:abstractNum>
  <w:abstractNum w:abstractNumId="439">
    <w:nsid w:val="2380B89F"/>
    <w:multiLevelType w:val="singleLevel"/>
    <w:tmpl w:val="2380B89F"/>
    <w:lvl w:ilvl="0" w:tentative="0">
      <w:start w:val="1"/>
      <w:numFmt w:val="bullet"/>
      <w:suff w:val="space"/>
      <w:lvlText w:val=""/>
      <w:lvlJc w:val="left"/>
      <w:pPr>
        <w:ind w:left="420" w:hanging="420"/>
      </w:pPr>
      <w:rPr>
        <w:rFonts w:hint="default" w:ascii="Wingdings" w:hAnsi="Wingdings"/>
      </w:rPr>
    </w:lvl>
  </w:abstractNum>
  <w:abstractNum w:abstractNumId="440">
    <w:nsid w:val="2412A12E"/>
    <w:multiLevelType w:val="singleLevel"/>
    <w:tmpl w:val="2412A12E"/>
    <w:lvl w:ilvl="0" w:tentative="0">
      <w:start w:val="1"/>
      <w:numFmt w:val="decimal"/>
      <w:suff w:val="space"/>
      <w:lvlText w:val="%1)"/>
      <w:lvlJc w:val="left"/>
      <w:pPr>
        <w:ind w:left="425" w:hanging="425"/>
      </w:pPr>
      <w:rPr>
        <w:rFonts w:hint="default"/>
      </w:rPr>
    </w:lvl>
  </w:abstractNum>
  <w:abstractNum w:abstractNumId="441">
    <w:nsid w:val="24546572"/>
    <w:multiLevelType w:val="singleLevel"/>
    <w:tmpl w:val="24546572"/>
    <w:lvl w:ilvl="0" w:tentative="0">
      <w:start w:val="1"/>
      <w:numFmt w:val="bullet"/>
      <w:lvlText w:val=""/>
      <w:lvlJc w:val="left"/>
      <w:pPr>
        <w:ind w:left="420" w:hanging="420"/>
      </w:pPr>
      <w:rPr>
        <w:rFonts w:hint="default" w:ascii="Wingdings" w:hAnsi="Wingdings"/>
      </w:rPr>
    </w:lvl>
  </w:abstractNum>
  <w:abstractNum w:abstractNumId="442">
    <w:nsid w:val="24C0134E"/>
    <w:multiLevelType w:val="multilevel"/>
    <w:tmpl w:val="24C0134E"/>
    <w:lvl w:ilvl="0" w:tentative="0">
      <w:start w:val="1"/>
      <w:numFmt w:val="decimal"/>
      <w:suff w:val="space"/>
      <w:lvlText w:val="1.3.%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43">
    <w:nsid w:val="24DF9AEF"/>
    <w:multiLevelType w:val="multilevel"/>
    <w:tmpl w:val="24DF9AEF"/>
    <w:lvl w:ilvl="0" w:tentative="0">
      <w:start w:val="1"/>
      <w:numFmt w:val="japaneseCounting"/>
      <w:suff w:val="space"/>
      <w:lvlText w:val="%1、"/>
      <w:lvlJc w:val="left"/>
      <w:pPr>
        <w:ind w:left="0" w:firstLine="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44">
    <w:nsid w:val="24E2E9C5"/>
    <w:multiLevelType w:val="singleLevel"/>
    <w:tmpl w:val="24E2E9C5"/>
    <w:lvl w:ilvl="0" w:tentative="0">
      <w:start w:val="1"/>
      <w:numFmt w:val="decimal"/>
      <w:suff w:val="space"/>
      <w:lvlText w:val="5.2.%1"/>
      <w:lvlJc w:val="left"/>
      <w:pPr>
        <w:tabs>
          <w:tab w:val="left" w:pos="0"/>
        </w:tabs>
        <w:ind w:left="0" w:firstLine="0"/>
      </w:pPr>
      <w:rPr>
        <w:rFonts w:hint="default"/>
      </w:rPr>
    </w:lvl>
  </w:abstractNum>
  <w:abstractNum w:abstractNumId="445">
    <w:nsid w:val="25599A3A"/>
    <w:multiLevelType w:val="singleLevel"/>
    <w:tmpl w:val="25599A3A"/>
    <w:lvl w:ilvl="0" w:tentative="0">
      <w:start w:val="1"/>
      <w:numFmt w:val="decimal"/>
      <w:suff w:val="space"/>
      <w:lvlText w:val="%1."/>
      <w:lvlJc w:val="left"/>
      <w:pPr>
        <w:ind w:left="425" w:hanging="425"/>
      </w:pPr>
      <w:rPr>
        <w:rFonts w:hint="default"/>
      </w:rPr>
    </w:lvl>
  </w:abstractNum>
  <w:abstractNum w:abstractNumId="446">
    <w:nsid w:val="25C6F044"/>
    <w:multiLevelType w:val="singleLevel"/>
    <w:tmpl w:val="25C6F044"/>
    <w:lvl w:ilvl="0" w:tentative="0">
      <w:start w:val="1"/>
      <w:numFmt w:val="decimal"/>
      <w:suff w:val="space"/>
      <w:lvlText w:val="%1)"/>
      <w:lvlJc w:val="left"/>
      <w:pPr>
        <w:ind w:left="0" w:firstLine="480"/>
      </w:pPr>
      <w:rPr>
        <w:rFonts w:hint="default"/>
      </w:rPr>
    </w:lvl>
  </w:abstractNum>
  <w:abstractNum w:abstractNumId="447">
    <w:nsid w:val="25CB4081"/>
    <w:multiLevelType w:val="singleLevel"/>
    <w:tmpl w:val="25CB4081"/>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448">
    <w:nsid w:val="26CB9D31"/>
    <w:multiLevelType w:val="singleLevel"/>
    <w:tmpl w:val="26CB9D31"/>
    <w:lvl w:ilvl="0" w:tentative="0">
      <w:start w:val="1"/>
      <w:numFmt w:val="bullet"/>
      <w:suff w:val="space"/>
      <w:lvlText w:val=""/>
      <w:lvlJc w:val="left"/>
      <w:pPr>
        <w:ind w:left="420" w:hanging="137"/>
      </w:pPr>
      <w:rPr>
        <w:rFonts w:hint="default" w:ascii="Wingdings" w:hAnsi="Wingdings"/>
      </w:rPr>
    </w:lvl>
  </w:abstractNum>
  <w:abstractNum w:abstractNumId="449">
    <w:nsid w:val="26D45D42"/>
    <w:multiLevelType w:val="multilevel"/>
    <w:tmpl w:val="26D45D42"/>
    <w:lvl w:ilvl="0" w:tentative="0">
      <w:start w:val="1"/>
      <w:numFmt w:val="lowerLetter"/>
      <w:suff w:val="space"/>
      <w:lvlText w:val="%1."/>
      <w:lvlJc w:val="left"/>
      <w:pPr>
        <w:ind w:left="840" w:hanging="420"/>
      </w:pPr>
      <w:rPr>
        <w:rFonts w:hint="eastAsia"/>
      </w:rPr>
    </w:lvl>
    <w:lvl w:ilvl="1" w:tentative="0">
      <w:start w:val="1"/>
      <w:numFmt w:val="decimalEnclosedCircle"/>
      <w:lvlText w:val="%2、"/>
      <w:lvlJc w:val="left"/>
      <w:pPr>
        <w:tabs>
          <w:tab w:val="left" w:pos="420"/>
        </w:tabs>
        <w:ind w:left="1320" w:hanging="480"/>
      </w:pPr>
      <w:rPr>
        <w:rFonts w:hint="eastAsia"/>
      </w:rPr>
    </w:lvl>
    <w:lvl w:ilvl="2" w:tentative="0">
      <w:start w:val="1"/>
      <w:numFmt w:val="lowerRoman"/>
      <w:lvlText w:val="%3."/>
      <w:lvlJc w:val="right"/>
      <w:pPr>
        <w:tabs>
          <w:tab w:val="left" w:pos="420"/>
        </w:tabs>
        <w:ind w:left="1680" w:hanging="420"/>
      </w:pPr>
      <w:rPr>
        <w:rFonts w:hint="eastAsia"/>
      </w:rPr>
    </w:lvl>
    <w:lvl w:ilvl="3" w:tentative="0">
      <w:start w:val="1"/>
      <w:numFmt w:val="decimal"/>
      <w:lvlText w:val="%4."/>
      <w:lvlJc w:val="left"/>
      <w:pPr>
        <w:tabs>
          <w:tab w:val="left" w:pos="420"/>
        </w:tabs>
        <w:ind w:left="2100" w:hanging="420"/>
      </w:pPr>
      <w:rPr>
        <w:rFonts w:hint="eastAsia"/>
      </w:rPr>
    </w:lvl>
    <w:lvl w:ilvl="4" w:tentative="0">
      <w:start w:val="1"/>
      <w:numFmt w:val="lowerLetter"/>
      <w:lvlText w:val="%5)"/>
      <w:lvlJc w:val="left"/>
      <w:pPr>
        <w:tabs>
          <w:tab w:val="left" w:pos="420"/>
        </w:tabs>
        <w:ind w:left="2520" w:hanging="420"/>
      </w:pPr>
      <w:rPr>
        <w:rFonts w:hint="eastAsia"/>
      </w:rPr>
    </w:lvl>
    <w:lvl w:ilvl="5" w:tentative="0">
      <w:start w:val="1"/>
      <w:numFmt w:val="lowerRoman"/>
      <w:lvlText w:val="%6."/>
      <w:lvlJc w:val="right"/>
      <w:pPr>
        <w:tabs>
          <w:tab w:val="left" w:pos="420"/>
        </w:tabs>
        <w:ind w:left="2940" w:hanging="420"/>
      </w:pPr>
      <w:rPr>
        <w:rFonts w:hint="eastAsia"/>
      </w:rPr>
    </w:lvl>
    <w:lvl w:ilvl="6" w:tentative="0">
      <w:start w:val="1"/>
      <w:numFmt w:val="decimal"/>
      <w:lvlText w:val="%7."/>
      <w:lvlJc w:val="left"/>
      <w:pPr>
        <w:tabs>
          <w:tab w:val="left" w:pos="420"/>
        </w:tabs>
        <w:ind w:left="3360" w:hanging="420"/>
      </w:pPr>
      <w:rPr>
        <w:rFonts w:hint="eastAsia"/>
      </w:rPr>
    </w:lvl>
    <w:lvl w:ilvl="7" w:tentative="0">
      <w:start w:val="1"/>
      <w:numFmt w:val="lowerLetter"/>
      <w:lvlText w:val="%8)"/>
      <w:lvlJc w:val="left"/>
      <w:pPr>
        <w:tabs>
          <w:tab w:val="left" w:pos="420"/>
        </w:tabs>
        <w:ind w:left="3780" w:hanging="420"/>
      </w:pPr>
      <w:rPr>
        <w:rFonts w:hint="eastAsia"/>
      </w:rPr>
    </w:lvl>
    <w:lvl w:ilvl="8" w:tentative="0">
      <w:start w:val="1"/>
      <w:numFmt w:val="lowerRoman"/>
      <w:lvlText w:val="%9."/>
      <w:lvlJc w:val="right"/>
      <w:pPr>
        <w:tabs>
          <w:tab w:val="left" w:pos="420"/>
        </w:tabs>
        <w:ind w:left="4200" w:hanging="420"/>
      </w:pPr>
      <w:rPr>
        <w:rFonts w:hint="eastAsia"/>
      </w:rPr>
    </w:lvl>
  </w:abstractNum>
  <w:abstractNum w:abstractNumId="450">
    <w:nsid w:val="26D91E3B"/>
    <w:multiLevelType w:val="multilevel"/>
    <w:tmpl w:val="26D91E3B"/>
    <w:lvl w:ilvl="0" w:tentative="0">
      <w:start w:val="1"/>
      <w:numFmt w:val="lowerLetter"/>
      <w:lvlText w:val="%1)"/>
      <w:lvlJc w:val="left"/>
      <w:pPr>
        <w:ind w:left="840" w:hanging="420"/>
      </w:pPr>
      <w:rPr>
        <w:rFonts w:hint="default"/>
        <w:strike w:val="0"/>
        <w:dstrike w:val="0"/>
      </w:rPr>
    </w:lvl>
    <w:lvl w:ilvl="1" w:tentative="0">
      <w:start w:val="1"/>
      <w:numFmt w:val="decimal"/>
      <w:lvlText w:val="%2)"/>
      <w:lvlJc w:val="left"/>
      <w:pPr>
        <w:ind w:left="1200" w:hanging="360"/>
      </w:pPr>
      <w:rPr>
        <w:rFonts w:hint="default"/>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51">
    <w:nsid w:val="276C312B"/>
    <w:multiLevelType w:val="singleLevel"/>
    <w:tmpl w:val="276C312B"/>
    <w:lvl w:ilvl="0" w:tentative="0">
      <w:start w:val="1"/>
      <w:numFmt w:val="bullet"/>
      <w:lvlText w:val=""/>
      <w:lvlJc w:val="left"/>
      <w:pPr>
        <w:ind w:left="420" w:hanging="420"/>
      </w:pPr>
      <w:rPr>
        <w:rFonts w:hint="default" w:ascii="Wingdings" w:hAnsi="Wingdings"/>
      </w:rPr>
    </w:lvl>
  </w:abstractNum>
  <w:abstractNum w:abstractNumId="452">
    <w:nsid w:val="27D80B8D"/>
    <w:multiLevelType w:val="singleLevel"/>
    <w:tmpl w:val="27D80B8D"/>
    <w:lvl w:ilvl="0" w:tentative="0">
      <w:start w:val="1"/>
      <w:numFmt w:val="decimal"/>
      <w:suff w:val="space"/>
      <w:lvlText w:val="%1)"/>
      <w:lvlJc w:val="left"/>
      <w:pPr>
        <w:ind w:left="0" w:firstLine="480"/>
      </w:pPr>
      <w:rPr>
        <w:rFonts w:hint="default"/>
      </w:rPr>
    </w:lvl>
  </w:abstractNum>
  <w:abstractNum w:abstractNumId="453">
    <w:nsid w:val="28381FDD"/>
    <w:multiLevelType w:val="singleLevel"/>
    <w:tmpl w:val="28381FDD"/>
    <w:lvl w:ilvl="0" w:tentative="0">
      <w:start w:val="1"/>
      <w:numFmt w:val="bullet"/>
      <w:lvlText w:val=""/>
      <w:lvlJc w:val="left"/>
      <w:pPr>
        <w:ind w:left="420" w:hanging="420"/>
      </w:pPr>
      <w:rPr>
        <w:rFonts w:hint="default" w:ascii="Wingdings" w:hAnsi="Wingdings"/>
      </w:rPr>
    </w:lvl>
  </w:abstractNum>
  <w:abstractNum w:abstractNumId="454">
    <w:nsid w:val="2B896F71"/>
    <w:multiLevelType w:val="multilevel"/>
    <w:tmpl w:val="2B896F7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55">
    <w:nsid w:val="2B8B21C6"/>
    <w:multiLevelType w:val="multilevel"/>
    <w:tmpl w:val="2B8B21C6"/>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56">
    <w:nsid w:val="2BC22576"/>
    <w:multiLevelType w:val="multilevel"/>
    <w:tmpl w:val="2BC22576"/>
    <w:lvl w:ilvl="0" w:tentative="0">
      <w:start w:val="1"/>
      <w:numFmt w:val="lowerLetter"/>
      <w:lvlText w:val="%1)"/>
      <w:lvlJc w:val="left"/>
      <w:pPr>
        <w:ind w:left="840" w:hanging="420"/>
      </w:pPr>
    </w:lvl>
    <w:lvl w:ilvl="1" w:tentative="0">
      <w:start w:val="1"/>
      <w:numFmt w:val="bullet"/>
      <w:suff w:val="space"/>
      <w:lvlText w:val=""/>
      <w:lvlJc w:val="left"/>
      <w:pPr>
        <w:ind w:left="1200" w:hanging="360"/>
      </w:pPr>
      <w:rPr>
        <w:rFonts w:hint="default" w:ascii="Wingdings" w:hAnsi="Wingdings"/>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57">
    <w:nsid w:val="2BD3DD86"/>
    <w:multiLevelType w:val="multilevel"/>
    <w:tmpl w:val="2BD3DD86"/>
    <w:lvl w:ilvl="0" w:tentative="0">
      <w:start w:val="1"/>
      <w:numFmt w:val="decimal"/>
      <w:suff w:val="space"/>
      <w:lvlText w:val="1.%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58">
    <w:nsid w:val="2CA0A97F"/>
    <w:multiLevelType w:val="singleLevel"/>
    <w:tmpl w:val="2CA0A97F"/>
    <w:lvl w:ilvl="0" w:tentative="0">
      <w:start w:val="1"/>
      <w:numFmt w:val="decimal"/>
      <w:suff w:val="space"/>
      <w:lvlText w:val="3.2.%1"/>
      <w:lvlJc w:val="left"/>
      <w:pPr>
        <w:tabs>
          <w:tab w:val="left" w:pos="0"/>
        </w:tabs>
        <w:ind w:left="0" w:firstLine="0"/>
      </w:pPr>
      <w:rPr>
        <w:rFonts w:hint="default"/>
      </w:rPr>
    </w:lvl>
  </w:abstractNum>
  <w:abstractNum w:abstractNumId="459">
    <w:nsid w:val="2CD0A08E"/>
    <w:multiLevelType w:val="singleLevel"/>
    <w:tmpl w:val="2CD0A08E"/>
    <w:lvl w:ilvl="0" w:tentative="0">
      <w:start w:val="1"/>
      <w:numFmt w:val="bullet"/>
      <w:lvlText w:val=""/>
      <w:lvlJc w:val="left"/>
      <w:pPr>
        <w:ind w:left="420" w:hanging="420"/>
      </w:pPr>
      <w:rPr>
        <w:rFonts w:hint="default" w:ascii="Wingdings" w:hAnsi="Wingdings"/>
      </w:rPr>
    </w:lvl>
  </w:abstractNum>
  <w:abstractNum w:abstractNumId="460">
    <w:nsid w:val="2CE062A5"/>
    <w:multiLevelType w:val="singleLevel"/>
    <w:tmpl w:val="2CE062A5"/>
    <w:lvl w:ilvl="0" w:tentative="0">
      <w:start w:val="1"/>
      <w:numFmt w:val="decimal"/>
      <w:suff w:val="space"/>
      <w:lvlText w:val="21.2.%1"/>
      <w:lvlJc w:val="left"/>
      <w:pPr>
        <w:tabs>
          <w:tab w:val="left" w:pos="0"/>
        </w:tabs>
        <w:ind w:left="0" w:firstLine="0"/>
      </w:pPr>
      <w:rPr>
        <w:rFonts w:hint="default"/>
      </w:rPr>
    </w:lvl>
  </w:abstractNum>
  <w:abstractNum w:abstractNumId="461">
    <w:nsid w:val="2CE54F2D"/>
    <w:multiLevelType w:val="singleLevel"/>
    <w:tmpl w:val="2CE54F2D"/>
    <w:lvl w:ilvl="0" w:tentative="0">
      <w:start w:val="1"/>
      <w:numFmt w:val="decimal"/>
      <w:suff w:val="space"/>
      <w:lvlText w:val="%1)"/>
      <w:lvlJc w:val="left"/>
      <w:pPr>
        <w:ind w:left="0" w:firstLine="480"/>
      </w:pPr>
      <w:rPr>
        <w:rFonts w:hint="default"/>
      </w:rPr>
    </w:lvl>
  </w:abstractNum>
  <w:abstractNum w:abstractNumId="462">
    <w:nsid w:val="2D0D6E64"/>
    <w:multiLevelType w:val="multilevel"/>
    <w:tmpl w:val="2D0D6E64"/>
    <w:lvl w:ilvl="0" w:tentative="0">
      <w:start w:val="1"/>
      <w:numFmt w:val="lowerLetter"/>
      <w:suff w:val="space"/>
      <w:lvlText w:val="%1"/>
      <w:lvlJc w:val="left"/>
      <w:pPr>
        <w:tabs>
          <w:tab w:val="left" w:pos="0"/>
        </w:tabs>
        <w:ind w:left="1128" w:hanging="708"/>
      </w:pPr>
      <w:rPr>
        <w:rFonts w:hint="default"/>
      </w:rPr>
    </w:lvl>
    <w:lvl w:ilvl="1" w:tentative="0">
      <w:start w:val="1"/>
      <w:numFmt w:val="bullet"/>
      <w:lvlText w:val=""/>
      <w:lvlJc w:val="left"/>
      <w:pPr>
        <w:tabs>
          <w:tab w:val="left" w:pos="0"/>
        </w:tabs>
        <w:ind w:left="1548" w:hanging="420"/>
      </w:pPr>
      <w:rPr>
        <w:rFonts w:hint="default" w:ascii="Wingdings" w:hAnsi="Wingdings"/>
      </w:rPr>
    </w:lvl>
    <w:lvl w:ilvl="2" w:tentative="0">
      <w:start w:val="1"/>
      <w:numFmt w:val="bullet"/>
      <w:lvlText w:val=""/>
      <w:lvlJc w:val="left"/>
      <w:pPr>
        <w:tabs>
          <w:tab w:val="left" w:pos="0"/>
        </w:tabs>
        <w:ind w:left="1968" w:hanging="420"/>
      </w:pPr>
      <w:rPr>
        <w:rFonts w:hint="default" w:ascii="Wingdings" w:hAnsi="Wingdings"/>
      </w:rPr>
    </w:lvl>
    <w:lvl w:ilvl="3" w:tentative="0">
      <w:start w:val="1"/>
      <w:numFmt w:val="bullet"/>
      <w:lvlText w:val=""/>
      <w:lvlJc w:val="left"/>
      <w:pPr>
        <w:tabs>
          <w:tab w:val="left" w:pos="0"/>
        </w:tabs>
        <w:ind w:left="2388" w:hanging="420"/>
      </w:pPr>
      <w:rPr>
        <w:rFonts w:hint="default" w:ascii="Wingdings" w:hAnsi="Wingdings"/>
      </w:rPr>
    </w:lvl>
    <w:lvl w:ilvl="4" w:tentative="0">
      <w:start w:val="1"/>
      <w:numFmt w:val="bullet"/>
      <w:lvlText w:val=""/>
      <w:lvlJc w:val="left"/>
      <w:pPr>
        <w:tabs>
          <w:tab w:val="left" w:pos="0"/>
        </w:tabs>
        <w:ind w:left="2808" w:hanging="420"/>
      </w:pPr>
      <w:rPr>
        <w:rFonts w:hint="default" w:ascii="Wingdings" w:hAnsi="Wingdings"/>
      </w:rPr>
    </w:lvl>
    <w:lvl w:ilvl="5" w:tentative="0">
      <w:start w:val="1"/>
      <w:numFmt w:val="bullet"/>
      <w:lvlText w:val=""/>
      <w:lvlJc w:val="left"/>
      <w:pPr>
        <w:tabs>
          <w:tab w:val="left" w:pos="0"/>
        </w:tabs>
        <w:ind w:left="3228" w:hanging="420"/>
      </w:pPr>
      <w:rPr>
        <w:rFonts w:hint="default" w:ascii="Wingdings" w:hAnsi="Wingdings"/>
      </w:rPr>
    </w:lvl>
    <w:lvl w:ilvl="6" w:tentative="0">
      <w:start w:val="1"/>
      <w:numFmt w:val="bullet"/>
      <w:lvlText w:val=""/>
      <w:lvlJc w:val="left"/>
      <w:pPr>
        <w:tabs>
          <w:tab w:val="left" w:pos="0"/>
        </w:tabs>
        <w:ind w:left="3648" w:hanging="420"/>
      </w:pPr>
      <w:rPr>
        <w:rFonts w:hint="default" w:ascii="Wingdings" w:hAnsi="Wingdings"/>
      </w:rPr>
    </w:lvl>
    <w:lvl w:ilvl="7" w:tentative="0">
      <w:start w:val="1"/>
      <w:numFmt w:val="bullet"/>
      <w:lvlText w:val=""/>
      <w:lvlJc w:val="left"/>
      <w:pPr>
        <w:tabs>
          <w:tab w:val="left" w:pos="0"/>
        </w:tabs>
        <w:ind w:left="4068" w:hanging="420"/>
      </w:pPr>
      <w:rPr>
        <w:rFonts w:hint="default" w:ascii="Wingdings" w:hAnsi="Wingdings"/>
      </w:rPr>
    </w:lvl>
    <w:lvl w:ilvl="8" w:tentative="0">
      <w:start w:val="1"/>
      <w:numFmt w:val="bullet"/>
      <w:lvlText w:val=""/>
      <w:lvlJc w:val="left"/>
      <w:pPr>
        <w:tabs>
          <w:tab w:val="left" w:pos="0"/>
        </w:tabs>
        <w:ind w:left="4488" w:hanging="420"/>
      </w:pPr>
      <w:rPr>
        <w:rFonts w:hint="default" w:ascii="Wingdings" w:hAnsi="Wingdings"/>
      </w:rPr>
    </w:lvl>
  </w:abstractNum>
  <w:abstractNum w:abstractNumId="463">
    <w:nsid w:val="2D176EEB"/>
    <w:multiLevelType w:val="singleLevel"/>
    <w:tmpl w:val="2D176EEB"/>
    <w:lvl w:ilvl="0" w:tentative="0">
      <w:start w:val="1"/>
      <w:numFmt w:val="bullet"/>
      <w:lvlText w:val=""/>
      <w:lvlJc w:val="left"/>
      <w:pPr>
        <w:ind w:left="420" w:hanging="420"/>
      </w:pPr>
      <w:rPr>
        <w:rFonts w:hint="default" w:ascii="Wingdings" w:hAnsi="Wingdings"/>
      </w:rPr>
    </w:lvl>
  </w:abstractNum>
  <w:abstractNum w:abstractNumId="464">
    <w:nsid w:val="2D2472C2"/>
    <w:multiLevelType w:val="singleLevel"/>
    <w:tmpl w:val="2D2472C2"/>
    <w:lvl w:ilvl="0" w:tentative="0">
      <w:start w:val="1"/>
      <w:numFmt w:val="decimal"/>
      <w:suff w:val="space"/>
      <w:lvlText w:val="%1)"/>
      <w:lvlJc w:val="left"/>
      <w:pPr>
        <w:ind w:left="0" w:firstLine="480"/>
      </w:pPr>
      <w:rPr>
        <w:rFonts w:hint="default"/>
      </w:rPr>
    </w:lvl>
  </w:abstractNum>
  <w:abstractNum w:abstractNumId="465">
    <w:nsid w:val="2D660B12"/>
    <w:multiLevelType w:val="singleLevel"/>
    <w:tmpl w:val="2D660B12"/>
    <w:lvl w:ilvl="0" w:tentative="0">
      <w:start w:val="1"/>
      <w:numFmt w:val="decimal"/>
      <w:suff w:val="space"/>
      <w:lvlText w:val="%1)"/>
      <w:lvlJc w:val="left"/>
      <w:pPr>
        <w:ind w:left="0" w:firstLine="480"/>
      </w:pPr>
      <w:rPr>
        <w:rFonts w:hint="default"/>
      </w:rPr>
    </w:lvl>
  </w:abstractNum>
  <w:abstractNum w:abstractNumId="466">
    <w:nsid w:val="2E74657D"/>
    <w:multiLevelType w:val="singleLevel"/>
    <w:tmpl w:val="2E74657D"/>
    <w:lvl w:ilvl="0" w:tentative="0">
      <w:start w:val="1"/>
      <w:numFmt w:val="decimal"/>
      <w:suff w:val="space"/>
      <w:lvlText w:val="%1)"/>
      <w:lvlJc w:val="left"/>
      <w:pPr>
        <w:ind w:left="425" w:hanging="425"/>
      </w:pPr>
      <w:rPr>
        <w:rFonts w:hint="default"/>
      </w:rPr>
    </w:lvl>
  </w:abstractNum>
  <w:abstractNum w:abstractNumId="467">
    <w:nsid w:val="2E877F4D"/>
    <w:multiLevelType w:val="singleLevel"/>
    <w:tmpl w:val="2E877F4D"/>
    <w:lvl w:ilvl="0" w:tentative="0">
      <w:start w:val="1"/>
      <w:numFmt w:val="decimal"/>
      <w:suff w:val="space"/>
      <w:lvlText w:val="1.13.5.%1"/>
      <w:lvlJc w:val="left"/>
      <w:pPr>
        <w:tabs>
          <w:tab w:val="left" w:pos="0"/>
        </w:tabs>
        <w:ind w:left="0" w:firstLine="0"/>
      </w:pPr>
      <w:rPr>
        <w:rFonts w:hint="default"/>
      </w:rPr>
    </w:lvl>
  </w:abstractNum>
  <w:abstractNum w:abstractNumId="468">
    <w:nsid w:val="2F23FBE5"/>
    <w:multiLevelType w:val="singleLevel"/>
    <w:tmpl w:val="2F23FBE5"/>
    <w:lvl w:ilvl="0" w:tentative="0">
      <w:start w:val="1"/>
      <w:numFmt w:val="decimal"/>
      <w:suff w:val="nothing"/>
      <w:lvlText w:val="%1）"/>
      <w:lvlJc w:val="left"/>
      <w:pPr>
        <w:ind w:left="0" w:firstLine="480"/>
      </w:pPr>
      <w:rPr>
        <w:rFonts w:hint="default"/>
      </w:rPr>
    </w:lvl>
  </w:abstractNum>
  <w:abstractNum w:abstractNumId="469">
    <w:nsid w:val="2FF3098A"/>
    <w:multiLevelType w:val="singleLevel"/>
    <w:tmpl w:val="2FF3098A"/>
    <w:lvl w:ilvl="0" w:tentative="0">
      <w:start w:val="1"/>
      <w:numFmt w:val="bullet"/>
      <w:lvlText w:val=""/>
      <w:lvlJc w:val="left"/>
      <w:pPr>
        <w:ind w:left="420" w:hanging="420"/>
      </w:pPr>
      <w:rPr>
        <w:rFonts w:hint="default" w:ascii="Wingdings" w:hAnsi="Wingdings"/>
      </w:rPr>
    </w:lvl>
  </w:abstractNum>
  <w:abstractNum w:abstractNumId="470">
    <w:nsid w:val="30938A91"/>
    <w:multiLevelType w:val="singleLevel"/>
    <w:tmpl w:val="30938A91"/>
    <w:lvl w:ilvl="0" w:tentative="0">
      <w:start w:val="1"/>
      <w:numFmt w:val="decimal"/>
      <w:suff w:val="space"/>
      <w:lvlText w:val="5.%1"/>
      <w:lvlJc w:val="left"/>
      <w:pPr>
        <w:ind w:left="0" w:firstLine="0"/>
      </w:pPr>
      <w:rPr>
        <w:rFonts w:hint="default" w:ascii="宋体" w:hAnsi="宋体" w:eastAsia="宋体" w:cstheme="minorEastAsia"/>
        <w:sz w:val="24"/>
        <w:szCs w:val="24"/>
      </w:rPr>
    </w:lvl>
  </w:abstractNum>
  <w:abstractNum w:abstractNumId="471">
    <w:nsid w:val="30A8E693"/>
    <w:multiLevelType w:val="singleLevel"/>
    <w:tmpl w:val="30A8E693"/>
    <w:lvl w:ilvl="0" w:tentative="0">
      <w:start w:val="1"/>
      <w:numFmt w:val="decimal"/>
      <w:suff w:val="space"/>
      <w:lvlText w:val="%1)"/>
      <w:lvlJc w:val="left"/>
      <w:pPr>
        <w:ind w:left="0" w:firstLine="480"/>
      </w:pPr>
      <w:rPr>
        <w:rFonts w:hint="default"/>
      </w:rPr>
    </w:lvl>
  </w:abstractNum>
  <w:abstractNum w:abstractNumId="472">
    <w:nsid w:val="30BEF838"/>
    <w:multiLevelType w:val="singleLevel"/>
    <w:tmpl w:val="30BEF838"/>
    <w:lvl w:ilvl="0" w:tentative="0">
      <w:start w:val="1"/>
      <w:numFmt w:val="bullet"/>
      <w:lvlText w:val=""/>
      <w:lvlJc w:val="left"/>
      <w:pPr>
        <w:ind w:left="420" w:hanging="420"/>
      </w:pPr>
      <w:rPr>
        <w:rFonts w:hint="default" w:ascii="Wingdings" w:hAnsi="Wingdings"/>
      </w:rPr>
    </w:lvl>
  </w:abstractNum>
  <w:abstractNum w:abstractNumId="473">
    <w:nsid w:val="30ED5572"/>
    <w:multiLevelType w:val="singleLevel"/>
    <w:tmpl w:val="30ED5572"/>
    <w:lvl w:ilvl="0" w:tentative="0">
      <w:start w:val="1"/>
      <w:numFmt w:val="decimal"/>
      <w:suff w:val="space"/>
      <w:lvlText w:val="1.19.3.%1"/>
      <w:lvlJc w:val="left"/>
      <w:pPr>
        <w:tabs>
          <w:tab w:val="left" w:pos="0"/>
        </w:tabs>
        <w:ind w:left="0" w:firstLine="0"/>
      </w:pPr>
      <w:rPr>
        <w:rFonts w:hint="default"/>
      </w:rPr>
    </w:lvl>
  </w:abstractNum>
  <w:abstractNum w:abstractNumId="474">
    <w:nsid w:val="310EF765"/>
    <w:multiLevelType w:val="singleLevel"/>
    <w:tmpl w:val="310EF765"/>
    <w:lvl w:ilvl="0" w:tentative="0">
      <w:start w:val="1"/>
      <w:numFmt w:val="decimal"/>
      <w:suff w:val="nothing"/>
      <w:lvlText w:val="%1）"/>
      <w:lvlJc w:val="left"/>
      <w:pPr>
        <w:ind w:left="0" w:firstLine="480"/>
      </w:pPr>
      <w:rPr>
        <w:rFonts w:hint="default"/>
      </w:rPr>
    </w:lvl>
  </w:abstractNum>
  <w:abstractNum w:abstractNumId="475">
    <w:nsid w:val="31122170"/>
    <w:multiLevelType w:val="singleLevel"/>
    <w:tmpl w:val="31122170"/>
    <w:lvl w:ilvl="0" w:tentative="0">
      <w:start w:val="1"/>
      <w:numFmt w:val="decimal"/>
      <w:suff w:val="space"/>
      <w:lvlText w:val="29.%1"/>
      <w:lvlJc w:val="left"/>
      <w:pPr>
        <w:tabs>
          <w:tab w:val="left" w:pos="0"/>
        </w:tabs>
        <w:ind w:left="0" w:firstLine="0"/>
      </w:pPr>
      <w:rPr>
        <w:rFonts w:hint="default"/>
      </w:rPr>
    </w:lvl>
  </w:abstractNum>
  <w:abstractNum w:abstractNumId="476">
    <w:nsid w:val="31B4954F"/>
    <w:multiLevelType w:val="singleLevel"/>
    <w:tmpl w:val="31B4954F"/>
    <w:lvl w:ilvl="0" w:tentative="0">
      <w:start w:val="1"/>
      <w:numFmt w:val="decimal"/>
      <w:suff w:val="space"/>
      <w:lvlText w:val="1.3.%1"/>
      <w:lvlJc w:val="left"/>
      <w:pPr>
        <w:ind w:left="425" w:leftChars="0" w:hanging="425" w:firstLineChars="0"/>
      </w:pPr>
      <w:rPr>
        <w:rFonts w:hint="default"/>
      </w:rPr>
    </w:lvl>
  </w:abstractNum>
  <w:abstractNum w:abstractNumId="477">
    <w:nsid w:val="31BB470B"/>
    <w:multiLevelType w:val="singleLevel"/>
    <w:tmpl w:val="31BB470B"/>
    <w:lvl w:ilvl="0" w:tentative="0">
      <w:start w:val="1"/>
      <w:numFmt w:val="decimal"/>
      <w:suff w:val="space"/>
      <w:lvlText w:val="1.3.%1"/>
      <w:lvlJc w:val="left"/>
      <w:pPr>
        <w:ind w:left="425" w:leftChars="0" w:hanging="425" w:firstLineChars="0"/>
      </w:pPr>
      <w:rPr>
        <w:rFonts w:hint="default"/>
      </w:rPr>
    </w:lvl>
  </w:abstractNum>
  <w:abstractNum w:abstractNumId="478">
    <w:nsid w:val="31D4E4F0"/>
    <w:multiLevelType w:val="singleLevel"/>
    <w:tmpl w:val="31D4E4F0"/>
    <w:lvl w:ilvl="0" w:tentative="0">
      <w:start w:val="1"/>
      <w:numFmt w:val="decimal"/>
      <w:suff w:val="space"/>
      <w:lvlText w:val="%1)"/>
      <w:lvlJc w:val="left"/>
      <w:pPr>
        <w:ind w:left="0" w:firstLine="480"/>
      </w:pPr>
      <w:rPr>
        <w:rFonts w:hint="default"/>
      </w:rPr>
    </w:lvl>
  </w:abstractNum>
  <w:abstractNum w:abstractNumId="479">
    <w:nsid w:val="31DEB6D2"/>
    <w:multiLevelType w:val="singleLevel"/>
    <w:tmpl w:val="31DEB6D2"/>
    <w:lvl w:ilvl="0" w:tentative="0">
      <w:start w:val="1"/>
      <w:numFmt w:val="decimal"/>
      <w:suff w:val="space"/>
      <w:lvlText w:val="%1)"/>
      <w:lvlJc w:val="left"/>
      <w:pPr>
        <w:ind w:left="425" w:hanging="425"/>
      </w:pPr>
      <w:rPr>
        <w:rFonts w:hint="default"/>
      </w:rPr>
    </w:lvl>
  </w:abstractNum>
  <w:abstractNum w:abstractNumId="480">
    <w:nsid w:val="321EDEB7"/>
    <w:multiLevelType w:val="singleLevel"/>
    <w:tmpl w:val="321EDEB7"/>
    <w:lvl w:ilvl="0" w:tentative="0">
      <w:start w:val="1"/>
      <w:numFmt w:val="decimal"/>
      <w:suff w:val="space"/>
      <w:lvlText w:val="%1)"/>
      <w:lvlJc w:val="left"/>
      <w:pPr>
        <w:ind w:left="0" w:firstLine="480"/>
      </w:pPr>
      <w:rPr>
        <w:rFonts w:hint="default"/>
      </w:rPr>
    </w:lvl>
  </w:abstractNum>
  <w:abstractNum w:abstractNumId="481">
    <w:nsid w:val="323697B9"/>
    <w:multiLevelType w:val="singleLevel"/>
    <w:tmpl w:val="323697B9"/>
    <w:lvl w:ilvl="0" w:tentative="0">
      <w:start w:val="1"/>
      <w:numFmt w:val="decimal"/>
      <w:suff w:val="space"/>
      <w:lvlText w:val="3.26.%1"/>
      <w:lvlJc w:val="left"/>
      <w:pPr>
        <w:tabs>
          <w:tab w:val="left" w:pos="0"/>
        </w:tabs>
        <w:ind w:left="0" w:firstLine="0"/>
      </w:pPr>
      <w:rPr>
        <w:rFonts w:hint="default" w:ascii="宋体" w:hAnsi="宋体" w:eastAsia="宋体" w:cs="宋体"/>
        <w:sz w:val="24"/>
        <w:szCs w:val="24"/>
      </w:rPr>
    </w:lvl>
  </w:abstractNum>
  <w:abstractNum w:abstractNumId="482">
    <w:nsid w:val="32B376B1"/>
    <w:multiLevelType w:val="singleLevel"/>
    <w:tmpl w:val="32B376B1"/>
    <w:lvl w:ilvl="0" w:tentative="0">
      <w:start w:val="1"/>
      <w:numFmt w:val="decimal"/>
      <w:suff w:val="space"/>
      <w:lvlText w:val="%1."/>
      <w:lvlJc w:val="left"/>
      <w:pPr>
        <w:tabs>
          <w:tab w:val="left" w:pos="0"/>
        </w:tabs>
        <w:ind w:left="0" w:firstLine="0"/>
      </w:pPr>
      <w:rPr>
        <w:rFonts w:hint="default" w:ascii="宋体" w:hAnsi="宋体" w:eastAsia="宋体" w:cs="宋体"/>
      </w:rPr>
    </w:lvl>
  </w:abstractNum>
  <w:abstractNum w:abstractNumId="483">
    <w:nsid w:val="32F0885B"/>
    <w:multiLevelType w:val="singleLevel"/>
    <w:tmpl w:val="32F0885B"/>
    <w:lvl w:ilvl="0" w:tentative="0">
      <w:start w:val="1"/>
      <w:numFmt w:val="decimal"/>
      <w:suff w:val="space"/>
      <w:lvlText w:val="1.3.%1"/>
      <w:lvlJc w:val="left"/>
      <w:pPr>
        <w:tabs>
          <w:tab w:val="left" w:pos="0"/>
        </w:tabs>
        <w:ind w:left="0" w:firstLine="0"/>
      </w:pPr>
      <w:rPr>
        <w:rFonts w:hint="default"/>
      </w:rPr>
    </w:lvl>
  </w:abstractNum>
  <w:abstractNum w:abstractNumId="484">
    <w:nsid w:val="334C9B1C"/>
    <w:multiLevelType w:val="singleLevel"/>
    <w:tmpl w:val="334C9B1C"/>
    <w:lvl w:ilvl="0" w:tentative="0">
      <w:start w:val="1"/>
      <w:numFmt w:val="decimal"/>
      <w:suff w:val="space"/>
      <w:lvlText w:val="%1)"/>
      <w:lvlJc w:val="left"/>
      <w:pPr>
        <w:ind w:left="0" w:firstLine="480"/>
      </w:pPr>
      <w:rPr>
        <w:rFonts w:hint="default"/>
      </w:rPr>
    </w:lvl>
  </w:abstractNum>
  <w:abstractNum w:abstractNumId="485">
    <w:nsid w:val="335A1215"/>
    <w:multiLevelType w:val="singleLevel"/>
    <w:tmpl w:val="335A1215"/>
    <w:lvl w:ilvl="0" w:tentative="0">
      <w:start w:val="1"/>
      <w:numFmt w:val="decimal"/>
      <w:suff w:val="space"/>
      <w:lvlText w:val="%1)"/>
      <w:lvlJc w:val="left"/>
      <w:pPr>
        <w:ind w:left="0" w:firstLine="480"/>
      </w:pPr>
      <w:rPr>
        <w:rFonts w:hint="default"/>
      </w:rPr>
    </w:lvl>
  </w:abstractNum>
  <w:abstractNum w:abstractNumId="486">
    <w:nsid w:val="33795843"/>
    <w:multiLevelType w:val="singleLevel"/>
    <w:tmpl w:val="33795843"/>
    <w:lvl w:ilvl="0" w:tentative="0">
      <w:start w:val="1"/>
      <w:numFmt w:val="decimal"/>
      <w:suff w:val="space"/>
      <w:lvlText w:val="1.2.%1"/>
      <w:lvlJc w:val="left"/>
      <w:pPr>
        <w:tabs>
          <w:tab w:val="left" w:pos="0"/>
        </w:tabs>
        <w:ind w:left="-60" w:firstLine="480"/>
      </w:pPr>
      <w:rPr>
        <w:rFonts w:hint="default" w:ascii="宋体" w:hAnsi="宋体" w:eastAsia="宋体" w:cs="宋体"/>
      </w:rPr>
    </w:lvl>
  </w:abstractNum>
  <w:abstractNum w:abstractNumId="487">
    <w:nsid w:val="34387ABE"/>
    <w:multiLevelType w:val="multilevel"/>
    <w:tmpl w:val="34387ABE"/>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88">
    <w:nsid w:val="34EFE337"/>
    <w:multiLevelType w:val="multilevel"/>
    <w:tmpl w:val="34EFE337"/>
    <w:lvl w:ilvl="0" w:tentative="0">
      <w:start w:val="1"/>
      <w:numFmt w:val="decimal"/>
      <w:suff w:val="space"/>
      <w:lvlText w:val="3.7.%1"/>
      <w:lvlJc w:val="left"/>
      <w:pPr>
        <w:tabs>
          <w:tab w:val="left" w:pos="0"/>
        </w:tabs>
        <w:ind w:left="420" w:hanging="420"/>
      </w:pPr>
      <w:rPr>
        <w:rFonts w:hint="default" w:ascii="宋体" w:hAnsi="宋体" w:eastAsia="宋体" w:cstheme="minorEastAsia"/>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9">
    <w:nsid w:val="35D79E1D"/>
    <w:multiLevelType w:val="multilevel"/>
    <w:tmpl w:val="35D79E1D"/>
    <w:lvl w:ilvl="0" w:tentative="0">
      <w:start w:val="1"/>
      <w:numFmt w:val="lowerLetter"/>
      <w:suff w:val="space"/>
      <w:lvlText w:val="%1."/>
      <w:lvlJc w:val="left"/>
      <w:pPr>
        <w:ind w:left="420" w:firstLine="0"/>
      </w:pPr>
      <w:rPr>
        <w:rFonts w:hint="default"/>
      </w:r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490">
    <w:nsid w:val="35E4DE37"/>
    <w:multiLevelType w:val="multilevel"/>
    <w:tmpl w:val="35E4DE3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91">
    <w:nsid w:val="36032C78"/>
    <w:multiLevelType w:val="singleLevel"/>
    <w:tmpl w:val="36032C78"/>
    <w:lvl w:ilvl="0" w:tentative="0">
      <w:start w:val="1"/>
      <w:numFmt w:val="decimal"/>
      <w:suff w:val="space"/>
      <w:lvlText w:val="4.8.%1"/>
      <w:lvlJc w:val="left"/>
      <w:pPr>
        <w:tabs>
          <w:tab w:val="left" w:pos="0"/>
        </w:tabs>
        <w:ind w:left="0" w:firstLine="0"/>
      </w:pPr>
      <w:rPr>
        <w:rFonts w:hint="default"/>
      </w:rPr>
    </w:lvl>
  </w:abstractNum>
  <w:abstractNum w:abstractNumId="492">
    <w:nsid w:val="367764D5"/>
    <w:multiLevelType w:val="singleLevel"/>
    <w:tmpl w:val="367764D5"/>
    <w:lvl w:ilvl="0" w:tentative="0">
      <w:start w:val="1"/>
      <w:numFmt w:val="decimal"/>
      <w:suff w:val="space"/>
      <w:lvlText w:val="%1)"/>
      <w:lvlJc w:val="left"/>
      <w:pPr>
        <w:ind w:left="0" w:firstLine="480"/>
      </w:pPr>
      <w:rPr>
        <w:rFonts w:hint="default"/>
      </w:rPr>
    </w:lvl>
  </w:abstractNum>
  <w:abstractNum w:abstractNumId="493">
    <w:nsid w:val="3680EBE7"/>
    <w:multiLevelType w:val="singleLevel"/>
    <w:tmpl w:val="3680EBE7"/>
    <w:lvl w:ilvl="0" w:tentative="0">
      <w:start w:val="1"/>
      <w:numFmt w:val="decimal"/>
      <w:suff w:val="space"/>
      <w:lvlText w:val="%1)"/>
      <w:lvlJc w:val="left"/>
      <w:pPr>
        <w:ind w:left="0" w:firstLine="480"/>
      </w:pPr>
      <w:rPr>
        <w:rFonts w:hint="default"/>
      </w:rPr>
    </w:lvl>
  </w:abstractNum>
  <w:abstractNum w:abstractNumId="494">
    <w:nsid w:val="36ECBEF2"/>
    <w:multiLevelType w:val="singleLevel"/>
    <w:tmpl w:val="36ECBEF2"/>
    <w:lvl w:ilvl="0" w:tentative="0">
      <w:start w:val="1"/>
      <w:numFmt w:val="decimal"/>
      <w:suff w:val="space"/>
      <w:lvlText w:val="6.%1"/>
      <w:lvlJc w:val="left"/>
      <w:pPr>
        <w:ind w:left="0" w:leftChars="0" w:firstLine="0" w:firstLineChars="0"/>
      </w:pPr>
      <w:rPr>
        <w:rFonts w:hint="default" w:ascii="宋体" w:hAnsi="宋体" w:eastAsia="宋体" w:cs="宋体"/>
      </w:rPr>
    </w:lvl>
  </w:abstractNum>
  <w:abstractNum w:abstractNumId="495">
    <w:nsid w:val="37AF09AB"/>
    <w:multiLevelType w:val="singleLevel"/>
    <w:tmpl w:val="37AF09AB"/>
    <w:lvl w:ilvl="0" w:tentative="0">
      <w:start w:val="1"/>
      <w:numFmt w:val="bullet"/>
      <w:suff w:val="nothing"/>
      <w:lvlText w:val=""/>
      <w:lvlJc w:val="left"/>
      <w:pPr>
        <w:ind w:left="420" w:hanging="420"/>
      </w:pPr>
      <w:rPr>
        <w:rFonts w:hint="default" w:ascii="Wingdings" w:hAnsi="Wingdings"/>
      </w:rPr>
    </w:lvl>
  </w:abstractNum>
  <w:abstractNum w:abstractNumId="496">
    <w:nsid w:val="38232524"/>
    <w:multiLevelType w:val="singleLevel"/>
    <w:tmpl w:val="38232524"/>
    <w:lvl w:ilvl="0" w:tentative="0">
      <w:start w:val="1"/>
      <w:numFmt w:val="decimal"/>
      <w:suff w:val="nothing"/>
      <w:lvlText w:val="%1）"/>
      <w:lvlJc w:val="left"/>
      <w:pPr>
        <w:ind w:left="0" w:firstLine="480"/>
      </w:pPr>
      <w:rPr>
        <w:rFonts w:hint="default"/>
      </w:rPr>
    </w:lvl>
  </w:abstractNum>
  <w:abstractNum w:abstractNumId="497">
    <w:nsid w:val="382C56DD"/>
    <w:multiLevelType w:val="multilevel"/>
    <w:tmpl w:val="382C56DD"/>
    <w:lvl w:ilvl="0" w:tentative="0">
      <w:start w:val="1"/>
      <w:numFmt w:val="decimal"/>
      <w:suff w:val="space"/>
      <w:lvlText w:val="%1."/>
      <w:lvlJc w:val="left"/>
      <w:pPr>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98">
    <w:nsid w:val="3883D524"/>
    <w:multiLevelType w:val="singleLevel"/>
    <w:tmpl w:val="3883D524"/>
    <w:lvl w:ilvl="0" w:tentative="0">
      <w:start w:val="1"/>
      <w:numFmt w:val="decimal"/>
      <w:suff w:val="space"/>
      <w:lvlText w:val="%1)"/>
      <w:lvlJc w:val="left"/>
      <w:pPr>
        <w:ind w:left="0" w:firstLine="480"/>
      </w:pPr>
      <w:rPr>
        <w:rFonts w:hint="default"/>
      </w:rPr>
    </w:lvl>
  </w:abstractNum>
  <w:abstractNum w:abstractNumId="499">
    <w:nsid w:val="3A2940A8"/>
    <w:multiLevelType w:val="singleLevel"/>
    <w:tmpl w:val="3A2940A8"/>
    <w:lvl w:ilvl="0" w:tentative="0">
      <w:start w:val="1"/>
      <w:numFmt w:val="bullet"/>
      <w:lvlText w:val=""/>
      <w:lvlJc w:val="left"/>
      <w:pPr>
        <w:tabs>
          <w:tab w:val="left" w:pos="420"/>
        </w:tabs>
        <w:ind w:left="840" w:hanging="420"/>
      </w:pPr>
      <w:rPr>
        <w:rFonts w:hint="default" w:ascii="Wingdings" w:hAnsi="Wingdings"/>
      </w:rPr>
    </w:lvl>
  </w:abstractNum>
  <w:abstractNum w:abstractNumId="500">
    <w:nsid w:val="3A3B37AD"/>
    <w:multiLevelType w:val="multilevel"/>
    <w:tmpl w:val="3A3B37AD"/>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01">
    <w:nsid w:val="3A503BF2"/>
    <w:multiLevelType w:val="singleLevel"/>
    <w:tmpl w:val="3A503BF2"/>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502">
    <w:nsid w:val="3A8782E4"/>
    <w:multiLevelType w:val="singleLevel"/>
    <w:tmpl w:val="3A8782E4"/>
    <w:lvl w:ilvl="0" w:tentative="0">
      <w:start w:val="1"/>
      <w:numFmt w:val="decimal"/>
      <w:suff w:val="space"/>
      <w:lvlText w:val="4.1.%1"/>
      <w:lvlJc w:val="left"/>
      <w:pPr>
        <w:tabs>
          <w:tab w:val="left" w:pos="0"/>
        </w:tabs>
        <w:ind w:left="425" w:hanging="425"/>
      </w:pPr>
      <w:rPr>
        <w:rFonts w:hint="default" w:ascii="宋体" w:hAnsi="宋体" w:eastAsia="宋体" w:cs="宋体"/>
      </w:rPr>
    </w:lvl>
  </w:abstractNum>
  <w:abstractNum w:abstractNumId="503">
    <w:nsid w:val="3ADAC117"/>
    <w:multiLevelType w:val="singleLevel"/>
    <w:tmpl w:val="3ADAC117"/>
    <w:lvl w:ilvl="0" w:tentative="0">
      <w:start w:val="1"/>
      <w:numFmt w:val="decimal"/>
      <w:suff w:val="space"/>
      <w:lvlText w:val="(%1)"/>
      <w:lvlJc w:val="left"/>
      <w:pPr>
        <w:ind w:left="0" w:firstLine="482"/>
      </w:pPr>
      <w:rPr>
        <w:rFonts w:hint="default"/>
      </w:rPr>
    </w:lvl>
  </w:abstractNum>
  <w:abstractNum w:abstractNumId="504">
    <w:nsid w:val="3AE94813"/>
    <w:multiLevelType w:val="singleLevel"/>
    <w:tmpl w:val="3AE94813"/>
    <w:lvl w:ilvl="0" w:tentative="0">
      <w:start w:val="1"/>
      <w:numFmt w:val="decimal"/>
      <w:suff w:val="space"/>
      <w:lvlText w:val="%1)"/>
      <w:lvlJc w:val="left"/>
      <w:pPr>
        <w:ind w:left="425" w:hanging="425"/>
      </w:pPr>
      <w:rPr>
        <w:rFonts w:hint="default"/>
      </w:rPr>
    </w:lvl>
  </w:abstractNum>
  <w:abstractNum w:abstractNumId="505">
    <w:nsid w:val="3BE7B061"/>
    <w:multiLevelType w:val="singleLevel"/>
    <w:tmpl w:val="3BE7B061"/>
    <w:lvl w:ilvl="0" w:tentative="0">
      <w:start w:val="1"/>
      <w:numFmt w:val="decimal"/>
      <w:suff w:val="space"/>
      <w:lvlText w:val="1.2.2.%1"/>
      <w:lvlJc w:val="left"/>
      <w:pPr>
        <w:tabs>
          <w:tab w:val="left" w:pos="0"/>
        </w:tabs>
        <w:ind w:left="0" w:firstLine="0"/>
      </w:pPr>
      <w:rPr>
        <w:rFonts w:hint="default"/>
      </w:rPr>
    </w:lvl>
  </w:abstractNum>
  <w:abstractNum w:abstractNumId="506">
    <w:nsid w:val="3C13E6CB"/>
    <w:multiLevelType w:val="singleLevel"/>
    <w:tmpl w:val="3C13E6CB"/>
    <w:lvl w:ilvl="0" w:tentative="0">
      <w:start w:val="1"/>
      <w:numFmt w:val="decimal"/>
      <w:suff w:val="space"/>
      <w:lvlText w:val="%1)"/>
      <w:lvlJc w:val="left"/>
      <w:pPr>
        <w:ind w:left="0" w:firstLine="482"/>
      </w:pPr>
      <w:rPr>
        <w:rFonts w:hint="default"/>
      </w:rPr>
    </w:lvl>
  </w:abstractNum>
  <w:abstractNum w:abstractNumId="507">
    <w:nsid w:val="3C58BE9C"/>
    <w:multiLevelType w:val="singleLevel"/>
    <w:tmpl w:val="3C58BE9C"/>
    <w:lvl w:ilvl="0" w:tentative="0">
      <w:start w:val="1"/>
      <w:numFmt w:val="decimal"/>
      <w:suff w:val="space"/>
      <w:lvlText w:val="%1)"/>
      <w:lvlJc w:val="left"/>
      <w:pPr>
        <w:ind w:left="0" w:firstLine="480"/>
      </w:pPr>
      <w:rPr>
        <w:rFonts w:hint="default"/>
      </w:rPr>
    </w:lvl>
  </w:abstractNum>
  <w:abstractNum w:abstractNumId="508">
    <w:nsid w:val="3CEFF1B2"/>
    <w:multiLevelType w:val="singleLevel"/>
    <w:tmpl w:val="3CEFF1B2"/>
    <w:lvl w:ilvl="0" w:tentative="0">
      <w:start w:val="1"/>
      <w:numFmt w:val="decimal"/>
      <w:suff w:val="space"/>
      <w:lvlText w:val="%1)"/>
      <w:lvlJc w:val="left"/>
      <w:pPr>
        <w:ind w:left="0" w:firstLine="480"/>
      </w:pPr>
      <w:rPr>
        <w:rFonts w:hint="default"/>
      </w:rPr>
    </w:lvl>
  </w:abstractNum>
  <w:abstractNum w:abstractNumId="509">
    <w:nsid w:val="3D49D18D"/>
    <w:multiLevelType w:val="singleLevel"/>
    <w:tmpl w:val="3D49D18D"/>
    <w:lvl w:ilvl="0" w:tentative="0">
      <w:start w:val="1"/>
      <w:numFmt w:val="decimal"/>
      <w:suff w:val="space"/>
      <w:lvlText w:val="%1)"/>
      <w:lvlJc w:val="left"/>
      <w:pPr>
        <w:ind w:left="0" w:firstLine="480"/>
      </w:pPr>
      <w:rPr>
        <w:rFonts w:hint="default"/>
        <w:b w:val="0"/>
        <w:bCs w:val="0"/>
      </w:rPr>
    </w:lvl>
  </w:abstractNum>
  <w:abstractNum w:abstractNumId="510">
    <w:nsid w:val="3D6CAFF1"/>
    <w:multiLevelType w:val="singleLevel"/>
    <w:tmpl w:val="3D6CAFF1"/>
    <w:lvl w:ilvl="0" w:tentative="0">
      <w:start w:val="1"/>
      <w:numFmt w:val="decimal"/>
      <w:suff w:val="space"/>
      <w:lvlText w:val="%1)"/>
      <w:lvlJc w:val="left"/>
      <w:pPr>
        <w:ind w:left="425" w:hanging="425"/>
      </w:pPr>
      <w:rPr>
        <w:rFonts w:hint="default"/>
      </w:rPr>
    </w:lvl>
  </w:abstractNum>
  <w:abstractNum w:abstractNumId="511">
    <w:nsid w:val="3D96BC53"/>
    <w:multiLevelType w:val="singleLevel"/>
    <w:tmpl w:val="3D96BC53"/>
    <w:lvl w:ilvl="0" w:tentative="0">
      <w:start w:val="1"/>
      <w:numFmt w:val="bullet"/>
      <w:lvlText w:val=""/>
      <w:lvlJc w:val="left"/>
      <w:pPr>
        <w:ind w:left="420" w:hanging="420"/>
      </w:pPr>
      <w:rPr>
        <w:rFonts w:hint="default" w:ascii="Wingdings" w:hAnsi="Wingdings"/>
      </w:rPr>
    </w:lvl>
  </w:abstractNum>
  <w:abstractNum w:abstractNumId="512">
    <w:nsid w:val="3EF8819C"/>
    <w:multiLevelType w:val="singleLevel"/>
    <w:tmpl w:val="3EF8819C"/>
    <w:lvl w:ilvl="0" w:tentative="0">
      <w:start w:val="1"/>
      <w:numFmt w:val="decimal"/>
      <w:suff w:val="space"/>
      <w:lvlText w:val="1.6.3.%1"/>
      <w:lvlJc w:val="left"/>
      <w:pPr>
        <w:tabs>
          <w:tab w:val="left" w:pos="0"/>
        </w:tabs>
        <w:ind w:left="0" w:firstLine="0"/>
      </w:pPr>
      <w:rPr>
        <w:rFonts w:hint="default"/>
      </w:rPr>
    </w:lvl>
  </w:abstractNum>
  <w:abstractNum w:abstractNumId="513">
    <w:nsid w:val="3F2013D1"/>
    <w:multiLevelType w:val="singleLevel"/>
    <w:tmpl w:val="3F2013D1"/>
    <w:lvl w:ilvl="0" w:tentative="0">
      <w:start w:val="1"/>
      <w:numFmt w:val="decimal"/>
      <w:suff w:val="space"/>
      <w:lvlText w:val="%1)"/>
      <w:lvlJc w:val="left"/>
      <w:pPr>
        <w:ind w:left="425" w:hanging="425"/>
      </w:pPr>
      <w:rPr>
        <w:rFonts w:hint="default"/>
      </w:rPr>
    </w:lvl>
  </w:abstractNum>
  <w:abstractNum w:abstractNumId="514">
    <w:nsid w:val="3FBC777E"/>
    <w:multiLevelType w:val="singleLevel"/>
    <w:tmpl w:val="3FBC777E"/>
    <w:lvl w:ilvl="0" w:tentative="0">
      <w:start w:val="1"/>
      <w:numFmt w:val="decimal"/>
      <w:lvlText w:val="%1)"/>
      <w:lvlJc w:val="left"/>
      <w:pPr>
        <w:ind w:left="425" w:hanging="425"/>
      </w:pPr>
      <w:rPr>
        <w:rFonts w:hint="default"/>
      </w:rPr>
    </w:lvl>
  </w:abstractNum>
  <w:abstractNum w:abstractNumId="515">
    <w:nsid w:val="3FBCAE93"/>
    <w:multiLevelType w:val="singleLevel"/>
    <w:tmpl w:val="3FBCAE93"/>
    <w:lvl w:ilvl="0" w:tentative="0">
      <w:start w:val="1"/>
      <w:numFmt w:val="decimal"/>
      <w:suff w:val="space"/>
      <w:lvlText w:val="%1)"/>
      <w:lvlJc w:val="left"/>
      <w:pPr>
        <w:ind w:left="425" w:hanging="425"/>
      </w:pPr>
      <w:rPr>
        <w:rFonts w:hint="default"/>
      </w:rPr>
    </w:lvl>
  </w:abstractNum>
  <w:abstractNum w:abstractNumId="516">
    <w:nsid w:val="3FDD45E9"/>
    <w:multiLevelType w:val="singleLevel"/>
    <w:tmpl w:val="3FDD45E9"/>
    <w:lvl w:ilvl="0" w:tentative="0">
      <w:start w:val="1"/>
      <w:numFmt w:val="decimal"/>
      <w:suff w:val="space"/>
      <w:lvlText w:val="%1)"/>
      <w:lvlJc w:val="left"/>
      <w:pPr>
        <w:ind w:left="0" w:firstLine="480"/>
      </w:pPr>
      <w:rPr>
        <w:rFonts w:hint="default"/>
      </w:rPr>
    </w:lvl>
  </w:abstractNum>
  <w:abstractNum w:abstractNumId="517">
    <w:nsid w:val="3FF5A982"/>
    <w:multiLevelType w:val="singleLevel"/>
    <w:tmpl w:val="3FF5A982"/>
    <w:lvl w:ilvl="0" w:tentative="0">
      <w:start w:val="1"/>
      <w:numFmt w:val="decimal"/>
      <w:suff w:val="space"/>
      <w:lvlText w:val="%1)"/>
      <w:lvlJc w:val="left"/>
      <w:pPr>
        <w:ind w:left="425" w:hanging="425"/>
      </w:pPr>
      <w:rPr>
        <w:rFonts w:hint="default"/>
      </w:rPr>
    </w:lvl>
  </w:abstractNum>
  <w:abstractNum w:abstractNumId="518">
    <w:nsid w:val="400DF0CB"/>
    <w:multiLevelType w:val="singleLevel"/>
    <w:tmpl w:val="400DF0CB"/>
    <w:lvl w:ilvl="0" w:tentative="0">
      <w:start w:val="1"/>
      <w:numFmt w:val="decimal"/>
      <w:suff w:val="space"/>
      <w:lvlText w:val="%1)"/>
      <w:lvlJc w:val="left"/>
      <w:pPr>
        <w:ind w:left="425" w:hanging="425"/>
      </w:pPr>
      <w:rPr>
        <w:rFonts w:hint="default"/>
      </w:rPr>
    </w:lvl>
  </w:abstractNum>
  <w:abstractNum w:abstractNumId="519">
    <w:nsid w:val="40931F82"/>
    <w:multiLevelType w:val="singleLevel"/>
    <w:tmpl w:val="40931F82"/>
    <w:lvl w:ilvl="0" w:tentative="0">
      <w:start w:val="1"/>
      <w:numFmt w:val="decimal"/>
      <w:suff w:val="space"/>
      <w:lvlText w:val="%1)"/>
      <w:lvlJc w:val="left"/>
      <w:pPr>
        <w:ind w:left="0" w:firstLine="480"/>
      </w:pPr>
      <w:rPr>
        <w:rFonts w:hint="default"/>
      </w:rPr>
    </w:lvl>
  </w:abstractNum>
  <w:abstractNum w:abstractNumId="520">
    <w:nsid w:val="409F4B07"/>
    <w:multiLevelType w:val="multilevel"/>
    <w:tmpl w:val="409F4B0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21">
    <w:nsid w:val="40AD2FDD"/>
    <w:multiLevelType w:val="singleLevel"/>
    <w:tmpl w:val="40AD2FDD"/>
    <w:lvl w:ilvl="0" w:tentative="0">
      <w:start w:val="1"/>
      <w:numFmt w:val="bullet"/>
      <w:suff w:val="nothing"/>
      <w:lvlText w:val=""/>
      <w:lvlJc w:val="left"/>
      <w:pPr>
        <w:ind w:left="420" w:hanging="420"/>
      </w:pPr>
      <w:rPr>
        <w:rFonts w:hint="default" w:ascii="Wingdings" w:hAnsi="Wingdings"/>
      </w:rPr>
    </w:lvl>
  </w:abstractNum>
  <w:abstractNum w:abstractNumId="522">
    <w:nsid w:val="40C89C1D"/>
    <w:multiLevelType w:val="singleLevel"/>
    <w:tmpl w:val="40C89C1D"/>
    <w:lvl w:ilvl="0" w:tentative="0">
      <w:start w:val="1"/>
      <w:numFmt w:val="decimal"/>
      <w:suff w:val="space"/>
      <w:lvlText w:val="%1)"/>
      <w:lvlJc w:val="left"/>
      <w:pPr>
        <w:ind w:left="0" w:firstLine="480"/>
      </w:pPr>
      <w:rPr>
        <w:rFonts w:hint="default"/>
      </w:rPr>
    </w:lvl>
  </w:abstractNum>
  <w:abstractNum w:abstractNumId="523">
    <w:nsid w:val="416B90F1"/>
    <w:multiLevelType w:val="multilevel"/>
    <w:tmpl w:val="416B90F1"/>
    <w:lvl w:ilvl="0" w:tentative="0">
      <w:start w:val="1"/>
      <w:numFmt w:val="decimal"/>
      <w:lvlText w:val="1.5.%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4">
    <w:nsid w:val="41C58980"/>
    <w:multiLevelType w:val="singleLevel"/>
    <w:tmpl w:val="41C58980"/>
    <w:lvl w:ilvl="0" w:tentative="0">
      <w:start w:val="1"/>
      <w:numFmt w:val="decimal"/>
      <w:suff w:val="space"/>
      <w:lvlText w:val="%1)"/>
      <w:lvlJc w:val="left"/>
      <w:pPr>
        <w:ind w:left="425" w:hanging="425"/>
      </w:pPr>
      <w:rPr>
        <w:rFonts w:hint="default"/>
      </w:rPr>
    </w:lvl>
  </w:abstractNum>
  <w:abstractNum w:abstractNumId="525">
    <w:nsid w:val="41FEF5A5"/>
    <w:multiLevelType w:val="singleLevel"/>
    <w:tmpl w:val="41FEF5A5"/>
    <w:lvl w:ilvl="0" w:tentative="0">
      <w:start w:val="1"/>
      <w:numFmt w:val="decimal"/>
      <w:suff w:val="space"/>
      <w:lvlText w:val="%1)"/>
      <w:lvlJc w:val="left"/>
      <w:pPr>
        <w:ind w:left="0" w:firstLine="480"/>
      </w:pPr>
      <w:rPr>
        <w:rFonts w:hint="default"/>
      </w:rPr>
    </w:lvl>
  </w:abstractNum>
  <w:abstractNum w:abstractNumId="526">
    <w:nsid w:val="4265A342"/>
    <w:multiLevelType w:val="singleLevel"/>
    <w:tmpl w:val="4265A342"/>
    <w:lvl w:ilvl="0" w:tentative="0">
      <w:start w:val="1"/>
      <w:numFmt w:val="decimal"/>
      <w:suff w:val="space"/>
      <w:lvlText w:val="1.23.%1"/>
      <w:lvlJc w:val="left"/>
      <w:pPr>
        <w:tabs>
          <w:tab w:val="left" w:pos="0"/>
        </w:tabs>
        <w:ind w:left="0" w:firstLine="0"/>
      </w:pPr>
      <w:rPr>
        <w:rFonts w:hint="default"/>
      </w:rPr>
    </w:lvl>
  </w:abstractNum>
  <w:abstractNum w:abstractNumId="527">
    <w:nsid w:val="43124337"/>
    <w:multiLevelType w:val="singleLevel"/>
    <w:tmpl w:val="43124337"/>
    <w:lvl w:ilvl="0" w:tentative="0">
      <w:start w:val="1"/>
      <w:numFmt w:val="decimal"/>
      <w:suff w:val="space"/>
      <w:lvlText w:val="3.12.3.%1"/>
      <w:lvlJc w:val="left"/>
      <w:pPr>
        <w:ind w:left="0" w:firstLine="0"/>
      </w:pPr>
      <w:rPr>
        <w:rFonts w:hint="default"/>
      </w:rPr>
    </w:lvl>
  </w:abstractNum>
  <w:abstractNum w:abstractNumId="528">
    <w:nsid w:val="43280B0A"/>
    <w:multiLevelType w:val="singleLevel"/>
    <w:tmpl w:val="43280B0A"/>
    <w:lvl w:ilvl="0" w:tentative="0">
      <w:start w:val="1"/>
      <w:numFmt w:val="bullet"/>
      <w:lvlText w:val=""/>
      <w:lvlJc w:val="left"/>
      <w:pPr>
        <w:ind w:left="420" w:hanging="420"/>
      </w:pPr>
      <w:rPr>
        <w:rFonts w:hint="default" w:ascii="Wingdings" w:hAnsi="Wingdings"/>
      </w:rPr>
    </w:lvl>
  </w:abstractNum>
  <w:abstractNum w:abstractNumId="529">
    <w:nsid w:val="44B4C852"/>
    <w:multiLevelType w:val="singleLevel"/>
    <w:tmpl w:val="44B4C852"/>
    <w:lvl w:ilvl="0" w:tentative="0">
      <w:start w:val="1"/>
      <w:numFmt w:val="decimal"/>
      <w:suff w:val="nothing"/>
      <w:lvlText w:val="1.%1"/>
      <w:lvlJc w:val="left"/>
      <w:pPr>
        <w:tabs>
          <w:tab w:val="left" w:pos="0"/>
        </w:tabs>
        <w:ind w:left="0" w:firstLine="0"/>
      </w:pPr>
      <w:rPr>
        <w:rFonts w:hint="default"/>
      </w:rPr>
    </w:lvl>
  </w:abstractNum>
  <w:abstractNum w:abstractNumId="530">
    <w:nsid w:val="45BC762B"/>
    <w:multiLevelType w:val="singleLevel"/>
    <w:tmpl w:val="45BC762B"/>
    <w:lvl w:ilvl="0" w:tentative="0">
      <w:start w:val="1"/>
      <w:numFmt w:val="bullet"/>
      <w:suff w:val="nothing"/>
      <w:lvlText w:val=""/>
      <w:lvlJc w:val="left"/>
      <w:pPr>
        <w:ind w:left="420" w:hanging="420"/>
      </w:pPr>
      <w:rPr>
        <w:rFonts w:hint="default" w:ascii="Wingdings" w:hAnsi="Wingdings"/>
      </w:rPr>
    </w:lvl>
  </w:abstractNum>
  <w:abstractNum w:abstractNumId="531">
    <w:nsid w:val="45DDC9A5"/>
    <w:multiLevelType w:val="singleLevel"/>
    <w:tmpl w:val="45DDC9A5"/>
    <w:lvl w:ilvl="0" w:tentative="0">
      <w:start w:val="1"/>
      <w:numFmt w:val="decimal"/>
      <w:suff w:val="nothing"/>
      <w:lvlText w:val="%1）"/>
      <w:lvlJc w:val="left"/>
      <w:pPr>
        <w:ind w:left="0" w:firstLine="480"/>
      </w:pPr>
      <w:rPr>
        <w:rFonts w:hint="default"/>
      </w:rPr>
    </w:lvl>
  </w:abstractNum>
  <w:abstractNum w:abstractNumId="532">
    <w:nsid w:val="466AEC4F"/>
    <w:multiLevelType w:val="singleLevel"/>
    <w:tmpl w:val="466AEC4F"/>
    <w:lvl w:ilvl="0" w:tentative="0">
      <w:start w:val="1"/>
      <w:numFmt w:val="decimal"/>
      <w:suff w:val="space"/>
      <w:lvlText w:val="3.1.%1"/>
      <w:lvlJc w:val="left"/>
      <w:pPr>
        <w:tabs>
          <w:tab w:val="left" w:pos="0"/>
        </w:tabs>
        <w:ind w:left="0" w:firstLine="480"/>
      </w:pPr>
      <w:rPr>
        <w:rFonts w:hint="default" w:ascii="宋体" w:hAnsi="宋体" w:eastAsia="宋体" w:cs="宋体"/>
        <w:sz w:val="24"/>
        <w:szCs w:val="24"/>
      </w:rPr>
    </w:lvl>
  </w:abstractNum>
  <w:abstractNum w:abstractNumId="533">
    <w:nsid w:val="468F1FA0"/>
    <w:multiLevelType w:val="singleLevel"/>
    <w:tmpl w:val="468F1FA0"/>
    <w:lvl w:ilvl="0" w:tentative="0">
      <w:start w:val="1"/>
      <w:numFmt w:val="bullet"/>
      <w:lvlText w:val=""/>
      <w:lvlJc w:val="left"/>
      <w:pPr>
        <w:ind w:left="420" w:hanging="420"/>
      </w:pPr>
      <w:rPr>
        <w:rFonts w:hint="default" w:ascii="Wingdings" w:hAnsi="Wingdings"/>
      </w:rPr>
    </w:lvl>
  </w:abstractNum>
  <w:abstractNum w:abstractNumId="534">
    <w:nsid w:val="4715561B"/>
    <w:multiLevelType w:val="singleLevel"/>
    <w:tmpl w:val="4715561B"/>
    <w:lvl w:ilvl="0" w:tentative="0">
      <w:start w:val="1"/>
      <w:numFmt w:val="decimal"/>
      <w:suff w:val="space"/>
      <w:lvlText w:val="2.4.%1"/>
      <w:lvlJc w:val="left"/>
      <w:pPr>
        <w:tabs>
          <w:tab w:val="left" w:pos="0"/>
        </w:tabs>
        <w:ind w:left="0" w:firstLine="0"/>
      </w:pPr>
      <w:rPr>
        <w:rFonts w:hint="default"/>
      </w:rPr>
    </w:lvl>
  </w:abstractNum>
  <w:abstractNum w:abstractNumId="535">
    <w:nsid w:val="4727FCDD"/>
    <w:multiLevelType w:val="multilevel"/>
    <w:tmpl w:val="4727FCDD"/>
    <w:lvl w:ilvl="0" w:tentative="0">
      <w:start w:val="1"/>
      <w:numFmt w:val="decimal"/>
      <w:suff w:val="space"/>
      <w:lvlText w:val="%1."/>
      <w:lvlJc w:val="left"/>
      <w:pPr>
        <w:tabs>
          <w:tab w:val="left" w:pos="0"/>
        </w:tabs>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6">
    <w:nsid w:val="4772053A"/>
    <w:multiLevelType w:val="singleLevel"/>
    <w:tmpl w:val="4772053A"/>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537">
    <w:nsid w:val="47AF7AAA"/>
    <w:multiLevelType w:val="singleLevel"/>
    <w:tmpl w:val="47AF7AAA"/>
    <w:lvl w:ilvl="0" w:tentative="0">
      <w:start w:val="1"/>
      <w:numFmt w:val="bullet"/>
      <w:suff w:val="space"/>
      <w:lvlText w:val=""/>
      <w:lvlJc w:val="left"/>
      <w:pPr>
        <w:ind w:left="420" w:hanging="420"/>
      </w:pPr>
      <w:rPr>
        <w:rFonts w:hint="default" w:ascii="Wingdings" w:hAnsi="Wingdings"/>
      </w:rPr>
    </w:lvl>
  </w:abstractNum>
  <w:abstractNum w:abstractNumId="538">
    <w:nsid w:val="489C3D85"/>
    <w:multiLevelType w:val="multilevel"/>
    <w:tmpl w:val="489C3D85"/>
    <w:lvl w:ilvl="0" w:tentative="0">
      <w:start w:val="1"/>
      <w:numFmt w:val="lowerLetter"/>
      <w:lvlText w:val="%1)"/>
      <w:lvlJc w:val="left"/>
      <w:pPr>
        <w:ind w:left="420" w:hanging="420"/>
      </w:pPr>
      <w:rPr>
        <w:rFonts w:hint="default"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9">
    <w:nsid w:val="48EE6CF6"/>
    <w:multiLevelType w:val="singleLevel"/>
    <w:tmpl w:val="48EE6CF6"/>
    <w:lvl w:ilvl="0" w:tentative="0">
      <w:start w:val="1"/>
      <w:numFmt w:val="decimal"/>
      <w:suff w:val="nothing"/>
      <w:lvlText w:val="%1）"/>
      <w:lvlJc w:val="left"/>
      <w:pPr>
        <w:ind w:left="0" w:firstLine="480"/>
      </w:pPr>
      <w:rPr>
        <w:rFonts w:hint="default"/>
      </w:rPr>
    </w:lvl>
  </w:abstractNum>
  <w:abstractNum w:abstractNumId="540">
    <w:nsid w:val="4988DAEF"/>
    <w:multiLevelType w:val="singleLevel"/>
    <w:tmpl w:val="4988DAEF"/>
    <w:lvl w:ilvl="0" w:tentative="0">
      <w:start w:val="1"/>
      <w:numFmt w:val="decimal"/>
      <w:suff w:val="space"/>
      <w:lvlText w:val="%1)"/>
      <w:lvlJc w:val="left"/>
      <w:pPr>
        <w:ind w:left="425" w:hanging="425"/>
      </w:pPr>
      <w:rPr>
        <w:rFonts w:hint="default" w:ascii="宋体" w:hAnsi="宋体" w:eastAsia="宋体" w:cs="宋体"/>
        <w:color w:val="auto"/>
      </w:rPr>
    </w:lvl>
  </w:abstractNum>
  <w:abstractNum w:abstractNumId="541">
    <w:nsid w:val="49C344D9"/>
    <w:multiLevelType w:val="singleLevel"/>
    <w:tmpl w:val="49C344D9"/>
    <w:lvl w:ilvl="0" w:tentative="0">
      <w:start w:val="1"/>
      <w:numFmt w:val="decimal"/>
      <w:suff w:val="space"/>
      <w:lvlText w:val="1.6.%1"/>
      <w:lvlJc w:val="left"/>
      <w:pPr>
        <w:tabs>
          <w:tab w:val="left" w:pos="0"/>
        </w:tabs>
        <w:ind w:left="0" w:firstLine="0"/>
      </w:pPr>
      <w:rPr>
        <w:rFonts w:hint="default"/>
      </w:rPr>
    </w:lvl>
  </w:abstractNum>
  <w:abstractNum w:abstractNumId="542">
    <w:nsid w:val="49E474B6"/>
    <w:multiLevelType w:val="multilevel"/>
    <w:tmpl w:val="49E474B6"/>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3">
    <w:nsid w:val="4A303F15"/>
    <w:multiLevelType w:val="singleLevel"/>
    <w:tmpl w:val="4A303F15"/>
    <w:lvl w:ilvl="0" w:tentative="0">
      <w:start w:val="1"/>
      <w:numFmt w:val="bullet"/>
      <w:suff w:val="space"/>
      <w:lvlText w:val=""/>
      <w:lvlJc w:val="left"/>
      <w:pPr>
        <w:ind w:left="420" w:hanging="137"/>
      </w:pPr>
      <w:rPr>
        <w:rFonts w:hint="default" w:ascii="Wingdings" w:hAnsi="Wingdings"/>
      </w:rPr>
    </w:lvl>
  </w:abstractNum>
  <w:abstractNum w:abstractNumId="544">
    <w:nsid w:val="4BA86745"/>
    <w:multiLevelType w:val="multilevel"/>
    <w:tmpl w:val="4BA86745"/>
    <w:lvl w:ilvl="0" w:tentative="0">
      <w:start w:val="1"/>
      <w:numFmt w:val="decimal"/>
      <w:suff w:val="space"/>
      <w:lvlText w:val="3.8.%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5">
    <w:nsid w:val="4CB770BF"/>
    <w:multiLevelType w:val="singleLevel"/>
    <w:tmpl w:val="4CB770BF"/>
    <w:lvl w:ilvl="0" w:tentative="0">
      <w:start w:val="1"/>
      <w:numFmt w:val="bullet"/>
      <w:lvlText w:val=""/>
      <w:lvlJc w:val="left"/>
      <w:pPr>
        <w:ind w:left="0" w:firstLine="0"/>
      </w:pPr>
      <w:rPr>
        <w:rFonts w:hint="default" w:ascii="Wingdings" w:hAnsi="Wingdings"/>
      </w:rPr>
    </w:lvl>
  </w:abstractNum>
  <w:abstractNum w:abstractNumId="546">
    <w:nsid w:val="4D3D682E"/>
    <w:multiLevelType w:val="singleLevel"/>
    <w:tmpl w:val="4D3D682E"/>
    <w:lvl w:ilvl="0" w:tentative="0">
      <w:start w:val="1"/>
      <w:numFmt w:val="decimal"/>
      <w:suff w:val="space"/>
      <w:lvlText w:val="%1)"/>
      <w:lvlJc w:val="left"/>
      <w:pPr>
        <w:ind w:left="0" w:firstLine="480"/>
      </w:pPr>
      <w:rPr>
        <w:rFonts w:hint="default"/>
      </w:rPr>
    </w:lvl>
  </w:abstractNum>
  <w:abstractNum w:abstractNumId="547">
    <w:nsid w:val="4D481B0A"/>
    <w:multiLevelType w:val="singleLevel"/>
    <w:tmpl w:val="4D481B0A"/>
    <w:lvl w:ilvl="0" w:tentative="0">
      <w:start w:val="1"/>
      <w:numFmt w:val="bullet"/>
      <w:lvlText w:val=""/>
      <w:lvlJc w:val="left"/>
      <w:pPr>
        <w:ind w:left="420" w:hanging="420"/>
      </w:pPr>
      <w:rPr>
        <w:rFonts w:hint="default" w:ascii="Wingdings" w:hAnsi="Wingdings"/>
      </w:rPr>
    </w:lvl>
  </w:abstractNum>
  <w:abstractNum w:abstractNumId="548">
    <w:nsid w:val="4D48E103"/>
    <w:multiLevelType w:val="singleLevel"/>
    <w:tmpl w:val="4D48E103"/>
    <w:lvl w:ilvl="0" w:tentative="0">
      <w:start w:val="1"/>
      <w:numFmt w:val="decimal"/>
      <w:suff w:val="space"/>
      <w:lvlText w:val="%1)"/>
      <w:lvlJc w:val="left"/>
      <w:pPr>
        <w:ind w:left="0" w:firstLine="482"/>
      </w:pPr>
      <w:rPr>
        <w:rFonts w:hint="default"/>
      </w:rPr>
    </w:lvl>
  </w:abstractNum>
  <w:abstractNum w:abstractNumId="549">
    <w:nsid w:val="4D877D70"/>
    <w:multiLevelType w:val="singleLevel"/>
    <w:tmpl w:val="4D877D70"/>
    <w:lvl w:ilvl="0" w:tentative="0">
      <w:start w:val="1"/>
      <w:numFmt w:val="decimal"/>
      <w:suff w:val="space"/>
      <w:lvlText w:val="%1)"/>
      <w:lvlJc w:val="left"/>
      <w:pPr>
        <w:ind w:left="0" w:firstLine="480"/>
      </w:pPr>
      <w:rPr>
        <w:rFonts w:hint="default"/>
      </w:rPr>
    </w:lvl>
  </w:abstractNum>
  <w:abstractNum w:abstractNumId="550">
    <w:nsid w:val="4DE853EF"/>
    <w:multiLevelType w:val="singleLevel"/>
    <w:tmpl w:val="4DE853EF"/>
    <w:lvl w:ilvl="0" w:tentative="0">
      <w:start w:val="1"/>
      <w:numFmt w:val="decimal"/>
      <w:suff w:val="space"/>
      <w:lvlText w:val="1.6.2.%1"/>
      <w:lvlJc w:val="left"/>
      <w:pPr>
        <w:tabs>
          <w:tab w:val="left" w:pos="0"/>
        </w:tabs>
        <w:ind w:left="0" w:firstLine="0"/>
      </w:pPr>
      <w:rPr>
        <w:rFonts w:hint="default"/>
      </w:rPr>
    </w:lvl>
  </w:abstractNum>
  <w:abstractNum w:abstractNumId="551">
    <w:nsid w:val="4DFB1200"/>
    <w:multiLevelType w:val="singleLevel"/>
    <w:tmpl w:val="4DFB1200"/>
    <w:lvl w:ilvl="0" w:tentative="0">
      <w:start w:val="1"/>
      <w:numFmt w:val="decimal"/>
      <w:lvlText w:val="%1)"/>
      <w:lvlJc w:val="left"/>
      <w:pPr>
        <w:ind w:left="425" w:hanging="425"/>
      </w:pPr>
      <w:rPr>
        <w:rFonts w:hint="default"/>
      </w:rPr>
    </w:lvl>
  </w:abstractNum>
  <w:abstractNum w:abstractNumId="552">
    <w:nsid w:val="4E116702"/>
    <w:multiLevelType w:val="multilevel"/>
    <w:tmpl w:val="4E116702"/>
    <w:lvl w:ilvl="0" w:tentative="0">
      <w:start w:val="1"/>
      <w:numFmt w:val="decimal"/>
      <w:suff w:val="space"/>
      <w:lvlText w:val="3.9.%1"/>
      <w:lvlJc w:val="left"/>
      <w:pPr>
        <w:ind w:left="420" w:hanging="420"/>
      </w:pPr>
      <w:rPr>
        <w:rFonts w:hint="default"/>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3">
    <w:nsid w:val="4E4C2AFF"/>
    <w:multiLevelType w:val="singleLevel"/>
    <w:tmpl w:val="4E4C2AFF"/>
    <w:lvl w:ilvl="0" w:tentative="0">
      <w:start w:val="1"/>
      <w:numFmt w:val="bullet"/>
      <w:suff w:val="space"/>
      <w:lvlText w:val=""/>
      <w:lvlJc w:val="left"/>
      <w:pPr>
        <w:ind w:left="420" w:hanging="137"/>
      </w:pPr>
      <w:rPr>
        <w:rFonts w:hint="default" w:ascii="Wingdings" w:hAnsi="Wingdings"/>
      </w:rPr>
    </w:lvl>
  </w:abstractNum>
  <w:abstractNum w:abstractNumId="554">
    <w:nsid w:val="4E55D095"/>
    <w:multiLevelType w:val="multilevel"/>
    <w:tmpl w:val="4E55D095"/>
    <w:lvl w:ilvl="0" w:tentative="0">
      <w:start w:val="1"/>
      <w:numFmt w:val="decimal"/>
      <w:suff w:val="space"/>
      <w:lvlText w:val="1.%1"/>
      <w:lvlJc w:val="left"/>
      <w:pPr>
        <w:tabs>
          <w:tab w:val="left" w:pos="0"/>
        </w:tabs>
        <w:ind w:left="420" w:hanging="420"/>
      </w:pPr>
      <w:rPr>
        <w:rFonts w:hint="default" w:ascii="宋体" w:hAnsi="宋体" w:eastAsia="宋体" w:cs="宋体"/>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55">
    <w:nsid w:val="4EA43514"/>
    <w:multiLevelType w:val="multilevel"/>
    <w:tmpl w:val="4EA43514"/>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56">
    <w:nsid w:val="4EB1B349"/>
    <w:multiLevelType w:val="singleLevel"/>
    <w:tmpl w:val="4EB1B349"/>
    <w:lvl w:ilvl="0" w:tentative="0">
      <w:start w:val="1"/>
      <w:numFmt w:val="decimal"/>
      <w:suff w:val="space"/>
      <w:lvlText w:val="%1)"/>
      <w:lvlJc w:val="left"/>
      <w:pPr>
        <w:ind w:left="0" w:firstLine="480"/>
      </w:pPr>
      <w:rPr>
        <w:rFonts w:hint="default"/>
      </w:rPr>
    </w:lvl>
  </w:abstractNum>
  <w:abstractNum w:abstractNumId="557">
    <w:nsid w:val="4EC23492"/>
    <w:multiLevelType w:val="singleLevel"/>
    <w:tmpl w:val="4EC23492"/>
    <w:lvl w:ilvl="0" w:tentative="0">
      <w:start w:val="1"/>
      <w:numFmt w:val="decimal"/>
      <w:suff w:val="space"/>
      <w:lvlText w:val="%1)"/>
      <w:lvlJc w:val="left"/>
      <w:pPr>
        <w:ind w:left="0" w:firstLine="480"/>
      </w:pPr>
      <w:rPr>
        <w:rFonts w:hint="default"/>
      </w:rPr>
    </w:lvl>
  </w:abstractNum>
  <w:abstractNum w:abstractNumId="558">
    <w:nsid w:val="4ED315D0"/>
    <w:multiLevelType w:val="singleLevel"/>
    <w:tmpl w:val="4ED315D0"/>
    <w:lvl w:ilvl="0" w:tentative="0">
      <w:start w:val="1"/>
      <w:numFmt w:val="decimal"/>
      <w:suff w:val="space"/>
      <w:lvlText w:val="2.5.%1"/>
      <w:lvlJc w:val="left"/>
      <w:pPr>
        <w:tabs>
          <w:tab w:val="left" w:pos="0"/>
        </w:tabs>
        <w:ind w:left="0" w:firstLine="0"/>
      </w:pPr>
      <w:rPr>
        <w:rFonts w:hint="default"/>
      </w:rPr>
    </w:lvl>
  </w:abstractNum>
  <w:abstractNum w:abstractNumId="559">
    <w:nsid w:val="4EF79421"/>
    <w:multiLevelType w:val="singleLevel"/>
    <w:tmpl w:val="4EF79421"/>
    <w:lvl w:ilvl="0" w:tentative="0">
      <w:start w:val="1"/>
      <w:numFmt w:val="decimal"/>
      <w:suff w:val="space"/>
      <w:lvlText w:val="1.1.2.%1"/>
      <w:lvlJc w:val="left"/>
      <w:pPr>
        <w:tabs>
          <w:tab w:val="left" w:pos="0"/>
        </w:tabs>
        <w:ind w:left="0" w:firstLine="0"/>
      </w:pPr>
      <w:rPr>
        <w:rFonts w:hint="default"/>
      </w:rPr>
    </w:lvl>
  </w:abstractNum>
  <w:abstractNum w:abstractNumId="560">
    <w:nsid w:val="4F87A53C"/>
    <w:multiLevelType w:val="singleLevel"/>
    <w:tmpl w:val="4F87A53C"/>
    <w:lvl w:ilvl="0" w:tentative="0">
      <w:start w:val="1"/>
      <w:numFmt w:val="decimal"/>
      <w:suff w:val="space"/>
      <w:lvlText w:val="%1)"/>
      <w:lvlJc w:val="left"/>
      <w:pPr>
        <w:ind w:left="425" w:hanging="425"/>
      </w:pPr>
      <w:rPr>
        <w:rFonts w:hint="default"/>
      </w:rPr>
    </w:lvl>
  </w:abstractNum>
  <w:abstractNum w:abstractNumId="561">
    <w:nsid w:val="4F99690E"/>
    <w:multiLevelType w:val="singleLevel"/>
    <w:tmpl w:val="4F99690E"/>
    <w:lvl w:ilvl="0" w:tentative="0">
      <w:start w:val="1"/>
      <w:numFmt w:val="decimal"/>
      <w:suff w:val="space"/>
      <w:lvlText w:val="1.17.%1"/>
      <w:lvlJc w:val="left"/>
      <w:pPr>
        <w:tabs>
          <w:tab w:val="left" w:pos="0"/>
        </w:tabs>
        <w:ind w:left="0" w:firstLine="0"/>
      </w:pPr>
      <w:rPr>
        <w:rFonts w:hint="default"/>
      </w:rPr>
    </w:lvl>
  </w:abstractNum>
  <w:abstractNum w:abstractNumId="562">
    <w:nsid w:val="5058FEE8"/>
    <w:multiLevelType w:val="singleLevel"/>
    <w:tmpl w:val="5058FEE8"/>
    <w:lvl w:ilvl="0" w:tentative="0">
      <w:start w:val="1"/>
      <w:numFmt w:val="decimal"/>
      <w:suff w:val="nothing"/>
      <w:lvlText w:val="%1）"/>
      <w:lvlJc w:val="left"/>
      <w:pPr>
        <w:ind w:left="0" w:firstLine="480"/>
      </w:pPr>
      <w:rPr>
        <w:rFonts w:hint="default"/>
      </w:rPr>
    </w:lvl>
  </w:abstractNum>
  <w:abstractNum w:abstractNumId="563">
    <w:nsid w:val="50C7BFFE"/>
    <w:multiLevelType w:val="singleLevel"/>
    <w:tmpl w:val="50C7BFFE"/>
    <w:lvl w:ilvl="0" w:tentative="0">
      <w:start w:val="1"/>
      <w:numFmt w:val="bullet"/>
      <w:suff w:val="space"/>
      <w:lvlText w:val=""/>
      <w:lvlJc w:val="left"/>
      <w:pPr>
        <w:ind w:left="420" w:leftChars="0" w:hanging="420" w:firstLineChars="0"/>
      </w:pPr>
      <w:rPr>
        <w:rFonts w:hint="default" w:ascii="Wingdings" w:hAnsi="Wingdings"/>
      </w:rPr>
    </w:lvl>
  </w:abstractNum>
  <w:abstractNum w:abstractNumId="564">
    <w:nsid w:val="5107726E"/>
    <w:multiLevelType w:val="multilevel"/>
    <w:tmpl w:val="5107726E"/>
    <w:lvl w:ilvl="0" w:tentative="0">
      <w:start w:val="1"/>
      <w:numFmt w:val="lowerLetter"/>
      <w:lvlText w:val="%1)"/>
      <w:lvlJc w:val="left"/>
      <w:pPr>
        <w:ind w:left="900" w:hanging="420"/>
      </w:pPr>
    </w:lvl>
    <w:lvl w:ilvl="1" w:tentative="0">
      <w:start w:val="1"/>
      <w:numFmt w:val="lowerLetter"/>
      <w:suff w:val="space"/>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65">
    <w:nsid w:val="51CC9EAE"/>
    <w:multiLevelType w:val="singleLevel"/>
    <w:tmpl w:val="51CC9EAE"/>
    <w:lvl w:ilvl="0" w:tentative="0">
      <w:start w:val="1"/>
      <w:numFmt w:val="decimal"/>
      <w:suff w:val="space"/>
      <w:lvlText w:val="%1)"/>
      <w:lvlJc w:val="left"/>
      <w:pPr>
        <w:ind w:left="0" w:firstLine="480"/>
      </w:pPr>
      <w:rPr>
        <w:rFonts w:hint="default"/>
      </w:rPr>
    </w:lvl>
  </w:abstractNum>
  <w:abstractNum w:abstractNumId="566">
    <w:nsid w:val="51D9FE75"/>
    <w:multiLevelType w:val="singleLevel"/>
    <w:tmpl w:val="51D9FE75"/>
    <w:lvl w:ilvl="0" w:tentative="0">
      <w:start w:val="1"/>
      <w:numFmt w:val="bullet"/>
      <w:lvlText w:val=""/>
      <w:lvlJc w:val="left"/>
      <w:pPr>
        <w:ind w:left="420" w:hanging="420"/>
      </w:pPr>
      <w:rPr>
        <w:rFonts w:hint="default" w:ascii="Wingdings" w:hAnsi="Wingdings"/>
      </w:rPr>
    </w:lvl>
  </w:abstractNum>
  <w:abstractNum w:abstractNumId="567">
    <w:nsid w:val="525D4669"/>
    <w:multiLevelType w:val="singleLevel"/>
    <w:tmpl w:val="525D4669"/>
    <w:lvl w:ilvl="0" w:tentative="0">
      <w:start w:val="1"/>
      <w:numFmt w:val="decimal"/>
      <w:suff w:val="space"/>
      <w:lvlText w:val="%1)"/>
      <w:lvlJc w:val="left"/>
      <w:pPr>
        <w:ind w:left="0" w:firstLine="480"/>
      </w:pPr>
      <w:rPr>
        <w:rFonts w:hint="default"/>
      </w:rPr>
    </w:lvl>
  </w:abstractNum>
  <w:abstractNum w:abstractNumId="568">
    <w:nsid w:val="5366ECA5"/>
    <w:multiLevelType w:val="singleLevel"/>
    <w:tmpl w:val="5366ECA5"/>
    <w:lvl w:ilvl="0" w:tentative="0">
      <w:start w:val="1"/>
      <w:numFmt w:val="bullet"/>
      <w:suff w:val="space"/>
      <w:lvlText w:val=""/>
      <w:lvlJc w:val="left"/>
      <w:pPr>
        <w:ind w:left="420" w:hanging="420"/>
      </w:pPr>
      <w:rPr>
        <w:rFonts w:hint="default" w:ascii="Wingdings" w:hAnsi="Wingdings"/>
      </w:rPr>
    </w:lvl>
  </w:abstractNum>
  <w:abstractNum w:abstractNumId="569">
    <w:nsid w:val="537B52E6"/>
    <w:multiLevelType w:val="multilevel"/>
    <w:tmpl w:val="537B52E6"/>
    <w:lvl w:ilvl="0" w:tentative="0">
      <w:start w:val="1"/>
      <w:numFmt w:val="lowerLetter"/>
      <w:suff w:val="space"/>
      <w:lvlText w:val="%1."/>
      <w:lvlJc w:val="left"/>
      <w:pPr>
        <w:ind w:left="420" w:hanging="420"/>
      </w:pPr>
      <w:rPr>
        <w:rFonts w:hint="eastAsia"/>
      </w:rPr>
    </w:lvl>
    <w:lvl w:ilvl="1" w:tentative="0">
      <w:start w:val="1"/>
      <w:numFmt w:val="decimalEnclosedCircle"/>
      <w:lvlText w:val="%2"/>
      <w:lvlJc w:val="left"/>
      <w:pPr>
        <w:ind w:left="780" w:hanging="36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70">
    <w:nsid w:val="538C8CC5"/>
    <w:multiLevelType w:val="singleLevel"/>
    <w:tmpl w:val="538C8CC5"/>
    <w:lvl w:ilvl="0" w:tentative="0">
      <w:start w:val="1"/>
      <w:numFmt w:val="decimal"/>
      <w:suff w:val="space"/>
      <w:lvlText w:val="%1)"/>
      <w:lvlJc w:val="left"/>
      <w:pPr>
        <w:ind w:left="425" w:hanging="425"/>
      </w:pPr>
      <w:rPr>
        <w:rFonts w:hint="default"/>
      </w:rPr>
    </w:lvl>
  </w:abstractNum>
  <w:abstractNum w:abstractNumId="571">
    <w:nsid w:val="53DC9699"/>
    <w:multiLevelType w:val="singleLevel"/>
    <w:tmpl w:val="53DC9699"/>
    <w:lvl w:ilvl="0" w:tentative="0">
      <w:start w:val="1"/>
      <w:numFmt w:val="decimal"/>
      <w:suff w:val="space"/>
      <w:lvlText w:val="2.%1"/>
      <w:lvlJc w:val="left"/>
      <w:pPr>
        <w:ind w:left="0" w:firstLine="0"/>
      </w:pPr>
      <w:rPr>
        <w:rFonts w:hint="default"/>
      </w:rPr>
    </w:lvl>
  </w:abstractNum>
  <w:abstractNum w:abstractNumId="572">
    <w:nsid w:val="545B7E11"/>
    <w:multiLevelType w:val="singleLevel"/>
    <w:tmpl w:val="545B7E11"/>
    <w:lvl w:ilvl="0" w:tentative="0">
      <w:start w:val="1"/>
      <w:numFmt w:val="decimal"/>
      <w:suff w:val="space"/>
      <w:lvlText w:val="1.20.3.%1"/>
      <w:lvlJc w:val="left"/>
      <w:pPr>
        <w:tabs>
          <w:tab w:val="left" w:pos="0"/>
        </w:tabs>
        <w:ind w:left="0" w:firstLine="0"/>
      </w:pPr>
      <w:rPr>
        <w:rFonts w:hint="default"/>
      </w:rPr>
    </w:lvl>
  </w:abstractNum>
  <w:abstractNum w:abstractNumId="573">
    <w:nsid w:val="5484592A"/>
    <w:multiLevelType w:val="singleLevel"/>
    <w:tmpl w:val="5484592A"/>
    <w:lvl w:ilvl="0" w:tentative="0">
      <w:start w:val="1"/>
      <w:numFmt w:val="decimal"/>
      <w:suff w:val="space"/>
      <w:lvlText w:val="1.%1"/>
      <w:lvlJc w:val="left"/>
      <w:pPr>
        <w:ind w:left="0" w:firstLine="480"/>
      </w:pPr>
      <w:rPr>
        <w:rFonts w:hint="default"/>
      </w:rPr>
    </w:lvl>
  </w:abstractNum>
  <w:abstractNum w:abstractNumId="574">
    <w:nsid w:val="54CB04A5"/>
    <w:multiLevelType w:val="singleLevel"/>
    <w:tmpl w:val="54CB04A5"/>
    <w:lvl w:ilvl="0" w:tentative="0">
      <w:start w:val="1"/>
      <w:numFmt w:val="bullet"/>
      <w:suff w:val="space"/>
      <w:lvlText w:val=""/>
      <w:lvlJc w:val="left"/>
      <w:pPr>
        <w:ind w:left="420" w:hanging="137"/>
      </w:pPr>
      <w:rPr>
        <w:rFonts w:hint="default" w:ascii="Wingdings" w:hAnsi="Wingdings"/>
      </w:rPr>
    </w:lvl>
  </w:abstractNum>
  <w:abstractNum w:abstractNumId="575">
    <w:nsid w:val="550EEC97"/>
    <w:multiLevelType w:val="multilevel"/>
    <w:tmpl w:val="550EEC97"/>
    <w:lvl w:ilvl="0" w:tentative="0">
      <w:start w:val="1"/>
      <w:numFmt w:val="lowerLetter"/>
      <w:lvlText w:val="%1."/>
      <w:lvlJc w:val="left"/>
      <w:pPr>
        <w:tabs>
          <w:tab w:val="left" w:pos="420"/>
        </w:tabs>
        <w:ind w:left="840" w:hanging="420"/>
      </w:pPr>
    </w:lvl>
    <w:lvl w:ilvl="1" w:tentative="0">
      <w:start w:val="1"/>
      <w:numFmt w:val="bullet"/>
      <w:lvlText w:val=""/>
      <w:lvlJc w:val="left"/>
      <w:pPr>
        <w:tabs>
          <w:tab w:val="left" w:pos="420"/>
        </w:tabs>
        <w:ind w:left="1260" w:hanging="420"/>
      </w:pPr>
      <w:rPr>
        <w:rFonts w:hint="default" w:ascii="Wingdings" w:hAnsi="Wingdings"/>
      </w:rPr>
    </w:lvl>
    <w:lvl w:ilvl="2" w:tentative="0">
      <w:start w:val="1"/>
      <w:numFmt w:val="bullet"/>
      <w:lvlText w:val=""/>
      <w:lvlJc w:val="left"/>
      <w:pPr>
        <w:tabs>
          <w:tab w:val="left" w:pos="420"/>
        </w:tabs>
        <w:ind w:left="1680" w:hanging="420"/>
      </w:pPr>
      <w:rPr>
        <w:rFonts w:hint="default" w:ascii="Wingdings" w:hAnsi="Wingdings"/>
      </w:rPr>
    </w:lvl>
    <w:lvl w:ilvl="3" w:tentative="0">
      <w:start w:val="1"/>
      <w:numFmt w:val="bullet"/>
      <w:lvlText w:val=""/>
      <w:lvlJc w:val="left"/>
      <w:pPr>
        <w:tabs>
          <w:tab w:val="left" w:pos="420"/>
        </w:tabs>
        <w:ind w:left="2100" w:hanging="420"/>
      </w:pPr>
      <w:rPr>
        <w:rFonts w:hint="default" w:ascii="Wingdings" w:hAnsi="Wingdings"/>
      </w:rPr>
    </w:lvl>
    <w:lvl w:ilvl="4" w:tentative="0">
      <w:start w:val="1"/>
      <w:numFmt w:val="bullet"/>
      <w:lvlText w:val=""/>
      <w:lvlJc w:val="left"/>
      <w:pPr>
        <w:tabs>
          <w:tab w:val="left" w:pos="420"/>
        </w:tabs>
        <w:ind w:left="2520" w:hanging="420"/>
      </w:pPr>
      <w:rPr>
        <w:rFonts w:hint="default" w:ascii="Wingdings" w:hAnsi="Wingdings"/>
      </w:rPr>
    </w:lvl>
    <w:lvl w:ilvl="5" w:tentative="0">
      <w:start w:val="1"/>
      <w:numFmt w:val="bullet"/>
      <w:lvlText w:val=""/>
      <w:lvlJc w:val="left"/>
      <w:pPr>
        <w:tabs>
          <w:tab w:val="left" w:pos="420"/>
        </w:tabs>
        <w:ind w:left="2940" w:hanging="420"/>
      </w:pPr>
      <w:rPr>
        <w:rFonts w:hint="default" w:ascii="Wingdings" w:hAnsi="Wingdings"/>
      </w:rPr>
    </w:lvl>
    <w:lvl w:ilvl="6" w:tentative="0">
      <w:start w:val="1"/>
      <w:numFmt w:val="bullet"/>
      <w:lvlText w:val=""/>
      <w:lvlJc w:val="left"/>
      <w:pPr>
        <w:tabs>
          <w:tab w:val="left" w:pos="420"/>
        </w:tabs>
        <w:ind w:left="3360" w:hanging="420"/>
      </w:pPr>
      <w:rPr>
        <w:rFonts w:hint="default" w:ascii="Wingdings" w:hAnsi="Wingdings"/>
      </w:rPr>
    </w:lvl>
    <w:lvl w:ilvl="7" w:tentative="0">
      <w:start w:val="1"/>
      <w:numFmt w:val="bullet"/>
      <w:lvlText w:val=""/>
      <w:lvlJc w:val="left"/>
      <w:pPr>
        <w:tabs>
          <w:tab w:val="left" w:pos="420"/>
        </w:tabs>
        <w:ind w:left="3780" w:hanging="420"/>
      </w:pPr>
      <w:rPr>
        <w:rFonts w:hint="default" w:ascii="Wingdings" w:hAnsi="Wingdings"/>
      </w:rPr>
    </w:lvl>
    <w:lvl w:ilvl="8" w:tentative="0">
      <w:start w:val="1"/>
      <w:numFmt w:val="bullet"/>
      <w:lvlText w:val=""/>
      <w:lvlJc w:val="left"/>
      <w:pPr>
        <w:tabs>
          <w:tab w:val="left" w:pos="420"/>
        </w:tabs>
        <w:ind w:left="4200" w:hanging="420"/>
      </w:pPr>
      <w:rPr>
        <w:rFonts w:hint="default" w:ascii="Wingdings" w:hAnsi="Wingdings"/>
      </w:rPr>
    </w:lvl>
  </w:abstractNum>
  <w:abstractNum w:abstractNumId="576">
    <w:nsid w:val="552656D4"/>
    <w:multiLevelType w:val="multilevel"/>
    <w:tmpl w:val="552656D4"/>
    <w:lvl w:ilvl="0" w:tentative="0">
      <w:start w:val="1"/>
      <w:numFmt w:val="decimal"/>
      <w:suff w:val="space"/>
      <w:lvlText w:val="3.3.%1"/>
      <w:lvlJc w:val="left"/>
      <w:pPr>
        <w:tabs>
          <w:tab w:val="left" w:pos="0"/>
        </w:tabs>
        <w:ind w:left="420" w:hanging="420"/>
      </w:pPr>
      <w:rPr>
        <w:rFonts w:hint="default"/>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77">
    <w:nsid w:val="5546FB9A"/>
    <w:multiLevelType w:val="singleLevel"/>
    <w:tmpl w:val="5546FB9A"/>
    <w:lvl w:ilvl="0" w:tentative="0">
      <w:start w:val="1"/>
      <w:numFmt w:val="decimal"/>
      <w:suff w:val="space"/>
      <w:lvlText w:val="%1)"/>
      <w:lvlJc w:val="left"/>
      <w:pPr>
        <w:ind w:left="0" w:firstLine="480"/>
      </w:pPr>
      <w:rPr>
        <w:rFonts w:hint="default"/>
      </w:rPr>
    </w:lvl>
  </w:abstractNum>
  <w:abstractNum w:abstractNumId="578">
    <w:nsid w:val="55556B07"/>
    <w:multiLevelType w:val="multilevel"/>
    <w:tmpl w:val="55556B07"/>
    <w:lvl w:ilvl="0" w:tentative="0">
      <w:start w:val="1"/>
      <w:numFmt w:val="lowerLetter"/>
      <w:lvlText w:val="%1)"/>
      <w:lvlJc w:val="left"/>
      <w:pPr>
        <w:ind w:left="1555" w:hanging="420"/>
      </w:pPr>
      <w:rPr>
        <w:rFonts w:hint="default"/>
      </w:rPr>
    </w:lvl>
    <w:lvl w:ilvl="1" w:tentative="0">
      <w:start w:val="1"/>
      <w:numFmt w:val="bullet"/>
      <w:lvlText w:val=""/>
      <w:lvlJc w:val="left"/>
      <w:pPr>
        <w:ind w:left="1975" w:hanging="420"/>
      </w:pPr>
      <w:rPr>
        <w:rFonts w:hint="default" w:ascii="Wingdings" w:hAnsi="Wingdings"/>
      </w:rPr>
    </w:lvl>
    <w:lvl w:ilvl="2" w:tentative="0">
      <w:start w:val="1"/>
      <w:numFmt w:val="bullet"/>
      <w:lvlText w:val=""/>
      <w:lvlJc w:val="left"/>
      <w:pPr>
        <w:ind w:left="2395" w:hanging="420"/>
      </w:pPr>
      <w:rPr>
        <w:rFonts w:hint="default" w:ascii="Wingdings" w:hAnsi="Wingdings"/>
      </w:rPr>
    </w:lvl>
    <w:lvl w:ilvl="3" w:tentative="0">
      <w:start w:val="1"/>
      <w:numFmt w:val="bullet"/>
      <w:lvlText w:val=""/>
      <w:lvlJc w:val="left"/>
      <w:pPr>
        <w:ind w:left="2815" w:hanging="420"/>
      </w:pPr>
      <w:rPr>
        <w:rFonts w:hint="default" w:ascii="Wingdings" w:hAnsi="Wingdings"/>
      </w:rPr>
    </w:lvl>
    <w:lvl w:ilvl="4" w:tentative="0">
      <w:start w:val="1"/>
      <w:numFmt w:val="bullet"/>
      <w:lvlText w:val=""/>
      <w:lvlJc w:val="left"/>
      <w:pPr>
        <w:ind w:left="3235" w:hanging="420"/>
      </w:pPr>
      <w:rPr>
        <w:rFonts w:hint="default" w:ascii="Wingdings" w:hAnsi="Wingdings"/>
      </w:rPr>
    </w:lvl>
    <w:lvl w:ilvl="5" w:tentative="0">
      <w:start w:val="1"/>
      <w:numFmt w:val="bullet"/>
      <w:lvlText w:val=""/>
      <w:lvlJc w:val="left"/>
      <w:pPr>
        <w:ind w:left="3655" w:hanging="420"/>
      </w:pPr>
      <w:rPr>
        <w:rFonts w:hint="default" w:ascii="Wingdings" w:hAnsi="Wingdings"/>
      </w:rPr>
    </w:lvl>
    <w:lvl w:ilvl="6" w:tentative="0">
      <w:start w:val="1"/>
      <w:numFmt w:val="bullet"/>
      <w:lvlText w:val=""/>
      <w:lvlJc w:val="left"/>
      <w:pPr>
        <w:ind w:left="4075" w:hanging="420"/>
      </w:pPr>
      <w:rPr>
        <w:rFonts w:hint="default" w:ascii="Wingdings" w:hAnsi="Wingdings"/>
      </w:rPr>
    </w:lvl>
    <w:lvl w:ilvl="7" w:tentative="0">
      <w:start w:val="1"/>
      <w:numFmt w:val="bullet"/>
      <w:lvlText w:val=""/>
      <w:lvlJc w:val="left"/>
      <w:pPr>
        <w:ind w:left="4495" w:hanging="420"/>
      </w:pPr>
      <w:rPr>
        <w:rFonts w:hint="default" w:ascii="Wingdings" w:hAnsi="Wingdings"/>
      </w:rPr>
    </w:lvl>
    <w:lvl w:ilvl="8" w:tentative="0">
      <w:start w:val="1"/>
      <w:numFmt w:val="bullet"/>
      <w:lvlText w:val=""/>
      <w:lvlJc w:val="left"/>
      <w:pPr>
        <w:ind w:left="4915" w:hanging="420"/>
      </w:pPr>
      <w:rPr>
        <w:rFonts w:hint="default" w:ascii="Wingdings" w:hAnsi="Wingdings"/>
      </w:rPr>
    </w:lvl>
  </w:abstractNum>
  <w:abstractNum w:abstractNumId="579">
    <w:nsid w:val="557ED365"/>
    <w:multiLevelType w:val="singleLevel"/>
    <w:tmpl w:val="557ED365"/>
    <w:lvl w:ilvl="0" w:tentative="0">
      <w:start w:val="1"/>
      <w:numFmt w:val="bullet"/>
      <w:suff w:val="space"/>
      <w:lvlText w:val=""/>
      <w:lvlJc w:val="left"/>
      <w:pPr>
        <w:ind w:left="420" w:hanging="420"/>
      </w:pPr>
      <w:rPr>
        <w:rFonts w:hint="default" w:ascii="Wingdings" w:hAnsi="Wingdings"/>
      </w:rPr>
    </w:lvl>
  </w:abstractNum>
  <w:abstractNum w:abstractNumId="580">
    <w:nsid w:val="5668DD47"/>
    <w:multiLevelType w:val="singleLevel"/>
    <w:tmpl w:val="5668DD47"/>
    <w:lvl w:ilvl="0" w:tentative="0">
      <w:start w:val="1"/>
      <w:numFmt w:val="decimal"/>
      <w:suff w:val="space"/>
      <w:lvlText w:val="%1)"/>
      <w:lvlJc w:val="left"/>
      <w:pPr>
        <w:ind w:left="0" w:firstLine="480"/>
      </w:pPr>
      <w:rPr>
        <w:rFonts w:hint="default"/>
      </w:rPr>
    </w:lvl>
  </w:abstractNum>
  <w:abstractNum w:abstractNumId="581">
    <w:nsid w:val="56B1CCFA"/>
    <w:multiLevelType w:val="singleLevel"/>
    <w:tmpl w:val="56B1CCFA"/>
    <w:lvl w:ilvl="0" w:tentative="0">
      <w:start w:val="1"/>
      <w:numFmt w:val="decimal"/>
      <w:suff w:val="space"/>
      <w:lvlText w:val="1.5.4.%1"/>
      <w:lvlJc w:val="left"/>
      <w:pPr>
        <w:tabs>
          <w:tab w:val="left" w:pos="0"/>
        </w:tabs>
        <w:ind w:left="0" w:firstLine="0"/>
      </w:pPr>
      <w:rPr>
        <w:rFonts w:hint="default"/>
      </w:rPr>
    </w:lvl>
  </w:abstractNum>
  <w:abstractNum w:abstractNumId="582">
    <w:nsid w:val="56BF7839"/>
    <w:multiLevelType w:val="singleLevel"/>
    <w:tmpl w:val="56BF7839"/>
    <w:lvl w:ilvl="0" w:tentative="0">
      <w:start w:val="1"/>
      <w:numFmt w:val="decimal"/>
      <w:suff w:val="space"/>
      <w:lvlText w:val="%1)"/>
      <w:lvlJc w:val="left"/>
      <w:pPr>
        <w:ind w:left="0" w:firstLine="480"/>
      </w:pPr>
      <w:rPr>
        <w:rFonts w:hint="default"/>
      </w:rPr>
    </w:lvl>
  </w:abstractNum>
  <w:abstractNum w:abstractNumId="583">
    <w:nsid w:val="5700D597"/>
    <w:multiLevelType w:val="singleLevel"/>
    <w:tmpl w:val="5700D597"/>
    <w:lvl w:ilvl="0" w:tentative="0">
      <w:start w:val="1"/>
      <w:numFmt w:val="decimal"/>
      <w:suff w:val="space"/>
      <w:lvlText w:val="%1)"/>
      <w:lvlJc w:val="left"/>
      <w:pPr>
        <w:ind w:left="0" w:firstLine="480"/>
      </w:pPr>
      <w:rPr>
        <w:rFonts w:hint="default"/>
      </w:rPr>
    </w:lvl>
  </w:abstractNum>
  <w:abstractNum w:abstractNumId="584">
    <w:nsid w:val="575730A8"/>
    <w:multiLevelType w:val="singleLevel"/>
    <w:tmpl w:val="575730A8"/>
    <w:lvl w:ilvl="0" w:tentative="0">
      <w:start w:val="1"/>
      <w:numFmt w:val="decimal"/>
      <w:suff w:val="space"/>
      <w:lvlText w:val="1.5.3.%1"/>
      <w:lvlJc w:val="left"/>
      <w:pPr>
        <w:tabs>
          <w:tab w:val="left" w:pos="0"/>
        </w:tabs>
        <w:ind w:left="0" w:firstLine="0"/>
      </w:pPr>
      <w:rPr>
        <w:rFonts w:hint="default"/>
        <w:highlight w:val="none"/>
      </w:rPr>
    </w:lvl>
  </w:abstractNum>
  <w:abstractNum w:abstractNumId="585">
    <w:nsid w:val="5766E9B6"/>
    <w:multiLevelType w:val="singleLevel"/>
    <w:tmpl w:val="5766E9B6"/>
    <w:lvl w:ilvl="0" w:tentative="0">
      <w:start w:val="1"/>
      <w:numFmt w:val="bullet"/>
      <w:suff w:val="space"/>
      <w:lvlText w:val=""/>
      <w:lvlJc w:val="left"/>
      <w:pPr>
        <w:ind w:left="840" w:hanging="420"/>
      </w:pPr>
      <w:rPr>
        <w:rFonts w:hint="default" w:ascii="Wingdings" w:hAnsi="Wingdings"/>
      </w:rPr>
    </w:lvl>
  </w:abstractNum>
  <w:abstractNum w:abstractNumId="586">
    <w:nsid w:val="57FF50B6"/>
    <w:multiLevelType w:val="singleLevel"/>
    <w:tmpl w:val="57FF50B6"/>
    <w:lvl w:ilvl="0" w:tentative="0">
      <w:start w:val="1"/>
      <w:numFmt w:val="decimal"/>
      <w:suff w:val="space"/>
      <w:lvlText w:val="1.21.%1"/>
      <w:lvlJc w:val="left"/>
      <w:pPr>
        <w:tabs>
          <w:tab w:val="left" w:pos="0"/>
        </w:tabs>
        <w:ind w:left="0" w:firstLine="0"/>
      </w:pPr>
      <w:rPr>
        <w:rFonts w:hint="default"/>
      </w:rPr>
    </w:lvl>
  </w:abstractNum>
  <w:abstractNum w:abstractNumId="587">
    <w:nsid w:val="580BEAEE"/>
    <w:multiLevelType w:val="singleLevel"/>
    <w:tmpl w:val="580BEAEE"/>
    <w:lvl w:ilvl="0" w:tentative="0">
      <w:start w:val="1"/>
      <w:numFmt w:val="bullet"/>
      <w:suff w:val="space"/>
      <w:lvlText w:val=""/>
      <w:lvlJc w:val="left"/>
      <w:pPr>
        <w:ind w:left="420" w:hanging="420"/>
      </w:pPr>
      <w:rPr>
        <w:rFonts w:hint="default" w:ascii="Wingdings" w:hAnsi="Wingdings"/>
      </w:rPr>
    </w:lvl>
  </w:abstractNum>
  <w:abstractNum w:abstractNumId="588">
    <w:nsid w:val="5882D641"/>
    <w:multiLevelType w:val="singleLevel"/>
    <w:tmpl w:val="5882D641"/>
    <w:lvl w:ilvl="0" w:tentative="0">
      <w:start w:val="1"/>
      <w:numFmt w:val="decimal"/>
      <w:suff w:val="space"/>
      <w:lvlText w:val="%1)"/>
      <w:lvlJc w:val="left"/>
      <w:pPr>
        <w:ind w:left="0" w:firstLine="480"/>
      </w:pPr>
      <w:rPr>
        <w:rFonts w:hint="default"/>
      </w:rPr>
    </w:lvl>
  </w:abstractNum>
  <w:abstractNum w:abstractNumId="589">
    <w:nsid w:val="58BD1E93"/>
    <w:multiLevelType w:val="singleLevel"/>
    <w:tmpl w:val="58BD1E93"/>
    <w:lvl w:ilvl="0" w:tentative="0">
      <w:start w:val="1"/>
      <w:numFmt w:val="decimal"/>
      <w:suff w:val="space"/>
      <w:lvlText w:val="%1)"/>
      <w:lvlJc w:val="left"/>
      <w:pPr>
        <w:ind w:left="0" w:firstLine="480"/>
      </w:pPr>
      <w:rPr>
        <w:rFonts w:hint="default"/>
        <w:color w:val="auto"/>
        <w:highlight w:val="none"/>
      </w:rPr>
    </w:lvl>
  </w:abstractNum>
  <w:abstractNum w:abstractNumId="590">
    <w:nsid w:val="58BE5C33"/>
    <w:multiLevelType w:val="singleLevel"/>
    <w:tmpl w:val="58BE5C33"/>
    <w:lvl w:ilvl="0" w:tentative="0">
      <w:start w:val="1"/>
      <w:numFmt w:val="bullet"/>
      <w:lvlText w:val=""/>
      <w:lvlJc w:val="left"/>
      <w:pPr>
        <w:ind w:left="420" w:hanging="420"/>
      </w:pPr>
      <w:rPr>
        <w:rFonts w:hint="default" w:ascii="Wingdings" w:hAnsi="Wingdings"/>
      </w:rPr>
    </w:lvl>
  </w:abstractNum>
  <w:abstractNum w:abstractNumId="591">
    <w:nsid w:val="59EE85AD"/>
    <w:multiLevelType w:val="singleLevel"/>
    <w:tmpl w:val="59EE85AD"/>
    <w:lvl w:ilvl="0" w:tentative="0">
      <w:start w:val="1"/>
      <w:numFmt w:val="decimal"/>
      <w:suff w:val="space"/>
      <w:lvlText w:val="%1)"/>
      <w:lvlJc w:val="left"/>
      <w:pPr>
        <w:ind w:left="425" w:hanging="425"/>
      </w:pPr>
      <w:rPr>
        <w:rFonts w:hint="default"/>
      </w:rPr>
    </w:lvl>
  </w:abstractNum>
  <w:abstractNum w:abstractNumId="592">
    <w:nsid w:val="5A0BF018"/>
    <w:multiLevelType w:val="singleLevel"/>
    <w:tmpl w:val="5A0BF018"/>
    <w:lvl w:ilvl="0" w:tentative="0">
      <w:start w:val="1"/>
      <w:numFmt w:val="bullet"/>
      <w:lvlText w:val=""/>
      <w:lvlJc w:val="left"/>
      <w:pPr>
        <w:ind w:left="420" w:hanging="420"/>
      </w:pPr>
      <w:rPr>
        <w:rFonts w:hint="default" w:ascii="Wingdings" w:hAnsi="Wingdings"/>
      </w:rPr>
    </w:lvl>
  </w:abstractNum>
  <w:abstractNum w:abstractNumId="593">
    <w:nsid w:val="5A2FCE48"/>
    <w:multiLevelType w:val="singleLevel"/>
    <w:tmpl w:val="5A2FCE48"/>
    <w:lvl w:ilvl="0" w:tentative="0">
      <w:start w:val="1"/>
      <w:numFmt w:val="bullet"/>
      <w:suff w:val="space"/>
      <w:lvlText w:val=""/>
      <w:lvlJc w:val="left"/>
      <w:pPr>
        <w:ind w:left="420" w:hanging="420"/>
      </w:pPr>
      <w:rPr>
        <w:rFonts w:hint="default" w:ascii="Wingdings" w:hAnsi="Wingdings"/>
      </w:rPr>
    </w:lvl>
  </w:abstractNum>
  <w:abstractNum w:abstractNumId="594">
    <w:nsid w:val="5A35774E"/>
    <w:multiLevelType w:val="singleLevel"/>
    <w:tmpl w:val="5A35774E"/>
    <w:lvl w:ilvl="0" w:tentative="0">
      <w:start w:val="1"/>
      <w:numFmt w:val="decimal"/>
      <w:suff w:val="space"/>
      <w:lvlText w:val="%1."/>
      <w:lvlJc w:val="left"/>
      <w:pPr>
        <w:ind w:left="0" w:firstLine="0"/>
      </w:pPr>
      <w:rPr>
        <w:rFonts w:hint="default"/>
      </w:rPr>
    </w:lvl>
  </w:abstractNum>
  <w:abstractNum w:abstractNumId="595">
    <w:nsid w:val="5BB978C2"/>
    <w:multiLevelType w:val="singleLevel"/>
    <w:tmpl w:val="5BB978C2"/>
    <w:lvl w:ilvl="0" w:tentative="0">
      <w:start w:val="1"/>
      <w:numFmt w:val="decimal"/>
      <w:suff w:val="space"/>
      <w:lvlText w:val="2.%1"/>
      <w:lvlJc w:val="left"/>
      <w:pPr>
        <w:ind w:left="0" w:firstLine="0"/>
      </w:pPr>
      <w:rPr>
        <w:rFonts w:hint="default"/>
      </w:rPr>
    </w:lvl>
  </w:abstractNum>
  <w:abstractNum w:abstractNumId="596">
    <w:nsid w:val="5BDCAFF9"/>
    <w:multiLevelType w:val="singleLevel"/>
    <w:tmpl w:val="5BDCAFF9"/>
    <w:lvl w:ilvl="0" w:tentative="0">
      <w:start w:val="1"/>
      <w:numFmt w:val="decimal"/>
      <w:suff w:val="space"/>
      <w:lvlText w:val="%1."/>
      <w:lvlJc w:val="left"/>
      <w:pPr>
        <w:ind w:left="0" w:firstLine="480"/>
      </w:pPr>
      <w:rPr>
        <w:rFonts w:hint="default"/>
      </w:rPr>
    </w:lvl>
  </w:abstractNum>
  <w:abstractNum w:abstractNumId="597">
    <w:nsid w:val="5C5582DD"/>
    <w:multiLevelType w:val="singleLevel"/>
    <w:tmpl w:val="5C5582DD"/>
    <w:lvl w:ilvl="0" w:tentative="0">
      <w:start w:val="1"/>
      <w:numFmt w:val="bullet"/>
      <w:suff w:val="space"/>
      <w:lvlText w:val=""/>
      <w:lvlJc w:val="left"/>
      <w:pPr>
        <w:ind w:left="420" w:hanging="420"/>
      </w:pPr>
      <w:rPr>
        <w:rFonts w:hint="default" w:ascii="Wingdings" w:hAnsi="Wingdings"/>
      </w:rPr>
    </w:lvl>
  </w:abstractNum>
  <w:abstractNum w:abstractNumId="598">
    <w:nsid w:val="5C82C9DD"/>
    <w:multiLevelType w:val="singleLevel"/>
    <w:tmpl w:val="5C82C9DD"/>
    <w:lvl w:ilvl="0" w:tentative="0">
      <w:start w:val="1"/>
      <w:numFmt w:val="decimal"/>
      <w:suff w:val="space"/>
      <w:lvlText w:val="%1)"/>
      <w:lvlJc w:val="left"/>
      <w:pPr>
        <w:ind w:left="425" w:hanging="425"/>
      </w:pPr>
      <w:rPr>
        <w:rFonts w:hint="default"/>
        <w:b w:val="0"/>
        <w:bCs w:val="0"/>
      </w:rPr>
    </w:lvl>
  </w:abstractNum>
  <w:abstractNum w:abstractNumId="599">
    <w:nsid w:val="5CAAB3DC"/>
    <w:multiLevelType w:val="singleLevel"/>
    <w:tmpl w:val="5CAAB3DC"/>
    <w:lvl w:ilvl="0" w:tentative="0">
      <w:start w:val="1"/>
      <w:numFmt w:val="bullet"/>
      <w:lvlText w:val=""/>
      <w:lvlJc w:val="left"/>
      <w:pPr>
        <w:ind w:left="420" w:hanging="420"/>
      </w:pPr>
      <w:rPr>
        <w:rFonts w:hint="default" w:ascii="Wingdings" w:hAnsi="Wingdings"/>
      </w:rPr>
    </w:lvl>
  </w:abstractNum>
  <w:abstractNum w:abstractNumId="600">
    <w:nsid w:val="5CE9DCF0"/>
    <w:multiLevelType w:val="singleLevel"/>
    <w:tmpl w:val="5CE9DCF0"/>
    <w:lvl w:ilvl="0" w:tentative="0">
      <w:start w:val="1"/>
      <w:numFmt w:val="decimal"/>
      <w:suff w:val="nothing"/>
      <w:lvlText w:val="%1）"/>
      <w:lvlJc w:val="left"/>
      <w:pPr>
        <w:ind w:left="0" w:firstLine="480"/>
      </w:pPr>
      <w:rPr>
        <w:rFonts w:hint="default"/>
      </w:rPr>
    </w:lvl>
  </w:abstractNum>
  <w:abstractNum w:abstractNumId="601">
    <w:nsid w:val="5DA10582"/>
    <w:multiLevelType w:val="singleLevel"/>
    <w:tmpl w:val="5DA10582"/>
    <w:lvl w:ilvl="0" w:tentative="0">
      <w:start w:val="1"/>
      <w:numFmt w:val="bullet"/>
      <w:lvlText w:val=""/>
      <w:lvlJc w:val="left"/>
      <w:pPr>
        <w:ind w:left="420" w:hanging="420"/>
      </w:pPr>
      <w:rPr>
        <w:rFonts w:hint="default" w:ascii="Wingdings" w:hAnsi="Wingdings"/>
      </w:rPr>
    </w:lvl>
  </w:abstractNum>
  <w:abstractNum w:abstractNumId="602">
    <w:nsid w:val="5DDCD4A0"/>
    <w:multiLevelType w:val="singleLevel"/>
    <w:tmpl w:val="5DDCD4A0"/>
    <w:lvl w:ilvl="0" w:tentative="0">
      <w:start w:val="1"/>
      <w:numFmt w:val="decimal"/>
      <w:suff w:val="space"/>
      <w:lvlText w:val="%1)"/>
      <w:lvlJc w:val="left"/>
      <w:pPr>
        <w:ind w:left="0" w:firstLine="480"/>
      </w:pPr>
      <w:rPr>
        <w:rFonts w:hint="default"/>
      </w:rPr>
    </w:lvl>
  </w:abstractNum>
  <w:abstractNum w:abstractNumId="603">
    <w:nsid w:val="5DE2E51D"/>
    <w:multiLevelType w:val="singleLevel"/>
    <w:tmpl w:val="5DE2E51D"/>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604">
    <w:nsid w:val="5E41DD69"/>
    <w:multiLevelType w:val="singleLevel"/>
    <w:tmpl w:val="5E41DD69"/>
    <w:lvl w:ilvl="0" w:tentative="0">
      <w:start w:val="1"/>
      <w:numFmt w:val="bullet"/>
      <w:lvlText w:val=""/>
      <w:lvlJc w:val="left"/>
      <w:pPr>
        <w:ind w:left="420" w:hanging="420"/>
      </w:pPr>
      <w:rPr>
        <w:rFonts w:hint="default" w:ascii="Wingdings" w:hAnsi="Wingdings"/>
      </w:rPr>
    </w:lvl>
  </w:abstractNum>
  <w:abstractNum w:abstractNumId="605">
    <w:nsid w:val="5EBE6D96"/>
    <w:multiLevelType w:val="singleLevel"/>
    <w:tmpl w:val="5EBE6D96"/>
    <w:lvl w:ilvl="0" w:tentative="0">
      <w:start w:val="1"/>
      <w:numFmt w:val="decimal"/>
      <w:suff w:val="space"/>
      <w:lvlText w:val="%1)"/>
      <w:lvlJc w:val="left"/>
      <w:pPr>
        <w:ind w:left="0" w:firstLine="480"/>
      </w:pPr>
      <w:rPr>
        <w:rFonts w:hint="default"/>
      </w:rPr>
    </w:lvl>
  </w:abstractNum>
  <w:abstractNum w:abstractNumId="606">
    <w:nsid w:val="5F1703AC"/>
    <w:multiLevelType w:val="singleLevel"/>
    <w:tmpl w:val="5F1703AC"/>
    <w:lvl w:ilvl="0" w:tentative="0">
      <w:start w:val="1"/>
      <w:numFmt w:val="bullet"/>
      <w:suff w:val="space"/>
      <w:lvlText w:val=""/>
      <w:lvlJc w:val="left"/>
      <w:pPr>
        <w:ind w:left="420" w:hanging="420"/>
      </w:pPr>
      <w:rPr>
        <w:rFonts w:hint="default" w:ascii="Wingdings" w:hAnsi="Wingdings"/>
      </w:rPr>
    </w:lvl>
  </w:abstractNum>
  <w:abstractNum w:abstractNumId="607">
    <w:nsid w:val="5FBE24FB"/>
    <w:multiLevelType w:val="singleLevel"/>
    <w:tmpl w:val="5FBE24FB"/>
    <w:lvl w:ilvl="0" w:tentative="0">
      <w:start w:val="1"/>
      <w:numFmt w:val="decimal"/>
      <w:suff w:val="space"/>
      <w:lvlText w:val="%1)"/>
      <w:lvlJc w:val="left"/>
      <w:pPr>
        <w:ind w:left="0" w:firstLine="480"/>
      </w:pPr>
      <w:rPr>
        <w:rFonts w:hint="default"/>
      </w:rPr>
    </w:lvl>
  </w:abstractNum>
  <w:abstractNum w:abstractNumId="608">
    <w:nsid w:val="5FECE28A"/>
    <w:multiLevelType w:val="singleLevel"/>
    <w:tmpl w:val="5FECE28A"/>
    <w:lvl w:ilvl="0" w:tentative="0">
      <w:start w:val="1"/>
      <w:numFmt w:val="bullet"/>
      <w:lvlText w:val=""/>
      <w:lvlJc w:val="left"/>
      <w:pPr>
        <w:ind w:left="420" w:hanging="420"/>
      </w:pPr>
      <w:rPr>
        <w:rFonts w:hint="default" w:ascii="Wingdings" w:hAnsi="Wingdings"/>
      </w:rPr>
    </w:lvl>
  </w:abstractNum>
  <w:abstractNum w:abstractNumId="609">
    <w:nsid w:val="5FF075E5"/>
    <w:multiLevelType w:val="singleLevel"/>
    <w:tmpl w:val="5FF075E5"/>
    <w:lvl w:ilvl="0" w:tentative="0">
      <w:start w:val="1"/>
      <w:numFmt w:val="decimal"/>
      <w:suff w:val="space"/>
      <w:lvlText w:val="%1)"/>
      <w:lvlJc w:val="left"/>
      <w:pPr>
        <w:ind w:left="0" w:firstLine="480"/>
      </w:pPr>
      <w:rPr>
        <w:rFonts w:hint="default"/>
      </w:rPr>
    </w:lvl>
  </w:abstractNum>
  <w:abstractNum w:abstractNumId="610">
    <w:nsid w:val="603A35F2"/>
    <w:multiLevelType w:val="singleLevel"/>
    <w:tmpl w:val="603A35F2"/>
    <w:lvl w:ilvl="0" w:tentative="0">
      <w:start w:val="1"/>
      <w:numFmt w:val="decimal"/>
      <w:suff w:val="space"/>
      <w:lvlText w:val="%1)"/>
      <w:lvlJc w:val="left"/>
      <w:pPr>
        <w:ind w:left="0" w:firstLine="480"/>
      </w:pPr>
      <w:rPr>
        <w:rFonts w:hint="default"/>
      </w:rPr>
    </w:lvl>
  </w:abstractNum>
  <w:abstractNum w:abstractNumId="611">
    <w:nsid w:val="60D92E34"/>
    <w:multiLevelType w:val="singleLevel"/>
    <w:tmpl w:val="60D92E34"/>
    <w:lvl w:ilvl="0" w:tentative="0">
      <w:start w:val="1"/>
      <w:numFmt w:val="decimal"/>
      <w:suff w:val="space"/>
      <w:lvlText w:val="%1)"/>
      <w:lvlJc w:val="left"/>
      <w:pPr>
        <w:ind w:left="425" w:hanging="425"/>
      </w:pPr>
      <w:rPr>
        <w:rFonts w:hint="default"/>
      </w:rPr>
    </w:lvl>
  </w:abstractNum>
  <w:abstractNum w:abstractNumId="612">
    <w:nsid w:val="61AD5AC6"/>
    <w:multiLevelType w:val="singleLevel"/>
    <w:tmpl w:val="61AD5AC6"/>
    <w:lvl w:ilvl="0" w:tentative="0">
      <w:start w:val="1"/>
      <w:numFmt w:val="decimal"/>
      <w:suff w:val="space"/>
      <w:lvlText w:val="1.%1"/>
      <w:lvlJc w:val="left"/>
      <w:pPr>
        <w:ind w:left="360" w:firstLine="480"/>
      </w:pPr>
      <w:rPr>
        <w:rFonts w:hint="default"/>
      </w:rPr>
    </w:lvl>
  </w:abstractNum>
  <w:abstractNum w:abstractNumId="613">
    <w:nsid w:val="6295E9F3"/>
    <w:multiLevelType w:val="singleLevel"/>
    <w:tmpl w:val="6295E9F3"/>
    <w:lvl w:ilvl="0" w:tentative="0">
      <w:start w:val="1"/>
      <w:numFmt w:val="decimal"/>
      <w:suff w:val="space"/>
      <w:lvlText w:val="%1)"/>
      <w:lvlJc w:val="left"/>
      <w:pPr>
        <w:ind w:left="0" w:firstLine="480"/>
      </w:pPr>
      <w:rPr>
        <w:rFonts w:hint="default"/>
      </w:rPr>
    </w:lvl>
  </w:abstractNum>
  <w:abstractNum w:abstractNumId="614">
    <w:nsid w:val="62C0E4B6"/>
    <w:multiLevelType w:val="singleLevel"/>
    <w:tmpl w:val="62C0E4B6"/>
    <w:lvl w:ilvl="0" w:tentative="0">
      <w:start w:val="1"/>
      <w:numFmt w:val="decimal"/>
      <w:suff w:val="space"/>
      <w:lvlText w:val="%1)"/>
      <w:lvlJc w:val="left"/>
      <w:pPr>
        <w:ind w:left="0" w:firstLine="480"/>
      </w:pPr>
      <w:rPr>
        <w:rFonts w:hint="default"/>
      </w:rPr>
    </w:lvl>
  </w:abstractNum>
  <w:abstractNum w:abstractNumId="615">
    <w:nsid w:val="62C23A3B"/>
    <w:multiLevelType w:val="singleLevel"/>
    <w:tmpl w:val="62C23A3B"/>
    <w:lvl w:ilvl="0" w:tentative="0">
      <w:start w:val="1"/>
      <w:numFmt w:val="decimal"/>
      <w:suff w:val="space"/>
      <w:lvlText w:val="2.%1"/>
      <w:lvlJc w:val="left"/>
      <w:pPr>
        <w:tabs>
          <w:tab w:val="left" w:pos="0"/>
        </w:tabs>
        <w:ind w:left="0" w:firstLine="0"/>
      </w:pPr>
      <w:rPr>
        <w:rFonts w:hint="default"/>
      </w:rPr>
    </w:lvl>
  </w:abstractNum>
  <w:abstractNum w:abstractNumId="616">
    <w:nsid w:val="632782EE"/>
    <w:multiLevelType w:val="singleLevel"/>
    <w:tmpl w:val="632782EE"/>
    <w:lvl w:ilvl="0" w:tentative="0">
      <w:start w:val="1"/>
      <w:numFmt w:val="decimal"/>
      <w:suff w:val="space"/>
      <w:lvlText w:val="1.3.%1"/>
      <w:lvlJc w:val="left"/>
      <w:pPr>
        <w:tabs>
          <w:tab w:val="left" w:pos="0"/>
        </w:tabs>
        <w:ind w:left="0" w:firstLine="0"/>
      </w:pPr>
      <w:rPr>
        <w:rFonts w:hint="default" w:ascii="宋体" w:hAnsi="宋体" w:eastAsia="宋体" w:cs="宋体"/>
      </w:rPr>
    </w:lvl>
  </w:abstractNum>
  <w:abstractNum w:abstractNumId="617">
    <w:nsid w:val="6388745B"/>
    <w:multiLevelType w:val="singleLevel"/>
    <w:tmpl w:val="6388745B"/>
    <w:lvl w:ilvl="0" w:tentative="0">
      <w:start w:val="1"/>
      <w:numFmt w:val="bullet"/>
      <w:lvlText w:val=""/>
      <w:lvlJc w:val="left"/>
      <w:pPr>
        <w:ind w:left="420" w:hanging="420"/>
      </w:pPr>
      <w:rPr>
        <w:rFonts w:hint="default" w:ascii="Wingdings" w:hAnsi="Wingdings"/>
      </w:rPr>
    </w:lvl>
  </w:abstractNum>
  <w:abstractNum w:abstractNumId="618">
    <w:nsid w:val="63A1FC40"/>
    <w:multiLevelType w:val="singleLevel"/>
    <w:tmpl w:val="63A1FC40"/>
    <w:lvl w:ilvl="0" w:tentative="0">
      <w:start w:val="1"/>
      <w:numFmt w:val="bullet"/>
      <w:suff w:val="space"/>
      <w:lvlText w:val=""/>
      <w:lvlJc w:val="left"/>
      <w:pPr>
        <w:ind w:left="420" w:hanging="420"/>
      </w:pPr>
      <w:rPr>
        <w:rFonts w:hint="default" w:ascii="Wingdings" w:hAnsi="Wingdings"/>
      </w:rPr>
    </w:lvl>
  </w:abstractNum>
  <w:abstractNum w:abstractNumId="619">
    <w:nsid w:val="63ABC56E"/>
    <w:multiLevelType w:val="singleLevel"/>
    <w:tmpl w:val="63ABC56E"/>
    <w:lvl w:ilvl="0" w:tentative="0">
      <w:start w:val="1"/>
      <w:numFmt w:val="bullet"/>
      <w:suff w:val="nothing"/>
      <w:lvlText w:val=""/>
      <w:lvlJc w:val="left"/>
      <w:pPr>
        <w:ind w:left="420" w:hanging="420"/>
      </w:pPr>
      <w:rPr>
        <w:rFonts w:hint="default" w:ascii="Wingdings" w:hAnsi="Wingdings"/>
      </w:rPr>
    </w:lvl>
  </w:abstractNum>
  <w:abstractNum w:abstractNumId="620">
    <w:nsid w:val="63BCA698"/>
    <w:multiLevelType w:val="singleLevel"/>
    <w:tmpl w:val="63BCA698"/>
    <w:lvl w:ilvl="0" w:tentative="0">
      <w:start w:val="1"/>
      <w:numFmt w:val="decimal"/>
      <w:suff w:val="space"/>
      <w:lvlText w:val="1.6.1.%1"/>
      <w:lvlJc w:val="left"/>
      <w:pPr>
        <w:tabs>
          <w:tab w:val="left" w:pos="0"/>
        </w:tabs>
        <w:ind w:left="0" w:firstLine="0"/>
      </w:pPr>
      <w:rPr>
        <w:rFonts w:hint="default"/>
      </w:rPr>
    </w:lvl>
  </w:abstractNum>
  <w:abstractNum w:abstractNumId="621">
    <w:nsid w:val="64039D28"/>
    <w:multiLevelType w:val="singleLevel"/>
    <w:tmpl w:val="64039D28"/>
    <w:lvl w:ilvl="0" w:tentative="0">
      <w:start w:val="1"/>
      <w:numFmt w:val="bullet"/>
      <w:lvlText w:val=""/>
      <w:lvlJc w:val="left"/>
      <w:pPr>
        <w:ind w:left="420" w:hanging="420"/>
      </w:pPr>
      <w:rPr>
        <w:rFonts w:hint="default" w:ascii="Wingdings" w:hAnsi="Wingdings"/>
      </w:rPr>
    </w:lvl>
  </w:abstractNum>
  <w:abstractNum w:abstractNumId="622">
    <w:nsid w:val="64B5E6C2"/>
    <w:multiLevelType w:val="singleLevel"/>
    <w:tmpl w:val="64B5E6C2"/>
    <w:lvl w:ilvl="0" w:tentative="0">
      <w:start w:val="1"/>
      <w:numFmt w:val="decimal"/>
      <w:suff w:val="space"/>
      <w:lvlText w:val="2.%1"/>
      <w:lvlJc w:val="left"/>
      <w:pPr>
        <w:tabs>
          <w:tab w:val="left" w:pos="0"/>
        </w:tabs>
        <w:ind w:left="0" w:firstLine="480"/>
      </w:pPr>
      <w:rPr>
        <w:rFonts w:hint="default" w:ascii="宋体" w:hAnsi="宋体" w:eastAsia="宋体" w:cs="宋体"/>
        <w:sz w:val="24"/>
        <w:szCs w:val="24"/>
      </w:rPr>
    </w:lvl>
  </w:abstractNum>
  <w:abstractNum w:abstractNumId="623">
    <w:nsid w:val="650C04B7"/>
    <w:multiLevelType w:val="singleLevel"/>
    <w:tmpl w:val="650C04B7"/>
    <w:lvl w:ilvl="0" w:tentative="0">
      <w:start w:val="1"/>
      <w:numFmt w:val="decimal"/>
      <w:suff w:val="nothing"/>
      <w:lvlText w:val="%1."/>
      <w:lvlJc w:val="left"/>
      <w:pPr>
        <w:tabs>
          <w:tab w:val="left" w:pos="0"/>
        </w:tabs>
        <w:ind w:left="0" w:firstLine="0"/>
      </w:pPr>
      <w:rPr>
        <w:rFonts w:hint="default" w:ascii="宋体" w:hAnsi="宋体" w:eastAsia="宋体" w:cs="宋体"/>
        <w:b w:val="0"/>
        <w:bCs w:val="0"/>
        <w:sz w:val="24"/>
        <w:szCs w:val="24"/>
      </w:rPr>
    </w:lvl>
  </w:abstractNum>
  <w:abstractNum w:abstractNumId="624">
    <w:nsid w:val="656EBCBD"/>
    <w:multiLevelType w:val="singleLevel"/>
    <w:tmpl w:val="656EBCBD"/>
    <w:lvl w:ilvl="0" w:tentative="0">
      <w:start w:val="1"/>
      <w:numFmt w:val="bullet"/>
      <w:lvlText w:val=""/>
      <w:lvlJc w:val="left"/>
      <w:pPr>
        <w:tabs>
          <w:tab w:val="left" w:pos="420"/>
        </w:tabs>
        <w:ind w:left="840" w:hanging="420"/>
      </w:pPr>
      <w:rPr>
        <w:rFonts w:hint="default" w:ascii="Wingdings" w:hAnsi="Wingdings"/>
      </w:rPr>
    </w:lvl>
  </w:abstractNum>
  <w:abstractNum w:abstractNumId="625">
    <w:nsid w:val="65C4A4C3"/>
    <w:multiLevelType w:val="singleLevel"/>
    <w:tmpl w:val="65C4A4C3"/>
    <w:lvl w:ilvl="0" w:tentative="0">
      <w:start w:val="1"/>
      <w:numFmt w:val="bullet"/>
      <w:lvlText w:val=""/>
      <w:lvlJc w:val="left"/>
      <w:pPr>
        <w:tabs>
          <w:tab w:val="left" w:pos="420"/>
        </w:tabs>
        <w:ind w:left="840" w:hanging="420"/>
      </w:pPr>
      <w:rPr>
        <w:rFonts w:hint="default" w:ascii="Wingdings" w:hAnsi="Wingdings"/>
      </w:rPr>
    </w:lvl>
  </w:abstractNum>
  <w:abstractNum w:abstractNumId="626">
    <w:nsid w:val="66D6100E"/>
    <w:multiLevelType w:val="singleLevel"/>
    <w:tmpl w:val="66D6100E"/>
    <w:lvl w:ilvl="0" w:tentative="0">
      <w:start w:val="1"/>
      <w:numFmt w:val="decimal"/>
      <w:suff w:val="space"/>
      <w:lvlText w:val="6.5.%1"/>
      <w:lvlJc w:val="left"/>
      <w:pPr>
        <w:tabs>
          <w:tab w:val="left" w:pos="0"/>
        </w:tabs>
        <w:ind w:left="425" w:hanging="425"/>
      </w:pPr>
      <w:rPr>
        <w:rFonts w:hint="default" w:ascii="宋体" w:hAnsi="宋体" w:eastAsia="宋体" w:cs="宋体"/>
      </w:rPr>
    </w:lvl>
  </w:abstractNum>
  <w:abstractNum w:abstractNumId="627">
    <w:nsid w:val="6748F35E"/>
    <w:multiLevelType w:val="singleLevel"/>
    <w:tmpl w:val="6748F35E"/>
    <w:lvl w:ilvl="0" w:tentative="0">
      <w:start w:val="1"/>
      <w:numFmt w:val="decimal"/>
      <w:suff w:val="nothing"/>
      <w:lvlText w:val="%1）"/>
      <w:lvlJc w:val="left"/>
      <w:pPr>
        <w:ind w:left="0" w:firstLine="480"/>
      </w:pPr>
      <w:rPr>
        <w:rFonts w:hint="default"/>
      </w:rPr>
    </w:lvl>
  </w:abstractNum>
  <w:abstractNum w:abstractNumId="628">
    <w:nsid w:val="67941DA1"/>
    <w:multiLevelType w:val="singleLevel"/>
    <w:tmpl w:val="67941DA1"/>
    <w:lvl w:ilvl="0" w:tentative="0">
      <w:start w:val="1"/>
      <w:numFmt w:val="decimal"/>
      <w:suff w:val="space"/>
      <w:lvlText w:val="4.3.%1"/>
      <w:lvlJc w:val="left"/>
      <w:pPr>
        <w:tabs>
          <w:tab w:val="left" w:pos="0"/>
        </w:tabs>
        <w:ind w:left="425" w:hanging="425"/>
      </w:pPr>
      <w:rPr>
        <w:rFonts w:hint="default" w:ascii="宋体" w:hAnsi="宋体" w:eastAsia="宋体" w:cs="宋体"/>
      </w:rPr>
    </w:lvl>
  </w:abstractNum>
  <w:abstractNum w:abstractNumId="629">
    <w:nsid w:val="68B974D3"/>
    <w:multiLevelType w:val="multilevel"/>
    <w:tmpl w:val="68B974D3"/>
    <w:lvl w:ilvl="0" w:tentative="0">
      <w:start w:val="1"/>
      <w:numFmt w:val="bullet"/>
      <w:lvlText w:val=""/>
      <w:lvlJc w:val="left"/>
      <w:pPr>
        <w:ind w:left="900" w:hanging="420"/>
      </w:pPr>
      <w:rPr>
        <w:rFonts w:hint="default" w:ascii="Wingdings" w:hAnsi="Wingdings"/>
      </w:rPr>
    </w:lvl>
    <w:lvl w:ilvl="1" w:tentative="0">
      <w:start w:val="1"/>
      <w:numFmt w:val="bullet"/>
      <w:suff w:val="space"/>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30">
    <w:nsid w:val="68C04A6A"/>
    <w:multiLevelType w:val="singleLevel"/>
    <w:tmpl w:val="68C04A6A"/>
    <w:lvl w:ilvl="0" w:tentative="0">
      <w:start w:val="1"/>
      <w:numFmt w:val="decimal"/>
      <w:suff w:val="space"/>
      <w:lvlText w:val="4.6.%1"/>
      <w:lvlJc w:val="left"/>
      <w:pPr>
        <w:tabs>
          <w:tab w:val="left" w:pos="0"/>
        </w:tabs>
        <w:ind w:left="0" w:firstLine="0"/>
      </w:pPr>
      <w:rPr>
        <w:rFonts w:hint="default"/>
      </w:rPr>
    </w:lvl>
  </w:abstractNum>
  <w:abstractNum w:abstractNumId="631">
    <w:nsid w:val="68ED270D"/>
    <w:multiLevelType w:val="singleLevel"/>
    <w:tmpl w:val="68ED270D"/>
    <w:lvl w:ilvl="0" w:tentative="0">
      <w:start w:val="1"/>
      <w:numFmt w:val="decimal"/>
      <w:suff w:val="space"/>
      <w:lvlText w:val="1.%1"/>
      <w:lvlJc w:val="left"/>
      <w:pPr>
        <w:ind w:left="0" w:firstLine="480"/>
      </w:pPr>
      <w:rPr>
        <w:rFonts w:hint="default"/>
      </w:rPr>
    </w:lvl>
  </w:abstractNum>
  <w:abstractNum w:abstractNumId="632">
    <w:nsid w:val="690A87C0"/>
    <w:multiLevelType w:val="multilevel"/>
    <w:tmpl w:val="690A87C0"/>
    <w:lvl w:ilvl="0" w:tentative="0">
      <w:start w:val="1"/>
      <w:numFmt w:val="lowerLetter"/>
      <w:suff w:val="space"/>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3">
    <w:nsid w:val="6966D193"/>
    <w:multiLevelType w:val="singleLevel"/>
    <w:tmpl w:val="6966D193"/>
    <w:lvl w:ilvl="0" w:tentative="0">
      <w:start w:val="1"/>
      <w:numFmt w:val="decimal"/>
      <w:suff w:val="space"/>
      <w:lvlText w:val="1.14.%1"/>
      <w:lvlJc w:val="left"/>
      <w:pPr>
        <w:tabs>
          <w:tab w:val="left" w:pos="0"/>
        </w:tabs>
        <w:ind w:left="0" w:firstLine="0"/>
      </w:pPr>
      <w:rPr>
        <w:rFonts w:hint="default"/>
      </w:rPr>
    </w:lvl>
  </w:abstractNum>
  <w:abstractNum w:abstractNumId="634">
    <w:nsid w:val="69723173"/>
    <w:multiLevelType w:val="singleLevel"/>
    <w:tmpl w:val="69723173"/>
    <w:lvl w:ilvl="0" w:tentative="0">
      <w:start w:val="1"/>
      <w:numFmt w:val="bullet"/>
      <w:suff w:val="space"/>
      <w:lvlText w:val=""/>
      <w:lvlJc w:val="left"/>
      <w:pPr>
        <w:ind w:left="0" w:firstLine="0"/>
      </w:pPr>
      <w:rPr>
        <w:rFonts w:hint="default" w:ascii="Wingdings" w:hAnsi="Wingdings"/>
      </w:rPr>
    </w:lvl>
  </w:abstractNum>
  <w:abstractNum w:abstractNumId="635">
    <w:nsid w:val="6A9426F3"/>
    <w:multiLevelType w:val="multilevel"/>
    <w:tmpl w:val="6A9426F3"/>
    <w:lvl w:ilvl="0" w:tentative="0">
      <w:start w:val="1"/>
      <w:numFmt w:val="lowerLetter"/>
      <w:lvlText w:val="%1."/>
      <w:lvlJc w:val="left"/>
      <w:pPr>
        <w:tabs>
          <w:tab w:val="left" w:pos="0"/>
        </w:tabs>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6">
    <w:nsid w:val="6B3851A8"/>
    <w:multiLevelType w:val="singleLevel"/>
    <w:tmpl w:val="6B3851A8"/>
    <w:lvl w:ilvl="0" w:tentative="0">
      <w:start w:val="1"/>
      <w:numFmt w:val="decimal"/>
      <w:suff w:val="space"/>
      <w:lvlText w:val="%1)"/>
      <w:lvlJc w:val="left"/>
      <w:pPr>
        <w:ind w:left="0" w:firstLine="480"/>
      </w:pPr>
      <w:rPr>
        <w:rFonts w:hint="default"/>
      </w:rPr>
    </w:lvl>
  </w:abstractNum>
  <w:abstractNum w:abstractNumId="637">
    <w:nsid w:val="6B9B7A46"/>
    <w:multiLevelType w:val="multilevel"/>
    <w:tmpl w:val="6B9B7A4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38">
    <w:nsid w:val="6C5E1297"/>
    <w:multiLevelType w:val="singleLevel"/>
    <w:tmpl w:val="6C5E1297"/>
    <w:lvl w:ilvl="0" w:tentative="0">
      <w:start w:val="1"/>
      <w:numFmt w:val="bullet"/>
      <w:lvlText w:val=""/>
      <w:lvlJc w:val="left"/>
      <w:pPr>
        <w:ind w:left="420" w:hanging="420"/>
      </w:pPr>
      <w:rPr>
        <w:rFonts w:hint="default" w:ascii="Wingdings" w:hAnsi="Wingdings"/>
      </w:rPr>
    </w:lvl>
  </w:abstractNum>
  <w:abstractNum w:abstractNumId="639">
    <w:nsid w:val="6C6C37C0"/>
    <w:multiLevelType w:val="singleLevel"/>
    <w:tmpl w:val="6C6C37C0"/>
    <w:lvl w:ilvl="0" w:tentative="0">
      <w:start w:val="1"/>
      <w:numFmt w:val="bullet"/>
      <w:suff w:val="space"/>
      <w:lvlText w:val=""/>
      <w:lvlJc w:val="left"/>
      <w:pPr>
        <w:ind w:left="420" w:hanging="137"/>
      </w:pPr>
      <w:rPr>
        <w:rFonts w:hint="default" w:ascii="Wingdings" w:hAnsi="Wingdings"/>
      </w:rPr>
    </w:lvl>
  </w:abstractNum>
  <w:abstractNum w:abstractNumId="640">
    <w:nsid w:val="6CAE40C6"/>
    <w:multiLevelType w:val="singleLevel"/>
    <w:tmpl w:val="6CAE40C6"/>
    <w:lvl w:ilvl="0" w:tentative="0">
      <w:start w:val="1"/>
      <w:numFmt w:val="bullet"/>
      <w:suff w:val="space"/>
      <w:lvlText w:val=""/>
      <w:lvlJc w:val="left"/>
      <w:pPr>
        <w:ind w:left="420" w:hanging="420"/>
      </w:pPr>
      <w:rPr>
        <w:rFonts w:hint="default" w:ascii="Wingdings" w:hAnsi="Wingdings"/>
      </w:rPr>
    </w:lvl>
  </w:abstractNum>
  <w:abstractNum w:abstractNumId="641">
    <w:nsid w:val="6D5A71B5"/>
    <w:multiLevelType w:val="multilevel"/>
    <w:tmpl w:val="6D5A71B5"/>
    <w:lvl w:ilvl="0" w:tentative="0">
      <w:start w:val="1"/>
      <w:numFmt w:val="bullet"/>
      <w:suff w:val="space"/>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42">
    <w:nsid w:val="6DE61AE2"/>
    <w:multiLevelType w:val="singleLevel"/>
    <w:tmpl w:val="6DE61AE2"/>
    <w:lvl w:ilvl="0" w:tentative="0">
      <w:start w:val="1"/>
      <w:numFmt w:val="decimal"/>
      <w:suff w:val="space"/>
      <w:lvlText w:val="%1)"/>
      <w:lvlJc w:val="left"/>
      <w:pPr>
        <w:ind w:left="0" w:firstLine="480"/>
      </w:pPr>
      <w:rPr>
        <w:rFonts w:hint="default"/>
      </w:rPr>
    </w:lvl>
  </w:abstractNum>
  <w:abstractNum w:abstractNumId="643">
    <w:nsid w:val="6E3A4892"/>
    <w:multiLevelType w:val="singleLevel"/>
    <w:tmpl w:val="6E3A4892"/>
    <w:lvl w:ilvl="0" w:tentative="0">
      <w:start w:val="1"/>
      <w:numFmt w:val="decimal"/>
      <w:suff w:val="space"/>
      <w:lvlText w:val="%1)"/>
      <w:lvlJc w:val="left"/>
      <w:pPr>
        <w:ind w:left="0" w:firstLine="480"/>
      </w:pPr>
      <w:rPr>
        <w:rFonts w:hint="default" w:ascii="宋体" w:hAnsi="宋体" w:eastAsia="宋体" w:cstheme="minorEastAsia"/>
        <w:sz w:val="24"/>
        <w:szCs w:val="24"/>
      </w:rPr>
    </w:lvl>
  </w:abstractNum>
  <w:abstractNum w:abstractNumId="644">
    <w:nsid w:val="6EA65E6E"/>
    <w:multiLevelType w:val="singleLevel"/>
    <w:tmpl w:val="6EA65E6E"/>
    <w:lvl w:ilvl="0" w:tentative="0">
      <w:start w:val="1"/>
      <w:numFmt w:val="decimal"/>
      <w:suff w:val="space"/>
      <w:lvlText w:val="1.%1"/>
      <w:lvlJc w:val="left"/>
      <w:pPr>
        <w:tabs>
          <w:tab w:val="left" w:pos="0"/>
        </w:tabs>
        <w:ind w:left="0" w:firstLine="0"/>
      </w:pPr>
      <w:rPr>
        <w:rFonts w:hint="default" w:ascii="宋体" w:hAnsi="宋体" w:eastAsia="宋体" w:cs="宋体"/>
      </w:rPr>
    </w:lvl>
  </w:abstractNum>
  <w:abstractNum w:abstractNumId="645">
    <w:nsid w:val="6ECC1A1C"/>
    <w:multiLevelType w:val="singleLevel"/>
    <w:tmpl w:val="6ECC1A1C"/>
    <w:lvl w:ilvl="0" w:tentative="0">
      <w:start w:val="1"/>
      <w:numFmt w:val="decimal"/>
      <w:suff w:val="space"/>
      <w:lvlText w:val="%1)"/>
      <w:lvlJc w:val="left"/>
      <w:pPr>
        <w:ind w:left="425" w:hanging="425"/>
      </w:pPr>
      <w:rPr>
        <w:rFonts w:hint="default"/>
      </w:rPr>
    </w:lvl>
  </w:abstractNum>
  <w:abstractNum w:abstractNumId="646">
    <w:nsid w:val="6ED25051"/>
    <w:multiLevelType w:val="multilevel"/>
    <w:tmpl w:val="6ED2505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47">
    <w:nsid w:val="6EDD5D54"/>
    <w:multiLevelType w:val="singleLevel"/>
    <w:tmpl w:val="6EDD5D54"/>
    <w:lvl w:ilvl="0" w:tentative="0">
      <w:start w:val="1"/>
      <w:numFmt w:val="decimal"/>
      <w:lvlText w:val="%1)"/>
      <w:lvlJc w:val="left"/>
      <w:pPr>
        <w:ind w:left="425" w:hanging="425"/>
      </w:pPr>
      <w:rPr>
        <w:rFonts w:hint="default"/>
      </w:rPr>
    </w:lvl>
  </w:abstractNum>
  <w:abstractNum w:abstractNumId="648">
    <w:nsid w:val="6EE3323A"/>
    <w:multiLevelType w:val="singleLevel"/>
    <w:tmpl w:val="6EE3323A"/>
    <w:lvl w:ilvl="0" w:tentative="0">
      <w:start w:val="1"/>
      <w:numFmt w:val="decimal"/>
      <w:suff w:val="space"/>
      <w:lvlText w:val="1.20.%1"/>
      <w:lvlJc w:val="left"/>
      <w:pPr>
        <w:tabs>
          <w:tab w:val="left" w:pos="0"/>
        </w:tabs>
        <w:ind w:left="0" w:firstLine="0"/>
      </w:pPr>
      <w:rPr>
        <w:rFonts w:hint="default"/>
      </w:rPr>
    </w:lvl>
  </w:abstractNum>
  <w:abstractNum w:abstractNumId="649">
    <w:nsid w:val="6F0A9826"/>
    <w:multiLevelType w:val="singleLevel"/>
    <w:tmpl w:val="6F0A9826"/>
    <w:lvl w:ilvl="0" w:tentative="0">
      <w:start w:val="1"/>
      <w:numFmt w:val="decimal"/>
      <w:suff w:val="space"/>
      <w:lvlText w:val="%1)"/>
      <w:lvlJc w:val="left"/>
      <w:pPr>
        <w:ind w:left="0" w:firstLine="480"/>
      </w:pPr>
      <w:rPr>
        <w:rFonts w:hint="default"/>
      </w:rPr>
    </w:lvl>
  </w:abstractNum>
  <w:abstractNum w:abstractNumId="650">
    <w:nsid w:val="705B8E67"/>
    <w:multiLevelType w:val="singleLevel"/>
    <w:tmpl w:val="705B8E67"/>
    <w:lvl w:ilvl="0" w:tentative="0">
      <w:start w:val="1"/>
      <w:numFmt w:val="decimal"/>
      <w:suff w:val="space"/>
      <w:lvlText w:val="%1)"/>
      <w:lvlJc w:val="left"/>
      <w:pPr>
        <w:ind w:left="0" w:firstLine="480"/>
      </w:pPr>
      <w:rPr>
        <w:rFonts w:hint="default"/>
      </w:rPr>
    </w:lvl>
  </w:abstractNum>
  <w:abstractNum w:abstractNumId="651">
    <w:nsid w:val="705EACF8"/>
    <w:multiLevelType w:val="singleLevel"/>
    <w:tmpl w:val="705EACF8"/>
    <w:lvl w:ilvl="0" w:tentative="0">
      <w:start w:val="1"/>
      <w:numFmt w:val="decimal"/>
      <w:suff w:val="space"/>
      <w:lvlText w:val="%1)"/>
      <w:lvlJc w:val="left"/>
      <w:pPr>
        <w:ind w:left="0" w:firstLine="480"/>
      </w:pPr>
      <w:rPr>
        <w:rFonts w:hint="default"/>
      </w:rPr>
    </w:lvl>
  </w:abstractNum>
  <w:abstractNum w:abstractNumId="652">
    <w:nsid w:val="70EFF606"/>
    <w:multiLevelType w:val="singleLevel"/>
    <w:tmpl w:val="70EFF606"/>
    <w:lvl w:ilvl="0" w:tentative="0">
      <w:start w:val="1"/>
      <w:numFmt w:val="bullet"/>
      <w:lvlText w:val=""/>
      <w:lvlJc w:val="left"/>
      <w:pPr>
        <w:ind w:left="420" w:hanging="420"/>
      </w:pPr>
      <w:rPr>
        <w:rFonts w:hint="default" w:ascii="Wingdings" w:hAnsi="Wingdings"/>
      </w:rPr>
    </w:lvl>
  </w:abstractNum>
  <w:abstractNum w:abstractNumId="653">
    <w:nsid w:val="71435DD8"/>
    <w:multiLevelType w:val="singleLevel"/>
    <w:tmpl w:val="71435DD8"/>
    <w:lvl w:ilvl="0" w:tentative="0">
      <w:start w:val="1"/>
      <w:numFmt w:val="decimal"/>
      <w:suff w:val="space"/>
      <w:lvlText w:val="%1)"/>
      <w:lvlJc w:val="left"/>
      <w:pPr>
        <w:ind w:left="0" w:firstLine="480"/>
      </w:pPr>
      <w:rPr>
        <w:rFonts w:hint="default"/>
      </w:rPr>
    </w:lvl>
  </w:abstractNum>
  <w:abstractNum w:abstractNumId="654">
    <w:nsid w:val="71FD3A7B"/>
    <w:multiLevelType w:val="singleLevel"/>
    <w:tmpl w:val="71FD3A7B"/>
    <w:lvl w:ilvl="0" w:tentative="0">
      <w:start w:val="1"/>
      <w:numFmt w:val="decimal"/>
      <w:suff w:val="space"/>
      <w:lvlText w:val="%1)"/>
      <w:lvlJc w:val="left"/>
      <w:pPr>
        <w:ind w:left="0" w:firstLine="480"/>
      </w:pPr>
      <w:rPr>
        <w:rFonts w:hint="default"/>
      </w:rPr>
    </w:lvl>
  </w:abstractNum>
  <w:abstractNum w:abstractNumId="655">
    <w:nsid w:val="720B587A"/>
    <w:multiLevelType w:val="singleLevel"/>
    <w:tmpl w:val="720B587A"/>
    <w:lvl w:ilvl="0" w:tentative="0">
      <w:start w:val="1"/>
      <w:numFmt w:val="decimal"/>
      <w:suff w:val="space"/>
      <w:lvlText w:val="%1)"/>
      <w:lvlJc w:val="left"/>
      <w:pPr>
        <w:ind w:left="0" w:firstLine="480"/>
      </w:pPr>
      <w:rPr>
        <w:rFonts w:hint="default"/>
      </w:rPr>
    </w:lvl>
  </w:abstractNum>
  <w:abstractNum w:abstractNumId="656">
    <w:nsid w:val="7244F235"/>
    <w:multiLevelType w:val="singleLevel"/>
    <w:tmpl w:val="7244F235"/>
    <w:lvl w:ilvl="0" w:tentative="0">
      <w:start w:val="1"/>
      <w:numFmt w:val="decimal"/>
      <w:suff w:val="space"/>
      <w:lvlText w:val="%1)"/>
      <w:lvlJc w:val="left"/>
      <w:pPr>
        <w:ind w:left="425" w:hanging="425"/>
      </w:pPr>
      <w:rPr>
        <w:rFonts w:hint="default"/>
      </w:rPr>
    </w:lvl>
  </w:abstractNum>
  <w:abstractNum w:abstractNumId="657">
    <w:nsid w:val="72757F3F"/>
    <w:multiLevelType w:val="singleLevel"/>
    <w:tmpl w:val="72757F3F"/>
    <w:lvl w:ilvl="0" w:tentative="0">
      <w:start w:val="1"/>
      <w:numFmt w:val="decimal"/>
      <w:suff w:val="space"/>
      <w:lvlText w:val="1.%1"/>
      <w:lvlJc w:val="left"/>
      <w:pPr>
        <w:ind w:left="0" w:firstLine="480"/>
      </w:pPr>
      <w:rPr>
        <w:rFonts w:hint="default"/>
      </w:rPr>
    </w:lvl>
  </w:abstractNum>
  <w:abstractNum w:abstractNumId="658">
    <w:nsid w:val="729C7216"/>
    <w:multiLevelType w:val="singleLevel"/>
    <w:tmpl w:val="729C7216"/>
    <w:lvl w:ilvl="0" w:tentative="0">
      <w:start w:val="1"/>
      <w:numFmt w:val="decimal"/>
      <w:suff w:val="space"/>
      <w:lvlText w:val="21.%1"/>
      <w:lvlJc w:val="left"/>
      <w:pPr>
        <w:tabs>
          <w:tab w:val="left" w:pos="0"/>
        </w:tabs>
        <w:ind w:left="0" w:firstLine="0"/>
      </w:pPr>
      <w:rPr>
        <w:rFonts w:hint="default"/>
      </w:rPr>
    </w:lvl>
  </w:abstractNum>
  <w:abstractNum w:abstractNumId="659">
    <w:nsid w:val="733BD312"/>
    <w:multiLevelType w:val="singleLevel"/>
    <w:tmpl w:val="733BD312"/>
    <w:lvl w:ilvl="0" w:tentative="0">
      <w:start w:val="1"/>
      <w:numFmt w:val="bullet"/>
      <w:lvlText w:val=""/>
      <w:lvlJc w:val="left"/>
      <w:pPr>
        <w:ind w:left="420" w:hanging="420"/>
      </w:pPr>
      <w:rPr>
        <w:rFonts w:hint="default" w:ascii="Wingdings" w:hAnsi="Wingdings"/>
      </w:rPr>
    </w:lvl>
  </w:abstractNum>
  <w:abstractNum w:abstractNumId="660">
    <w:nsid w:val="73B34B21"/>
    <w:multiLevelType w:val="singleLevel"/>
    <w:tmpl w:val="73B34B21"/>
    <w:lvl w:ilvl="0" w:tentative="0">
      <w:start w:val="1"/>
      <w:numFmt w:val="decimal"/>
      <w:suff w:val="space"/>
      <w:lvlText w:val="%1."/>
      <w:lvlJc w:val="left"/>
      <w:pPr>
        <w:ind w:left="0" w:firstLine="0"/>
      </w:pPr>
      <w:rPr>
        <w:rFonts w:hint="default"/>
      </w:rPr>
    </w:lvl>
  </w:abstractNum>
  <w:abstractNum w:abstractNumId="661">
    <w:nsid w:val="7436C1F3"/>
    <w:multiLevelType w:val="singleLevel"/>
    <w:tmpl w:val="7436C1F3"/>
    <w:lvl w:ilvl="0" w:tentative="0">
      <w:start w:val="1"/>
      <w:numFmt w:val="bullet"/>
      <w:lvlText w:val=""/>
      <w:lvlJc w:val="left"/>
      <w:pPr>
        <w:ind w:left="420" w:hanging="420"/>
      </w:pPr>
      <w:rPr>
        <w:rFonts w:hint="default" w:ascii="Wingdings" w:hAnsi="Wingdings"/>
      </w:rPr>
    </w:lvl>
  </w:abstractNum>
  <w:abstractNum w:abstractNumId="662">
    <w:nsid w:val="7472D388"/>
    <w:multiLevelType w:val="singleLevel"/>
    <w:tmpl w:val="7472D388"/>
    <w:lvl w:ilvl="0" w:tentative="0">
      <w:start w:val="1"/>
      <w:numFmt w:val="decimal"/>
      <w:suff w:val="space"/>
      <w:lvlText w:val="%1)"/>
      <w:lvlJc w:val="left"/>
      <w:pPr>
        <w:ind w:left="425" w:hanging="425"/>
      </w:pPr>
      <w:rPr>
        <w:rFonts w:hint="default"/>
      </w:rPr>
    </w:lvl>
  </w:abstractNum>
  <w:abstractNum w:abstractNumId="663">
    <w:nsid w:val="7481938B"/>
    <w:multiLevelType w:val="singleLevel"/>
    <w:tmpl w:val="7481938B"/>
    <w:lvl w:ilvl="0" w:tentative="0">
      <w:start w:val="1"/>
      <w:numFmt w:val="chineseCounting"/>
      <w:suff w:val="nothing"/>
      <w:lvlText w:val="%1、"/>
      <w:lvlJc w:val="left"/>
      <w:pPr>
        <w:ind w:left="0" w:firstLine="0"/>
      </w:pPr>
      <w:rPr>
        <w:rFonts w:hint="eastAsia"/>
      </w:rPr>
    </w:lvl>
  </w:abstractNum>
  <w:abstractNum w:abstractNumId="664">
    <w:nsid w:val="7497AA4D"/>
    <w:multiLevelType w:val="singleLevel"/>
    <w:tmpl w:val="7497AA4D"/>
    <w:lvl w:ilvl="0" w:tentative="0">
      <w:start w:val="1"/>
      <w:numFmt w:val="decimal"/>
      <w:suff w:val="space"/>
      <w:lvlText w:val="%1)"/>
      <w:lvlJc w:val="left"/>
      <w:pPr>
        <w:ind w:left="0" w:firstLine="480"/>
      </w:pPr>
      <w:rPr>
        <w:rFonts w:hint="default"/>
      </w:rPr>
    </w:lvl>
  </w:abstractNum>
  <w:abstractNum w:abstractNumId="665">
    <w:nsid w:val="74E5B420"/>
    <w:multiLevelType w:val="singleLevel"/>
    <w:tmpl w:val="74E5B420"/>
    <w:lvl w:ilvl="0" w:tentative="0">
      <w:start w:val="3"/>
      <w:numFmt w:val="chineseCounting"/>
      <w:suff w:val="nothing"/>
      <w:lvlText w:val="（%1）"/>
      <w:lvlJc w:val="left"/>
      <w:rPr>
        <w:rFonts w:hint="eastAsia"/>
      </w:rPr>
    </w:lvl>
  </w:abstractNum>
  <w:abstractNum w:abstractNumId="666">
    <w:nsid w:val="75108627"/>
    <w:multiLevelType w:val="singleLevel"/>
    <w:tmpl w:val="75108627"/>
    <w:lvl w:ilvl="0" w:tentative="0">
      <w:start w:val="1"/>
      <w:numFmt w:val="decimal"/>
      <w:suff w:val="space"/>
      <w:lvlText w:val="1.7.3.%1"/>
      <w:lvlJc w:val="left"/>
      <w:pPr>
        <w:tabs>
          <w:tab w:val="left" w:pos="0"/>
        </w:tabs>
        <w:ind w:left="0" w:firstLine="0"/>
      </w:pPr>
      <w:rPr>
        <w:rFonts w:hint="default"/>
      </w:rPr>
    </w:lvl>
  </w:abstractNum>
  <w:abstractNum w:abstractNumId="667">
    <w:nsid w:val="752D1391"/>
    <w:multiLevelType w:val="singleLevel"/>
    <w:tmpl w:val="752D1391"/>
    <w:lvl w:ilvl="0" w:tentative="0">
      <w:start w:val="1"/>
      <w:numFmt w:val="bullet"/>
      <w:lvlText w:val=""/>
      <w:lvlJc w:val="left"/>
      <w:pPr>
        <w:ind w:left="420" w:hanging="420"/>
      </w:pPr>
      <w:rPr>
        <w:rFonts w:hint="default" w:ascii="Wingdings" w:hAnsi="Wingdings"/>
      </w:rPr>
    </w:lvl>
  </w:abstractNum>
  <w:abstractNum w:abstractNumId="668">
    <w:nsid w:val="75789719"/>
    <w:multiLevelType w:val="singleLevel"/>
    <w:tmpl w:val="75789719"/>
    <w:lvl w:ilvl="0" w:tentative="0">
      <w:start w:val="1"/>
      <w:numFmt w:val="decimal"/>
      <w:suff w:val="space"/>
      <w:lvlText w:val="%1)"/>
      <w:lvlJc w:val="left"/>
      <w:pPr>
        <w:ind w:left="425" w:hanging="425"/>
      </w:pPr>
      <w:rPr>
        <w:rFonts w:hint="default"/>
      </w:rPr>
    </w:lvl>
  </w:abstractNum>
  <w:abstractNum w:abstractNumId="669">
    <w:nsid w:val="759C95A8"/>
    <w:multiLevelType w:val="multilevel"/>
    <w:tmpl w:val="759C95A8"/>
    <w:lvl w:ilvl="0" w:tentative="0">
      <w:start w:val="1"/>
      <w:numFmt w:val="lowerLetter"/>
      <w:suff w:val="space"/>
      <w:lvlText w:val="%1."/>
      <w:lvlJc w:val="left"/>
      <w:pPr>
        <w:tabs>
          <w:tab w:val="left" w:pos="0"/>
        </w:tabs>
        <w:ind w:left="420" w:firstLine="0"/>
      </w:pPr>
      <w:rPr>
        <w:rFonts w:hint="default"/>
      </w:r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670">
    <w:nsid w:val="75BA6534"/>
    <w:multiLevelType w:val="multilevel"/>
    <w:tmpl w:val="75BA6534"/>
    <w:lvl w:ilvl="0" w:tentative="0">
      <w:start w:val="1"/>
      <w:numFmt w:val="bullet"/>
      <w:suff w:val="space"/>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71">
    <w:nsid w:val="75EBFB0E"/>
    <w:multiLevelType w:val="singleLevel"/>
    <w:tmpl w:val="75EBFB0E"/>
    <w:lvl w:ilvl="0" w:tentative="0">
      <w:start w:val="1"/>
      <w:numFmt w:val="decimal"/>
      <w:suff w:val="space"/>
      <w:lvlText w:val="%1)"/>
      <w:lvlJc w:val="left"/>
      <w:pPr>
        <w:ind w:left="0" w:firstLine="480"/>
      </w:pPr>
      <w:rPr>
        <w:rFonts w:hint="default"/>
      </w:rPr>
    </w:lvl>
  </w:abstractNum>
  <w:abstractNum w:abstractNumId="672">
    <w:nsid w:val="77282ABC"/>
    <w:multiLevelType w:val="singleLevel"/>
    <w:tmpl w:val="77282ABC"/>
    <w:lvl w:ilvl="0" w:tentative="0">
      <w:start w:val="1"/>
      <w:numFmt w:val="bullet"/>
      <w:lvlText w:val=""/>
      <w:lvlJc w:val="left"/>
      <w:pPr>
        <w:ind w:left="420" w:hanging="420"/>
      </w:pPr>
      <w:rPr>
        <w:rFonts w:hint="default" w:ascii="Wingdings" w:hAnsi="Wingdings"/>
      </w:rPr>
    </w:lvl>
  </w:abstractNum>
  <w:abstractNum w:abstractNumId="673">
    <w:nsid w:val="77907CC6"/>
    <w:multiLevelType w:val="singleLevel"/>
    <w:tmpl w:val="77907CC6"/>
    <w:lvl w:ilvl="0" w:tentative="0">
      <w:start w:val="1"/>
      <w:numFmt w:val="decimal"/>
      <w:suff w:val="space"/>
      <w:lvlText w:val="2.%1"/>
      <w:lvlJc w:val="left"/>
      <w:pPr>
        <w:ind w:left="0" w:firstLine="480"/>
      </w:pPr>
      <w:rPr>
        <w:rFonts w:hint="default"/>
      </w:rPr>
    </w:lvl>
  </w:abstractNum>
  <w:abstractNum w:abstractNumId="674">
    <w:nsid w:val="77D753B0"/>
    <w:multiLevelType w:val="singleLevel"/>
    <w:tmpl w:val="77D753B0"/>
    <w:lvl w:ilvl="0" w:tentative="0">
      <w:start w:val="1"/>
      <w:numFmt w:val="decimal"/>
      <w:suff w:val="space"/>
      <w:lvlText w:val="%1)"/>
      <w:lvlJc w:val="left"/>
      <w:pPr>
        <w:ind w:left="0" w:firstLine="480"/>
      </w:pPr>
      <w:rPr>
        <w:rFonts w:hint="default"/>
      </w:rPr>
    </w:lvl>
  </w:abstractNum>
  <w:abstractNum w:abstractNumId="675">
    <w:nsid w:val="782E5804"/>
    <w:multiLevelType w:val="multilevel"/>
    <w:tmpl w:val="782E5804"/>
    <w:lvl w:ilvl="0" w:tentative="0">
      <w:start w:val="1"/>
      <w:numFmt w:val="decimal"/>
      <w:suff w:val="space"/>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6">
    <w:nsid w:val="7842295B"/>
    <w:multiLevelType w:val="singleLevel"/>
    <w:tmpl w:val="7842295B"/>
    <w:lvl w:ilvl="0" w:tentative="0">
      <w:start w:val="1"/>
      <w:numFmt w:val="decimal"/>
      <w:suff w:val="space"/>
      <w:lvlText w:val="13.%1"/>
      <w:lvlJc w:val="left"/>
      <w:pPr>
        <w:tabs>
          <w:tab w:val="left" w:pos="0"/>
        </w:tabs>
        <w:ind w:left="0" w:firstLine="0"/>
      </w:pPr>
      <w:rPr>
        <w:rFonts w:hint="default"/>
      </w:rPr>
    </w:lvl>
  </w:abstractNum>
  <w:abstractNum w:abstractNumId="677">
    <w:nsid w:val="785FFA3A"/>
    <w:multiLevelType w:val="multilevel"/>
    <w:tmpl w:val="785FFA3A"/>
    <w:lvl w:ilvl="0" w:tentative="0">
      <w:start w:val="1"/>
      <w:numFmt w:val="bullet"/>
      <w:suff w:val="space"/>
      <w:lvlText w:val=""/>
      <w:lvlJc w:val="left"/>
      <w:pPr>
        <w:ind w:left="84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78">
    <w:nsid w:val="78667374"/>
    <w:multiLevelType w:val="singleLevel"/>
    <w:tmpl w:val="78667374"/>
    <w:lvl w:ilvl="0" w:tentative="0">
      <w:start w:val="1"/>
      <w:numFmt w:val="decimal"/>
      <w:suff w:val="space"/>
      <w:lvlText w:val="1.%1"/>
      <w:lvlJc w:val="left"/>
      <w:pPr>
        <w:tabs>
          <w:tab w:val="left" w:pos="0"/>
        </w:tabs>
        <w:ind w:left="0" w:firstLine="480"/>
      </w:pPr>
      <w:rPr>
        <w:rFonts w:hint="default" w:ascii="宋体" w:hAnsi="宋体" w:eastAsia="宋体" w:cs="宋体"/>
      </w:rPr>
    </w:lvl>
  </w:abstractNum>
  <w:abstractNum w:abstractNumId="679">
    <w:nsid w:val="78709E79"/>
    <w:multiLevelType w:val="singleLevel"/>
    <w:tmpl w:val="78709E79"/>
    <w:lvl w:ilvl="0" w:tentative="0">
      <w:start w:val="1"/>
      <w:numFmt w:val="decimal"/>
      <w:suff w:val="space"/>
      <w:lvlText w:val="1.%1"/>
      <w:lvlJc w:val="left"/>
      <w:pPr>
        <w:ind w:left="0" w:firstLine="0"/>
      </w:pPr>
      <w:rPr>
        <w:rFonts w:hint="default"/>
      </w:rPr>
    </w:lvl>
  </w:abstractNum>
  <w:abstractNum w:abstractNumId="680">
    <w:nsid w:val="78C0CC9A"/>
    <w:multiLevelType w:val="multilevel"/>
    <w:tmpl w:val="78C0CC9A"/>
    <w:lvl w:ilvl="0" w:tentative="0">
      <w:start w:val="1"/>
      <w:numFmt w:val="lowerLetter"/>
      <w:suff w:val="space"/>
      <w:lvlText w:val="%1."/>
      <w:lvlJc w:val="left"/>
      <w:pPr>
        <w:ind w:left="840" w:hanging="420"/>
      </w:pPr>
    </w:lvl>
    <w:lvl w:ilvl="1" w:tentative="0">
      <w:start w:val="1"/>
      <w:numFmt w:val="lowerLetter"/>
      <w:lvlText w:val="%2."/>
      <w:lvlJc w:val="left"/>
      <w:pPr>
        <w:tabs>
          <w:tab w:val="left" w:pos="420"/>
        </w:tabs>
        <w:ind w:left="1260" w:hanging="420"/>
      </w:pPr>
    </w:lvl>
    <w:lvl w:ilvl="2" w:tentative="0">
      <w:start w:val="1"/>
      <w:numFmt w:val="lowerRoman"/>
      <w:lvlText w:val="%3."/>
      <w:lvlJc w:val="right"/>
      <w:pPr>
        <w:tabs>
          <w:tab w:val="left" w:pos="420"/>
        </w:tabs>
        <w:ind w:left="1680" w:hanging="420"/>
      </w:pPr>
    </w:lvl>
    <w:lvl w:ilvl="3" w:tentative="0">
      <w:start w:val="1"/>
      <w:numFmt w:val="decimal"/>
      <w:lvlText w:val="%4."/>
      <w:lvlJc w:val="left"/>
      <w:pPr>
        <w:tabs>
          <w:tab w:val="left" w:pos="420"/>
        </w:tabs>
        <w:ind w:left="2100" w:hanging="420"/>
      </w:pPr>
    </w:lvl>
    <w:lvl w:ilvl="4" w:tentative="0">
      <w:start w:val="1"/>
      <w:numFmt w:val="lowerLetter"/>
      <w:lvlText w:val="%5)"/>
      <w:lvlJc w:val="left"/>
      <w:pPr>
        <w:tabs>
          <w:tab w:val="left" w:pos="420"/>
        </w:tabs>
        <w:ind w:left="2520" w:hanging="420"/>
      </w:pPr>
    </w:lvl>
    <w:lvl w:ilvl="5" w:tentative="0">
      <w:start w:val="1"/>
      <w:numFmt w:val="lowerRoman"/>
      <w:lvlText w:val="%6."/>
      <w:lvlJc w:val="right"/>
      <w:pPr>
        <w:tabs>
          <w:tab w:val="left" w:pos="420"/>
        </w:tabs>
        <w:ind w:left="2940" w:hanging="420"/>
      </w:pPr>
    </w:lvl>
    <w:lvl w:ilvl="6" w:tentative="0">
      <w:start w:val="1"/>
      <w:numFmt w:val="decimal"/>
      <w:lvlText w:val="%7."/>
      <w:lvlJc w:val="left"/>
      <w:pPr>
        <w:tabs>
          <w:tab w:val="left" w:pos="420"/>
        </w:tabs>
        <w:ind w:left="3360" w:hanging="420"/>
      </w:pPr>
    </w:lvl>
    <w:lvl w:ilvl="7" w:tentative="0">
      <w:start w:val="1"/>
      <w:numFmt w:val="lowerLetter"/>
      <w:lvlText w:val="%8)"/>
      <w:lvlJc w:val="left"/>
      <w:pPr>
        <w:tabs>
          <w:tab w:val="left" w:pos="420"/>
        </w:tabs>
        <w:ind w:left="3780" w:hanging="420"/>
      </w:pPr>
    </w:lvl>
    <w:lvl w:ilvl="8" w:tentative="0">
      <w:start w:val="1"/>
      <w:numFmt w:val="lowerRoman"/>
      <w:lvlText w:val="%9."/>
      <w:lvlJc w:val="right"/>
      <w:pPr>
        <w:tabs>
          <w:tab w:val="left" w:pos="420"/>
        </w:tabs>
        <w:ind w:left="4200" w:hanging="420"/>
      </w:pPr>
    </w:lvl>
  </w:abstractNum>
  <w:abstractNum w:abstractNumId="681">
    <w:nsid w:val="7937DAF1"/>
    <w:multiLevelType w:val="singleLevel"/>
    <w:tmpl w:val="7937DAF1"/>
    <w:lvl w:ilvl="0" w:tentative="0">
      <w:start w:val="1"/>
      <w:numFmt w:val="decimal"/>
      <w:suff w:val="space"/>
      <w:lvlText w:val="%1."/>
      <w:lvlJc w:val="left"/>
      <w:pPr>
        <w:ind w:left="0" w:firstLine="0"/>
      </w:pPr>
      <w:rPr>
        <w:rFonts w:hint="default"/>
      </w:rPr>
    </w:lvl>
  </w:abstractNum>
  <w:abstractNum w:abstractNumId="682">
    <w:nsid w:val="798127A7"/>
    <w:multiLevelType w:val="multilevel"/>
    <w:tmpl w:val="798127A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83">
    <w:nsid w:val="79F422BF"/>
    <w:multiLevelType w:val="singleLevel"/>
    <w:tmpl w:val="79F422BF"/>
    <w:lvl w:ilvl="0" w:tentative="0">
      <w:start w:val="1"/>
      <w:numFmt w:val="decimal"/>
      <w:suff w:val="space"/>
      <w:lvlText w:val="4.15.%1"/>
      <w:lvlJc w:val="left"/>
      <w:pPr>
        <w:tabs>
          <w:tab w:val="left" w:pos="0"/>
        </w:tabs>
        <w:ind w:left="0" w:firstLine="0"/>
      </w:pPr>
      <w:rPr>
        <w:rFonts w:hint="default"/>
      </w:rPr>
    </w:lvl>
  </w:abstractNum>
  <w:abstractNum w:abstractNumId="684">
    <w:nsid w:val="7A5EC724"/>
    <w:multiLevelType w:val="singleLevel"/>
    <w:tmpl w:val="7A5EC724"/>
    <w:lvl w:ilvl="0" w:tentative="0">
      <w:start w:val="1"/>
      <w:numFmt w:val="decimal"/>
      <w:suff w:val="space"/>
      <w:lvlText w:val="1.4.%1"/>
      <w:lvlJc w:val="left"/>
      <w:pPr>
        <w:tabs>
          <w:tab w:val="left" w:pos="0"/>
        </w:tabs>
        <w:ind w:left="0" w:firstLine="0"/>
      </w:pPr>
      <w:rPr>
        <w:rFonts w:hint="default"/>
      </w:rPr>
    </w:lvl>
  </w:abstractNum>
  <w:abstractNum w:abstractNumId="685">
    <w:nsid w:val="7A92CEC9"/>
    <w:multiLevelType w:val="singleLevel"/>
    <w:tmpl w:val="7A92CEC9"/>
    <w:lvl w:ilvl="0" w:tentative="0">
      <w:start w:val="1"/>
      <w:numFmt w:val="decimal"/>
      <w:suff w:val="space"/>
      <w:lvlText w:val="%1)"/>
      <w:lvlJc w:val="left"/>
      <w:pPr>
        <w:ind w:left="0" w:firstLine="480"/>
      </w:pPr>
      <w:rPr>
        <w:rFonts w:hint="default"/>
      </w:rPr>
    </w:lvl>
  </w:abstractNum>
  <w:abstractNum w:abstractNumId="686">
    <w:nsid w:val="7AAE94CF"/>
    <w:multiLevelType w:val="singleLevel"/>
    <w:tmpl w:val="7AAE94CF"/>
    <w:lvl w:ilvl="0" w:tentative="0">
      <w:start w:val="1"/>
      <w:numFmt w:val="bullet"/>
      <w:lvlText w:val=""/>
      <w:lvlJc w:val="left"/>
      <w:pPr>
        <w:ind w:left="420" w:hanging="420"/>
      </w:pPr>
      <w:rPr>
        <w:rFonts w:hint="default" w:ascii="Wingdings" w:hAnsi="Wingdings"/>
      </w:rPr>
    </w:lvl>
  </w:abstractNum>
  <w:abstractNum w:abstractNumId="687">
    <w:nsid w:val="7B29C2A2"/>
    <w:multiLevelType w:val="singleLevel"/>
    <w:tmpl w:val="7B29C2A2"/>
    <w:lvl w:ilvl="0" w:tentative="0">
      <w:start w:val="1"/>
      <w:numFmt w:val="decimal"/>
      <w:suff w:val="space"/>
      <w:lvlText w:val="%1)"/>
      <w:lvlJc w:val="left"/>
      <w:pPr>
        <w:ind w:left="0" w:firstLine="480"/>
      </w:pPr>
      <w:rPr>
        <w:rFonts w:hint="default"/>
      </w:rPr>
    </w:lvl>
  </w:abstractNum>
  <w:abstractNum w:abstractNumId="688">
    <w:nsid w:val="7B52B6A7"/>
    <w:multiLevelType w:val="singleLevel"/>
    <w:tmpl w:val="7B52B6A7"/>
    <w:lvl w:ilvl="0" w:tentative="0">
      <w:start w:val="1"/>
      <w:numFmt w:val="decimal"/>
      <w:suff w:val="space"/>
      <w:lvlText w:val="1.9.4.%1"/>
      <w:lvlJc w:val="left"/>
      <w:pPr>
        <w:tabs>
          <w:tab w:val="left" w:pos="0"/>
        </w:tabs>
        <w:ind w:left="0" w:firstLine="0"/>
      </w:pPr>
      <w:rPr>
        <w:rFonts w:hint="default"/>
      </w:rPr>
    </w:lvl>
  </w:abstractNum>
  <w:abstractNum w:abstractNumId="689">
    <w:nsid w:val="7B665C9F"/>
    <w:multiLevelType w:val="singleLevel"/>
    <w:tmpl w:val="7B665C9F"/>
    <w:lvl w:ilvl="0" w:tentative="0">
      <w:start w:val="1"/>
      <w:numFmt w:val="decimal"/>
      <w:pStyle w:val="461"/>
      <w:suff w:val="nothing"/>
      <w:lvlText w:val="%1)"/>
      <w:lvlJc w:val="left"/>
      <w:pPr>
        <w:ind w:left="425" w:hanging="425"/>
      </w:pPr>
      <w:rPr>
        <w:rFonts w:hint="default"/>
      </w:rPr>
    </w:lvl>
  </w:abstractNum>
  <w:abstractNum w:abstractNumId="690">
    <w:nsid w:val="7BB8BE9A"/>
    <w:multiLevelType w:val="singleLevel"/>
    <w:tmpl w:val="7BB8BE9A"/>
    <w:lvl w:ilvl="0" w:tentative="0">
      <w:start w:val="1"/>
      <w:numFmt w:val="decimal"/>
      <w:suff w:val="space"/>
      <w:lvlText w:val="%1)"/>
      <w:lvlJc w:val="left"/>
      <w:pPr>
        <w:ind w:left="425" w:hanging="425"/>
      </w:pPr>
      <w:rPr>
        <w:rFonts w:hint="default"/>
      </w:rPr>
    </w:lvl>
  </w:abstractNum>
  <w:abstractNum w:abstractNumId="691">
    <w:nsid w:val="7BE0711C"/>
    <w:multiLevelType w:val="singleLevel"/>
    <w:tmpl w:val="7BE0711C"/>
    <w:lvl w:ilvl="0" w:tentative="0">
      <w:start w:val="1"/>
      <w:numFmt w:val="bullet"/>
      <w:lvlText w:val=""/>
      <w:lvlJc w:val="left"/>
      <w:pPr>
        <w:ind w:left="420" w:hanging="420"/>
      </w:pPr>
      <w:rPr>
        <w:rFonts w:hint="default" w:ascii="Wingdings" w:hAnsi="Wingdings"/>
      </w:rPr>
    </w:lvl>
  </w:abstractNum>
  <w:abstractNum w:abstractNumId="692">
    <w:nsid w:val="7C3BD43F"/>
    <w:multiLevelType w:val="singleLevel"/>
    <w:tmpl w:val="7C3BD43F"/>
    <w:lvl w:ilvl="0" w:tentative="0">
      <w:start w:val="1"/>
      <w:numFmt w:val="bullet"/>
      <w:lvlText w:val=""/>
      <w:lvlJc w:val="left"/>
      <w:pPr>
        <w:ind w:left="420" w:hanging="420"/>
      </w:pPr>
      <w:rPr>
        <w:rFonts w:hint="default" w:ascii="Wingdings" w:hAnsi="Wingdings"/>
      </w:rPr>
    </w:lvl>
  </w:abstractNum>
  <w:abstractNum w:abstractNumId="693">
    <w:nsid w:val="7C469F7F"/>
    <w:multiLevelType w:val="singleLevel"/>
    <w:tmpl w:val="7C469F7F"/>
    <w:lvl w:ilvl="0" w:tentative="0">
      <w:start w:val="1"/>
      <w:numFmt w:val="decimal"/>
      <w:suff w:val="space"/>
      <w:lvlText w:val="1.%1"/>
      <w:lvlJc w:val="left"/>
      <w:pPr>
        <w:ind w:left="0" w:firstLine="480"/>
      </w:pPr>
      <w:rPr>
        <w:rFonts w:hint="default" w:ascii="宋体" w:hAnsi="宋体" w:eastAsia="宋体" w:cs="宋体"/>
        <w:b w:val="0"/>
        <w:bCs w:val="0"/>
        <w:sz w:val="24"/>
        <w:szCs w:val="24"/>
      </w:rPr>
    </w:lvl>
  </w:abstractNum>
  <w:abstractNum w:abstractNumId="694">
    <w:nsid w:val="7C512B6A"/>
    <w:multiLevelType w:val="singleLevel"/>
    <w:tmpl w:val="7C512B6A"/>
    <w:lvl w:ilvl="0" w:tentative="0">
      <w:start w:val="1"/>
      <w:numFmt w:val="decimal"/>
      <w:suff w:val="nothing"/>
      <w:lvlText w:val="%1）"/>
      <w:lvlJc w:val="left"/>
      <w:pPr>
        <w:ind w:left="0" w:firstLine="480"/>
      </w:pPr>
      <w:rPr>
        <w:rFonts w:hint="default"/>
      </w:rPr>
    </w:lvl>
  </w:abstractNum>
  <w:abstractNum w:abstractNumId="695">
    <w:nsid w:val="7D05223F"/>
    <w:multiLevelType w:val="singleLevel"/>
    <w:tmpl w:val="7D05223F"/>
    <w:lvl w:ilvl="0" w:tentative="0">
      <w:start w:val="1"/>
      <w:numFmt w:val="decimal"/>
      <w:suff w:val="space"/>
      <w:lvlText w:val="1.1.%1"/>
      <w:lvlJc w:val="left"/>
      <w:pPr>
        <w:ind w:left="0" w:firstLine="0"/>
      </w:pPr>
      <w:rPr>
        <w:rFonts w:hint="default"/>
      </w:rPr>
    </w:lvl>
  </w:abstractNum>
  <w:abstractNum w:abstractNumId="696">
    <w:nsid w:val="7D87FA02"/>
    <w:multiLevelType w:val="singleLevel"/>
    <w:tmpl w:val="7D87FA02"/>
    <w:lvl w:ilvl="0" w:tentative="0">
      <w:start w:val="1"/>
      <w:numFmt w:val="decimal"/>
      <w:suff w:val="space"/>
      <w:lvlText w:val="%1."/>
      <w:lvlJc w:val="left"/>
      <w:pPr>
        <w:ind w:left="0" w:firstLine="0"/>
      </w:pPr>
      <w:rPr>
        <w:rFonts w:hint="default"/>
      </w:rPr>
    </w:lvl>
  </w:abstractNum>
  <w:abstractNum w:abstractNumId="697">
    <w:nsid w:val="7DD35E71"/>
    <w:multiLevelType w:val="singleLevel"/>
    <w:tmpl w:val="7DD35E71"/>
    <w:lvl w:ilvl="0" w:tentative="0">
      <w:start w:val="1"/>
      <w:numFmt w:val="decimal"/>
      <w:suff w:val="space"/>
      <w:lvlText w:val="%1)"/>
      <w:lvlJc w:val="left"/>
      <w:pPr>
        <w:ind w:left="0" w:firstLine="480"/>
      </w:pPr>
      <w:rPr>
        <w:rFonts w:hint="default"/>
      </w:rPr>
    </w:lvl>
  </w:abstractNum>
  <w:abstractNum w:abstractNumId="698">
    <w:nsid w:val="7E94D060"/>
    <w:multiLevelType w:val="singleLevel"/>
    <w:tmpl w:val="7E94D060"/>
    <w:lvl w:ilvl="0" w:tentative="0">
      <w:start w:val="1"/>
      <w:numFmt w:val="decimal"/>
      <w:suff w:val="space"/>
      <w:lvlText w:val="1.5.%1"/>
      <w:lvlJc w:val="left"/>
      <w:pPr>
        <w:tabs>
          <w:tab w:val="left" w:pos="0"/>
        </w:tabs>
        <w:ind w:left="0" w:firstLine="0"/>
      </w:pPr>
      <w:rPr>
        <w:rFonts w:hint="default"/>
      </w:rPr>
    </w:lvl>
  </w:abstractNum>
  <w:abstractNum w:abstractNumId="699">
    <w:nsid w:val="7E983B2F"/>
    <w:multiLevelType w:val="singleLevel"/>
    <w:tmpl w:val="7E983B2F"/>
    <w:lvl w:ilvl="0" w:tentative="0">
      <w:start w:val="1"/>
      <w:numFmt w:val="decimal"/>
      <w:suff w:val="space"/>
      <w:lvlText w:val="%1)"/>
      <w:lvlJc w:val="left"/>
      <w:pPr>
        <w:ind w:left="0" w:firstLine="480"/>
      </w:pPr>
      <w:rPr>
        <w:rFonts w:hint="default"/>
      </w:rPr>
    </w:lvl>
  </w:abstractNum>
  <w:abstractNum w:abstractNumId="700">
    <w:nsid w:val="7EA38BA2"/>
    <w:multiLevelType w:val="singleLevel"/>
    <w:tmpl w:val="7EA38BA2"/>
    <w:lvl w:ilvl="0" w:tentative="0">
      <w:start w:val="1"/>
      <w:numFmt w:val="decimal"/>
      <w:suff w:val="space"/>
      <w:lvlText w:val="2.1.%1"/>
      <w:lvlJc w:val="left"/>
      <w:pPr>
        <w:tabs>
          <w:tab w:val="left" w:pos="0"/>
        </w:tabs>
        <w:ind w:left="0" w:firstLine="0"/>
      </w:pPr>
      <w:rPr>
        <w:rFonts w:hint="default"/>
      </w:rPr>
    </w:lvl>
  </w:abstractNum>
  <w:num w:numId="1">
    <w:abstractNumId w:val="334"/>
  </w:num>
  <w:num w:numId="2">
    <w:abstractNumId w:val="335"/>
  </w:num>
  <w:num w:numId="3">
    <w:abstractNumId w:val="689"/>
  </w:num>
  <w:num w:numId="4">
    <w:abstractNumId w:val="27"/>
  </w:num>
  <w:num w:numId="5">
    <w:abstractNumId w:val="72"/>
  </w:num>
  <w:num w:numId="6">
    <w:abstractNumId w:val="612"/>
  </w:num>
  <w:num w:numId="7">
    <w:abstractNumId w:val="78"/>
  </w:num>
  <w:num w:numId="8">
    <w:abstractNumId w:val="213"/>
  </w:num>
  <w:num w:numId="9">
    <w:abstractNumId w:val="146"/>
  </w:num>
  <w:num w:numId="10">
    <w:abstractNumId w:val="502"/>
  </w:num>
  <w:num w:numId="11">
    <w:abstractNumId w:val="143"/>
  </w:num>
  <w:num w:numId="12">
    <w:abstractNumId w:val="418"/>
  </w:num>
  <w:num w:numId="13">
    <w:abstractNumId w:val="540"/>
  </w:num>
  <w:num w:numId="14">
    <w:abstractNumId w:val="628"/>
  </w:num>
  <w:num w:numId="15">
    <w:abstractNumId w:val="188"/>
  </w:num>
  <w:num w:numId="16">
    <w:abstractNumId w:val="211"/>
  </w:num>
  <w:num w:numId="17">
    <w:abstractNumId w:val="351"/>
  </w:num>
  <w:num w:numId="18">
    <w:abstractNumId w:val="494"/>
  </w:num>
  <w:num w:numId="19">
    <w:abstractNumId w:val="154"/>
  </w:num>
  <w:num w:numId="20">
    <w:abstractNumId w:val="626"/>
  </w:num>
  <w:num w:numId="21">
    <w:abstractNumId w:val="406"/>
  </w:num>
  <w:num w:numId="22">
    <w:abstractNumId w:val="668"/>
  </w:num>
  <w:num w:numId="23">
    <w:abstractNumId w:val="243"/>
  </w:num>
  <w:num w:numId="24">
    <w:abstractNumId w:val="313"/>
  </w:num>
  <w:num w:numId="25">
    <w:abstractNumId w:val="513"/>
  </w:num>
  <w:num w:numId="26">
    <w:abstractNumId w:val="551"/>
  </w:num>
  <w:num w:numId="27">
    <w:abstractNumId w:val="350"/>
  </w:num>
  <w:num w:numId="28">
    <w:abstractNumId w:val="6"/>
  </w:num>
  <w:num w:numId="29">
    <w:abstractNumId w:val="344"/>
  </w:num>
  <w:num w:numId="30">
    <w:abstractNumId w:val="425"/>
  </w:num>
  <w:num w:numId="31">
    <w:abstractNumId w:val="212"/>
  </w:num>
  <w:num w:numId="32">
    <w:abstractNumId w:val="147"/>
  </w:num>
  <w:num w:numId="33">
    <w:abstractNumId w:val="310"/>
  </w:num>
  <w:num w:numId="34">
    <w:abstractNumId w:val="177"/>
  </w:num>
  <w:num w:numId="35">
    <w:abstractNumId w:val="47"/>
  </w:num>
  <w:num w:numId="36">
    <w:abstractNumId w:val="298"/>
  </w:num>
  <w:num w:numId="37">
    <w:abstractNumId w:val="693"/>
  </w:num>
  <w:num w:numId="38">
    <w:abstractNumId w:val="55"/>
  </w:num>
  <w:num w:numId="39">
    <w:abstractNumId w:val="321"/>
  </w:num>
  <w:num w:numId="40">
    <w:abstractNumId w:val="481"/>
  </w:num>
  <w:num w:numId="41">
    <w:abstractNumId w:val="390"/>
  </w:num>
  <w:num w:numId="42">
    <w:abstractNumId w:val="15"/>
  </w:num>
  <w:num w:numId="43">
    <w:abstractNumId w:val="304"/>
  </w:num>
  <w:num w:numId="44">
    <w:abstractNumId w:val="622"/>
  </w:num>
  <w:num w:numId="45">
    <w:abstractNumId w:val="647"/>
  </w:num>
  <w:num w:numId="46">
    <w:abstractNumId w:val="165"/>
  </w:num>
  <w:num w:numId="47">
    <w:abstractNumId w:val="532"/>
  </w:num>
  <w:num w:numId="48">
    <w:abstractNumId w:val="190"/>
  </w:num>
  <w:num w:numId="49">
    <w:abstractNumId w:val="36"/>
  </w:num>
  <w:num w:numId="50">
    <w:abstractNumId w:val="77"/>
  </w:num>
  <w:num w:numId="51">
    <w:abstractNumId w:val="595"/>
  </w:num>
  <w:num w:numId="52">
    <w:abstractNumId w:val="255"/>
  </w:num>
  <w:num w:numId="53">
    <w:abstractNumId w:val="422"/>
  </w:num>
  <w:num w:numId="54">
    <w:abstractNumId w:val="436"/>
  </w:num>
  <w:num w:numId="55">
    <w:abstractNumId w:val="104"/>
  </w:num>
  <w:num w:numId="56">
    <w:abstractNumId w:val="156"/>
  </w:num>
  <w:num w:numId="57">
    <w:abstractNumId w:val="337"/>
  </w:num>
  <w:num w:numId="58">
    <w:abstractNumId w:val="266"/>
  </w:num>
  <w:num w:numId="59">
    <w:abstractNumId w:val="623"/>
  </w:num>
  <w:num w:numId="60">
    <w:abstractNumId w:val="265"/>
  </w:num>
  <w:num w:numId="61">
    <w:abstractNumId w:val="12"/>
  </w:num>
  <w:num w:numId="62">
    <w:abstractNumId w:val="414"/>
  </w:num>
  <w:num w:numId="63">
    <w:abstractNumId w:val="13"/>
  </w:num>
  <w:num w:numId="64">
    <w:abstractNumId w:val="457"/>
  </w:num>
  <w:num w:numId="65">
    <w:abstractNumId w:val="497"/>
  </w:num>
  <w:num w:numId="66">
    <w:abstractNumId w:val="57"/>
  </w:num>
  <w:num w:numId="67">
    <w:abstractNumId w:val="412"/>
  </w:num>
  <w:num w:numId="68">
    <w:abstractNumId w:val="329"/>
  </w:num>
  <w:num w:numId="69">
    <w:abstractNumId w:val="377"/>
  </w:num>
  <w:num w:numId="70">
    <w:abstractNumId w:val="95"/>
  </w:num>
  <w:num w:numId="71">
    <w:abstractNumId w:val="51"/>
  </w:num>
  <w:num w:numId="72">
    <w:abstractNumId w:val="405"/>
  </w:num>
  <w:num w:numId="73">
    <w:abstractNumId w:val="59"/>
  </w:num>
  <w:num w:numId="74">
    <w:abstractNumId w:val="678"/>
  </w:num>
  <w:num w:numId="75">
    <w:abstractNumId w:val="426"/>
  </w:num>
  <w:num w:numId="76">
    <w:abstractNumId w:val="404"/>
  </w:num>
  <w:num w:numId="77">
    <w:abstractNumId w:val="554"/>
  </w:num>
  <w:num w:numId="78">
    <w:abstractNumId w:val="665"/>
  </w:num>
  <w:num w:numId="79">
    <w:abstractNumId w:val="93"/>
  </w:num>
  <w:num w:numId="80">
    <w:abstractNumId w:val="62"/>
  </w:num>
  <w:num w:numId="81">
    <w:abstractNumId w:val="486"/>
  </w:num>
  <w:num w:numId="82">
    <w:abstractNumId w:val="690"/>
  </w:num>
  <w:num w:numId="83">
    <w:abstractNumId w:val="440"/>
  </w:num>
  <w:num w:numId="84">
    <w:abstractNumId w:val="616"/>
  </w:num>
  <w:num w:numId="85">
    <w:abstractNumId w:val="40"/>
  </w:num>
  <w:num w:numId="86">
    <w:abstractNumId w:val="603"/>
  </w:num>
  <w:num w:numId="87">
    <w:abstractNumId w:val="86"/>
  </w:num>
  <w:num w:numId="88">
    <w:abstractNumId w:val="250"/>
  </w:num>
  <w:num w:numId="89">
    <w:abstractNumId w:val="66"/>
  </w:num>
  <w:num w:numId="90">
    <w:abstractNumId w:val="447"/>
  </w:num>
  <w:num w:numId="91">
    <w:abstractNumId w:val="536"/>
  </w:num>
  <w:num w:numId="92">
    <w:abstractNumId w:val="644"/>
  </w:num>
  <w:num w:numId="93">
    <w:abstractNumId w:val="248"/>
  </w:num>
  <w:num w:numId="94">
    <w:abstractNumId w:val="149"/>
  </w:num>
  <w:num w:numId="95">
    <w:abstractNumId w:val="172"/>
  </w:num>
  <w:num w:numId="96">
    <w:abstractNumId w:val="366"/>
  </w:num>
  <w:num w:numId="97">
    <w:abstractNumId w:val="501"/>
  </w:num>
  <w:num w:numId="98">
    <w:abstractNumId w:val="120"/>
  </w:num>
  <w:num w:numId="99">
    <w:abstractNumId w:val="145"/>
  </w:num>
  <w:num w:numId="100">
    <w:abstractNumId w:val="128"/>
  </w:num>
  <w:num w:numId="101">
    <w:abstractNumId w:val="125"/>
  </w:num>
  <w:num w:numId="102">
    <w:abstractNumId w:val="204"/>
  </w:num>
  <w:num w:numId="103">
    <w:abstractNumId w:val="284"/>
  </w:num>
  <w:num w:numId="104">
    <w:abstractNumId w:val="518"/>
  </w:num>
  <w:num w:numId="105">
    <w:abstractNumId w:val="79"/>
  </w:num>
  <w:num w:numId="106">
    <w:abstractNumId w:val="179"/>
  </w:num>
  <w:num w:numId="107">
    <w:abstractNumId w:val="430"/>
  </w:num>
  <w:num w:numId="108">
    <w:abstractNumId w:val="254"/>
  </w:num>
  <w:num w:numId="109">
    <w:abstractNumId w:val="292"/>
  </w:num>
  <w:num w:numId="110">
    <w:abstractNumId w:val="239"/>
  </w:num>
  <w:num w:numId="111">
    <w:abstractNumId w:val="318"/>
  </w:num>
  <w:num w:numId="112">
    <w:abstractNumId w:val="52"/>
  </w:num>
  <w:num w:numId="113">
    <w:abstractNumId w:val="34"/>
  </w:num>
  <w:num w:numId="114">
    <w:abstractNumId w:val="679"/>
  </w:num>
  <w:num w:numId="115">
    <w:abstractNumId w:val="158"/>
  </w:num>
  <w:num w:numId="116">
    <w:abstractNumId w:val="482"/>
  </w:num>
  <w:num w:numId="117">
    <w:abstractNumId w:val="235"/>
  </w:num>
  <w:num w:numId="118">
    <w:abstractNumId w:val="124"/>
  </w:num>
  <w:num w:numId="119">
    <w:abstractNumId w:val="63"/>
  </w:num>
  <w:num w:numId="120">
    <w:abstractNumId w:val="656"/>
  </w:num>
  <w:num w:numId="121">
    <w:abstractNumId w:val="660"/>
  </w:num>
  <w:num w:numId="122">
    <w:abstractNumId w:val="657"/>
  </w:num>
  <w:num w:numId="123">
    <w:abstractNumId w:val="113"/>
  </w:num>
  <w:num w:numId="124">
    <w:abstractNumId w:val="31"/>
  </w:num>
  <w:num w:numId="125">
    <w:abstractNumId w:val="155"/>
  </w:num>
  <w:num w:numId="126">
    <w:abstractNumId w:val="503"/>
  </w:num>
  <w:num w:numId="127">
    <w:abstractNumId w:val="477"/>
  </w:num>
  <w:num w:numId="128">
    <w:abstractNumId w:val="58"/>
  </w:num>
  <w:num w:numId="129">
    <w:abstractNumId w:val="570"/>
  </w:num>
  <w:num w:numId="130">
    <w:abstractNumId w:val="510"/>
  </w:num>
  <w:num w:numId="131">
    <w:abstractNumId w:val="466"/>
  </w:num>
  <w:num w:numId="132">
    <w:abstractNumId w:val="291"/>
  </w:num>
  <w:num w:numId="133">
    <w:abstractNumId w:val="504"/>
  </w:num>
  <w:num w:numId="134">
    <w:abstractNumId w:val="560"/>
  </w:num>
  <w:num w:numId="135">
    <w:abstractNumId w:val="180"/>
  </w:num>
  <w:num w:numId="136">
    <w:abstractNumId w:val="515"/>
  </w:num>
  <w:num w:numId="137">
    <w:abstractNumId w:val="202"/>
  </w:num>
  <w:num w:numId="138">
    <w:abstractNumId w:val="200"/>
  </w:num>
  <w:num w:numId="139">
    <w:abstractNumId w:val="506"/>
  </w:num>
  <w:num w:numId="140">
    <w:abstractNumId w:val="479"/>
  </w:num>
  <w:num w:numId="141">
    <w:abstractNumId w:val="548"/>
  </w:num>
  <w:num w:numId="142">
    <w:abstractNumId w:val="645"/>
  </w:num>
  <w:num w:numId="143">
    <w:abstractNumId w:val="611"/>
  </w:num>
  <w:num w:numId="144">
    <w:abstractNumId w:val="524"/>
  </w:num>
  <w:num w:numId="145">
    <w:abstractNumId w:val="56"/>
  </w:num>
  <w:num w:numId="146">
    <w:abstractNumId w:val="271"/>
  </w:num>
  <w:num w:numId="147">
    <w:abstractNumId w:val="90"/>
  </w:num>
  <w:num w:numId="148">
    <w:abstractNumId w:val="476"/>
  </w:num>
  <w:num w:numId="149">
    <w:abstractNumId w:val="236"/>
  </w:num>
  <w:num w:numId="150">
    <w:abstractNumId w:val="183"/>
  </w:num>
  <w:num w:numId="151">
    <w:abstractNumId w:val="249"/>
  </w:num>
  <w:num w:numId="152">
    <w:abstractNumId w:val="61"/>
  </w:num>
  <w:num w:numId="153">
    <w:abstractNumId w:val="517"/>
  </w:num>
  <w:num w:numId="154">
    <w:abstractNumId w:val="279"/>
  </w:num>
  <w:num w:numId="155">
    <w:abstractNumId w:val="148"/>
  </w:num>
  <w:num w:numId="156">
    <w:abstractNumId w:val="331"/>
  </w:num>
  <w:num w:numId="157">
    <w:abstractNumId w:val="431"/>
  </w:num>
  <w:num w:numId="158">
    <w:abstractNumId w:val="7"/>
  </w:num>
  <w:num w:numId="159">
    <w:abstractNumId w:val="596"/>
  </w:num>
  <w:num w:numId="160">
    <w:abstractNumId w:val="140"/>
  </w:num>
  <w:num w:numId="161">
    <w:abstractNumId w:val="631"/>
  </w:num>
  <w:num w:numId="162">
    <w:abstractNumId w:val="10"/>
  </w:num>
  <w:num w:numId="163">
    <w:abstractNumId w:val="276"/>
  </w:num>
  <w:num w:numId="164">
    <w:abstractNumId w:val="573"/>
  </w:num>
  <w:num w:numId="165">
    <w:abstractNumId w:val="673"/>
  </w:num>
  <w:num w:numId="166">
    <w:abstractNumId w:val="3"/>
  </w:num>
  <w:num w:numId="167">
    <w:abstractNumId w:val="260"/>
  </w:num>
  <w:num w:numId="168">
    <w:abstractNumId w:val="610"/>
  </w:num>
  <w:num w:numId="169">
    <w:abstractNumId w:val="663"/>
  </w:num>
  <w:num w:numId="170">
    <w:abstractNumId w:val="411"/>
  </w:num>
  <w:num w:numId="171">
    <w:abstractNumId w:val="135"/>
  </w:num>
  <w:num w:numId="172">
    <w:abstractNumId w:val="53"/>
  </w:num>
  <w:num w:numId="173">
    <w:abstractNumId w:val="676"/>
  </w:num>
  <w:num w:numId="174">
    <w:abstractNumId w:val="256"/>
  </w:num>
  <w:num w:numId="175">
    <w:abstractNumId w:val="315"/>
  </w:num>
  <w:num w:numId="176">
    <w:abstractNumId w:val="269"/>
  </w:num>
  <w:num w:numId="177">
    <w:abstractNumId w:val="115"/>
  </w:num>
  <w:num w:numId="178">
    <w:abstractNumId w:val="37"/>
  </w:num>
  <w:num w:numId="179">
    <w:abstractNumId w:val="307"/>
  </w:num>
  <w:num w:numId="180">
    <w:abstractNumId w:val="658"/>
  </w:num>
  <w:num w:numId="181">
    <w:abstractNumId w:val="401"/>
  </w:num>
  <w:num w:numId="182">
    <w:abstractNumId w:val="460"/>
  </w:num>
  <w:num w:numId="183">
    <w:abstractNumId w:val="219"/>
  </w:num>
  <w:num w:numId="184">
    <w:abstractNumId w:val="410"/>
  </w:num>
  <w:num w:numId="185">
    <w:abstractNumId w:val="41"/>
  </w:num>
  <w:num w:numId="186">
    <w:abstractNumId w:val="619"/>
  </w:num>
  <w:num w:numId="187">
    <w:abstractNumId w:val="530"/>
  </w:num>
  <w:num w:numId="188">
    <w:abstractNumId w:val="475"/>
  </w:num>
  <w:num w:numId="189">
    <w:abstractNumId w:val="363"/>
  </w:num>
  <w:num w:numId="190">
    <w:abstractNumId w:val="387"/>
  </w:num>
  <w:num w:numId="191">
    <w:abstractNumId w:val="316"/>
  </w:num>
  <w:num w:numId="192">
    <w:abstractNumId w:val="106"/>
  </w:num>
  <w:num w:numId="193">
    <w:abstractNumId w:val="44"/>
  </w:num>
  <w:num w:numId="194">
    <w:abstractNumId w:val="529"/>
  </w:num>
  <w:num w:numId="195">
    <w:abstractNumId w:val="194"/>
  </w:num>
  <w:num w:numId="196">
    <w:abstractNumId w:val="88"/>
  </w:num>
  <w:num w:numId="197">
    <w:abstractNumId w:val="681"/>
  </w:num>
  <w:num w:numId="198">
    <w:abstractNumId w:val="618"/>
  </w:num>
  <w:num w:numId="199">
    <w:abstractNumId w:val="594"/>
  </w:num>
  <w:num w:numId="200">
    <w:abstractNumId w:val="571"/>
  </w:num>
  <w:num w:numId="201">
    <w:abstractNumId w:val="281"/>
  </w:num>
  <w:num w:numId="202">
    <w:abstractNumId w:val="252"/>
  </w:num>
  <w:num w:numId="203">
    <w:abstractNumId w:val="437"/>
  </w:num>
  <w:num w:numId="204">
    <w:abstractNumId w:val="169"/>
  </w:num>
  <w:num w:numId="205">
    <w:abstractNumId w:val="325"/>
  </w:num>
  <w:num w:numId="206">
    <w:abstractNumId w:val="268"/>
  </w:num>
  <w:num w:numId="207">
    <w:abstractNumId w:val="232"/>
  </w:num>
  <w:num w:numId="208">
    <w:abstractNumId w:val="615"/>
  </w:num>
  <w:num w:numId="209">
    <w:abstractNumId w:val="2"/>
  </w:num>
  <w:num w:numId="210">
    <w:abstractNumId w:val="416"/>
  </w:num>
  <w:num w:numId="211">
    <w:abstractNumId w:val="69"/>
  </w:num>
  <w:num w:numId="212">
    <w:abstractNumId w:val="134"/>
  </w:num>
  <w:num w:numId="213">
    <w:abstractNumId w:val="340"/>
  </w:num>
  <w:num w:numId="214">
    <w:abstractNumId w:val="352"/>
  </w:num>
  <w:num w:numId="215">
    <w:abstractNumId w:val="330"/>
  </w:num>
  <w:num w:numId="216">
    <w:abstractNumId w:val="534"/>
  </w:num>
  <w:num w:numId="217">
    <w:abstractNumId w:val="558"/>
  </w:num>
  <w:num w:numId="218">
    <w:abstractNumId w:val="241"/>
  </w:num>
  <w:num w:numId="219">
    <w:abstractNumId w:val="8"/>
  </w:num>
  <w:num w:numId="220">
    <w:abstractNumId w:val="458"/>
  </w:num>
  <w:num w:numId="221">
    <w:abstractNumId w:val="230"/>
  </w:num>
  <w:num w:numId="222">
    <w:abstractNumId w:val="201"/>
  </w:num>
  <w:num w:numId="223">
    <w:abstractNumId w:val="301"/>
  </w:num>
  <w:num w:numId="224">
    <w:abstractNumId w:val="87"/>
  </w:num>
  <w:num w:numId="225">
    <w:abstractNumId w:val="630"/>
  </w:num>
  <w:num w:numId="226">
    <w:abstractNumId w:val="109"/>
  </w:num>
  <w:num w:numId="227">
    <w:abstractNumId w:val="491"/>
  </w:num>
  <w:num w:numId="228">
    <w:abstractNumId w:val="25"/>
  </w:num>
  <w:num w:numId="229">
    <w:abstractNumId w:val="683"/>
  </w:num>
  <w:num w:numId="230">
    <w:abstractNumId w:val="264"/>
  </w:num>
  <w:num w:numId="231">
    <w:abstractNumId w:val="563"/>
  </w:num>
  <w:num w:numId="232">
    <w:abstractNumId w:val="185"/>
  </w:num>
  <w:num w:numId="233">
    <w:abstractNumId w:val="253"/>
  </w:num>
  <w:num w:numId="234">
    <w:abstractNumId w:val="229"/>
  </w:num>
  <w:num w:numId="235">
    <w:abstractNumId w:val="444"/>
  </w:num>
  <w:num w:numId="236">
    <w:abstractNumId w:val="568"/>
  </w:num>
  <w:num w:numId="237">
    <w:abstractNumId w:val="167"/>
  </w:num>
  <w:num w:numId="238">
    <w:abstractNumId w:val="295"/>
  </w:num>
  <w:num w:numId="239">
    <w:abstractNumId w:val="150"/>
  </w:num>
  <w:num w:numId="240">
    <w:abstractNumId w:val="639"/>
  </w:num>
  <w:num w:numId="241">
    <w:abstractNumId w:val="208"/>
  </w:num>
  <w:num w:numId="242">
    <w:abstractNumId w:val="553"/>
  </w:num>
  <w:num w:numId="243">
    <w:abstractNumId w:val="421"/>
  </w:num>
  <w:num w:numId="244">
    <w:abstractNumId w:val="319"/>
  </w:num>
  <w:num w:numId="245">
    <w:abstractNumId w:val="574"/>
  </w:num>
  <w:num w:numId="246">
    <w:abstractNumId w:val="543"/>
  </w:num>
  <w:num w:numId="247">
    <w:abstractNumId w:val="448"/>
  </w:num>
  <w:num w:numId="248">
    <w:abstractNumId w:val="28"/>
  </w:num>
  <w:num w:numId="249">
    <w:abstractNumId w:val="214"/>
  </w:num>
  <w:num w:numId="250">
    <w:abstractNumId w:val="420"/>
  </w:num>
  <w:num w:numId="251">
    <w:abstractNumId w:val="186"/>
  </w:num>
  <w:num w:numId="252">
    <w:abstractNumId w:val="217"/>
  </w:num>
  <w:num w:numId="253">
    <w:abstractNumId w:val="9"/>
  </w:num>
  <w:num w:numId="254">
    <w:abstractNumId w:val="443"/>
  </w:num>
  <w:num w:numId="255">
    <w:abstractNumId w:val="49"/>
  </w:num>
  <w:num w:numId="256">
    <w:abstractNumId w:val="368"/>
  </w:num>
  <w:num w:numId="257">
    <w:abstractNumId w:val="442"/>
  </w:num>
  <w:num w:numId="258">
    <w:abstractNumId w:val="336"/>
  </w:num>
  <w:num w:numId="259">
    <w:abstractNumId w:val="700"/>
  </w:num>
  <w:num w:numId="260">
    <w:abstractNumId w:val="67"/>
  </w:num>
  <w:num w:numId="261">
    <w:abstractNumId w:val="593"/>
  </w:num>
  <w:num w:numId="262">
    <w:abstractNumId w:val="163"/>
  </w:num>
  <w:num w:numId="263">
    <w:abstractNumId w:val="597"/>
  </w:num>
  <w:num w:numId="264">
    <w:abstractNumId w:val="14"/>
  </w:num>
  <w:num w:numId="265">
    <w:abstractNumId w:val="640"/>
  </w:num>
  <w:num w:numId="266">
    <w:abstractNumId w:val="439"/>
  </w:num>
  <w:num w:numId="267">
    <w:abstractNumId w:val="606"/>
  </w:num>
  <w:num w:numId="268">
    <w:abstractNumId w:val="495"/>
  </w:num>
  <w:num w:numId="269">
    <w:abstractNumId w:val="303"/>
  </w:num>
  <w:num w:numId="270">
    <w:abstractNumId w:val="535"/>
  </w:num>
  <w:num w:numId="271">
    <w:abstractNumId w:val="407"/>
  </w:num>
  <w:num w:numId="272">
    <w:abstractNumId w:val="675"/>
  </w:num>
  <w:num w:numId="273">
    <w:abstractNumId w:val="428"/>
  </w:num>
  <w:num w:numId="274">
    <w:abstractNumId w:val="523"/>
  </w:num>
  <w:num w:numId="275">
    <w:abstractNumId w:val="228"/>
  </w:num>
  <w:num w:numId="276">
    <w:abstractNumId w:val="171"/>
  </w:num>
  <w:num w:numId="277">
    <w:abstractNumId w:val="306"/>
  </w:num>
  <w:num w:numId="278">
    <w:abstractNumId w:val="576"/>
  </w:num>
  <w:num w:numId="279">
    <w:abstractNumId w:val="111"/>
  </w:num>
  <w:num w:numId="280">
    <w:abstractNumId w:val="489"/>
  </w:num>
  <w:num w:numId="281">
    <w:abstractNumId w:val="71"/>
  </w:num>
  <w:num w:numId="282">
    <w:abstractNumId w:val="669"/>
  </w:num>
  <w:num w:numId="283">
    <w:abstractNumId w:val="449"/>
  </w:num>
  <w:num w:numId="284">
    <w:abstractNumId w:val="136"/>
  </w:num>
  <w:num w:numId="285">
    <w:abstractNumId w:val="131"/>
  </w:num>
  <w:num w:numId="286">
    <w:abstractNumId w:val="302"/>
  </w:num>
  <w:num w:numId="287">
    <w:abstractNumId w:val="0"/>
  </w:num>
  <w:num w:numId="288">
    <w:abstractNumId w:val="283"/>
  </w:num>
  <w:num w:numId="289">
    <w:abstractNumId w:val="347"/>
  </w:num>
  <w:num w:numId="290">
    <w:abstractNumId w:val="220"/>
  </w:num>
  <w:num w:numId="291">
    <w:abstractNumId w:val="632"/>
  </w:num>
  <w:num w:numId="292">
    <w:abstractNumId w:val="83"/>
  </w:num>
  <w:num w:numId="293">
    <w:abstractNumId w:val="624"/>
  </w:num>
  <w:num w:numId="294">
    <w:abstractNumId w:val="569"/>
  </w:num>
  <w:num w:numId="295">
    <w:abstractNumId w:val="533"/>
  </w:num>
  <w:num w:numId="296">
    <w:abstractNumId w:val="604"/>
  </w:num>
  <w:num w:numId="297">
    <w:abstractNumId w:val="30"/>
  </w:num>
  <w:num w:numId="298">
    <w:abstractNumId w:val="22"/>
  </w:num>
  <w:num w:numId="299">
    <w:abstractNumId w:val="223"/>
  </w:num>
  <w:num w:numId="300">
    <w:abstractNumId w:val="360"/>
  </w:num>
  <w:num w:numId="301">
    <w:abstractNumId w:val="680"/>
  </w:num>
  <w:num w:numId="302">
    <w:abstractNumId w:val="216"/>
  </w:num>
  <w:num w:numId="303">
    <w:abstractNumId w:val="490"/>
  </w:num>
  <w:num w:numId="304">
    <w:abstractNumId w:val="635"/>
  </w:num>
  <w:num w:numId="305">
    <w:abstractNumId w:val="116"/>
  </w:num>
  <w:num w:numId="306">
    <w:abstractNumId w:val="488"/>
  </w:num>
  <w:num w:numId="307">
    <w:abstractNumId w:val="272"/>
  </w:num>
  <w:num w:numId="308">
    <w:abstractNumId w:val="191"/>
  </w:num>
  <w:num w:numId="309">
    <w:abstractNumId w:val="367"/>
  </w:num>
  <w:num w:numId="310">
    <w:abstractNumId w:val="499"/>
  </w:num>
  <w:num w:numId="311">
    <w:abstractNumId w:val="625"/>
  </w:num>
  <w:num w:numId="312">
    <w:abstractNumId w:val="348"/>
  </w:num>
  <w:num w:numId="313">
    <w:abstractNumId w:val="73"/>
  </w:num>
  <w:num w:numId="314">
    <w:abstractNumId w:val="215"/>
  </w:num>
  <w:num w:numId="315">
    <w:abstractNumId w:val="686"/>
  </w:num>
  <w:num w:numId="316">
    <w:abstractNumId w:val="429"/>
  </w:num>
  <w:num w:numId="317">
    <w:abstractNumId w:val="585"/>
  </w:num>
  <w:num w:numId="318">
    <w:abstractNumId w:val="575"/>
  </w:num>
  <w:num w:numId="319">
    <w:abstractNumId w:val="261"/>
  </w:num>
  <w:num w:numId="320">
    <w:abstractNumId w:val="462"/>
  </w:num>
  <w:num w:numId="321">
    <w:abstractNumId w:val="537"/>
  </w:num>
  <w:num w:numId="322">
    <w:abstractNumId w:val="4"/>
  </w:num>
  <w:num w:numId="323">
    <w:abstractNumId w:val="311"/>
  </w:num>
  <w:num w:numId="324">
    <w:abstractNumId w:val="159"/>
  </w:num>
  <w:num w:numId="325">
    <w:abstractNumId w:val="521"/>
  </w:num>
  <w:num w:numId="326">
    <w:abstractNumId w:val="166"/>
  </w:num>
  <w:num w:numId="327">
    <w:abstractNumId w:val="544"/>
  </w:num>
  <w:num w:numId="328">
    <w:abstractNumId w:val="552"/>
  </w:num>
  <w:num w:numId="329">
    <w:abstractNumId w:val="695"/>
  </w:num>
  <w:num w:numId="330">
    <w:abstractNumId w:val="361"/>
  </w:num>
  <w:num w:numId="331">
    <w:abstractNumId w:val="592"/>
  </w:num>
  <w:num w:numId="332">
    <w:abstractNumId w:val="287"/>
  </w:num>
  <w:num w:numId="333">
    <w:abstractNumId w:val="383"/>
  </w:num>
  <w:num w:numId="334">
    <w:abstractNumId w:val="342"/>
  </w:num>
  <w:num w:numId="335">
    <w:abstractNumId w:val="601"/>
  </w:num>
  <w:num w:numId="336">
    <w:abstractNumId w:val="599"/>
  </w:num>
  <w:num w:numId="337">
    <w:abstractNumId w:val="472"/>
  </w:num>
  <w:num w:numId="338">
    <w:abstractNumId w:val="222"/>
  </w:num>
  <w:num w:numId="339">
    <w:abstractNumId w:val="43"/>
  </w:num>
  <w:num w:numId="340">
    <w:abstractNumId w:val="84"/>
  </w:num>
  <w:num w:numId="341">
    <w:abstractNumId w:val="463"/>
  </w:num>
  <w:num w:numId="342">
    <w:abstractNumId w:val="528"/>
  </w:num>
  <w:num w:numId="343">
    <w:abstractNumId w:val="652"/>
  </w:num>
  <w:num w:numId="344">
    <w:abstractNumId w:val="441"/>
  </w:num>
  <w:num w:numId="345">
    <w:abstractNumId w:val="362"/>
  </w:num>
  <w:num w:numId="346">
    <w:abstractNumId w:val="386"/>
  </w:num>
  <w:num w:numId="347">
    <w:abstractNumId w:val="29"/>
  </w:num>
  <w:num w:numId="348">
    <w:abstractNumId w:val="19"/>
  </w:num>
  <w:num w:numId="349">
    <w:abstractNumId w:val="621"/>
  </w:num>
  <w:num w:numId="350">
    <w:abstractNumId w:val="138"/>
  </w:num>
  <w:num w:numId="351">
    <w:abstractNumId w:val="438"/>
  </w:num>
  <w:num w:numId="352">
    <w:abstractNumId w:val="245"/>
  </w:num>
  <w:num w:numId="353">
    <w:abstractNumId w:val="305"/>
  </w:num>
  <w:num w:numId="354">
    <w:abstractNumId w:val="297"/>
  </w:num>
  <w:num w:numId="355">
    <w:abstractNumId w:val="667"/>
  </w:num>
  <w:num w:numId="356">
    <w:abstractNumId w:val="459"/>
  </w:num>
  <w:num w:numId="357">
    <w:abstractNumId w:val="692"/>
  </w:num>
  <w:num w:numId="358">
    <w:abstractNumId w:val="258"/>
  </w:num>
  <w:num w:numId="359">
    <w:abstractNumId w:val="74"/>
  </w:num>
  <w:num w:numId="360">
    <w:abstractNumId w:val="394"/>
  </w:num>
  <w:num w:numId="361">
    <w:abstractNumId w:val="275"/>
  </w:num>
  <w:num w:numId="362">
    <w:abstractNumId w:val="89"/>
  </w:num>
  <w:num w:numId="363">
    <w:abstractNumId w:val="197"/>
  </w:num>
  <w:num w:numId="364">
    <w:abstractNumId w:val="520"/>
  </w:num>
  <w:num w:numId="365">
    <w:abstractNumId w:val="542"/>
  </w:num>
  <w:num w:numId="366">
    <w:abstractNumId w:val="234"/>
  </w:num>
  <w:num w:numId="367">
    <w:abstractNumId w:val="590"/>
  </w:num>
  <w:num w:numId="368">
    <w:abstractNumId w:val="450"/>
  </w:num>
  <w:num w:numId="369">
    <w:abstractNumId w:val="578"/>
  </w:num>
  <w:num w:numId="370">
    <w:abstractNumId w:val="192"/>
  </w:num>
  <w:num w:numId="371">
    <w:abstractNumId w:val="451"/>
  </w:num>
  <w:num w:numId="372">
    <w:abstractNumId w:val="24"/>
  </w:num>
  <w:num w:numId="373">
    <w:abstractNumId w:val="98"/>
  </w:num>
  <w:num w:numId="374">
    <w:abstractNumId w:val="373"/>
  </w:num>
  <w:num w:numId="375">
    <w:abstractNumId w:val="638"/>
  </w:num>
  <w:num w:numId="376">
    <w:abstractNumId w:val="617"/>
  </w:num>
  <w:num w:numId="377">
    <w:abstractNumId w:val="17"/>
  </w:num>
  <w:num w:numId="378">
    <w:abstractNumId w:val="659"/>
  </w:num>
  <w:num w:numId="379">
    <w:abstractNumId w:val="39"/>
  </w:num>
  <w:num w:numId="380">
    <w:abstractNumId w:val="32"/>
  </w:num>
  <w:num w:numId="381">
    <w:abstractNumId w:val="511"/>
  </w:num>
  <w:num w:numId="382">
    <w:abstractNumId w:val="547"/>
  </w:num>
  <w:num w:numId="383">
    <w:abstractNumId w:val="117"/>
  </w:num>
  <w:num w:numId="384">
    <w:abstractNumId w:val="661"/>
  </w:num>
  <w:num w:numId="385">
    <w:abstractNumId w:val="579"/>
  </w:num>
  <w:num w:numId="386">
    <w:abstractNumId w:val="677"/>
  </w:num>
  <w:num w:numId="387">
    <w:abstractNumId w:val="339"/>
  </w:num>
  <w:num w:numId="388">
    <w:abstractNumId w:val="372"/>
  </w:num>
  <w:num w:numId="389">
    <w:abstractNumId w:val="193"/>
  </w:num>
  <w:num w:numId="390">
    <w:abstractNumId w:val="469"/>
  </w:num>
  <w:num w:numId="391">
    <w:abstractNumId w:val="608"/>
  </w:num>
  <w:num w:numId="392">
    <w:abstractNumId w:val="691"/>
  </w:num>
  <w:num w:numId="393">
    <w:abstractNumId w:val="288"/>
  </w:num>
  <w:num w:numId="394">
    <w:abstractNumId w:val="672"/>
  </w:num>
  <w:num w:numId="395">
    <w:abstractNumId w:val="385"/>
  </w:num>
  <w:num w:numId="396">
    <w:abstractNumId w:val="175"/>
  </w:num>
  <w:num w:numId="397">
    <w:abstractNumId w:val="637"/>
  </w:num>
  <w:num w:numId="398">
    <w:abstractNumId w:val="392"/>
  </w:num>
  <w:num w:numId="399">
    <w:abstractNumId w:val="227"/>
  </w:num>
  <w:num w:numId="400">
    <w:abstractNumId w:val="285"/>
  </w:num>
  <w:num w:numId="401">
    <w:abstractNumId w:val="91"/>
  </w:num>
  <w:num w:numId="402">
    <w:abstractNumId w:val="187"/>
  </w:num>
  <w:num w:numId="403">
    <w:abstractNumId w:val="126"/>
  </w:num>
  <w:num w:numId="404">
    <w:abstractNumId w:val="349"/>
  </w:num>
  <w:num w:numId="405">
    <w:abstractNumId w:val="453"/>
  </w:num>
  <w:num w:numId="406">
    <w:abstractNumId w:val="189"/>
  </w:num>
  <w:num w:numId="407">
    <w:abstractNumId w:val="324"/>
  </w:num>
  <w:num w:numId="408">
    <w:abstractNumId w:val="328"/>
  </w:num>
  <w:num w:numId="409">
    <w:abstractNumId w:val="151"/>
  </w:num>
  <w:num w:numId="410">
    <w:abstractNumId w:val="538"/>
  </w:num>
  <w:num w:numId="411">
    <w:abstractNumId w:val="357"/>
  </w:num>
  <w:num w:numId="412">
    <w:abstractNumId w:val="46"/>
  </w:num>
  <w:num w:numId="413">
    <w:abstractNumId w:val="545"/>
  </w:num>
  <w:num w:numId="414">
    <w:abstractNumId w:val="435"/>
  </w:num>
  <w:num w:numId="415">
    <w:abstractNumId w:val="391"/>
  </w:num>
  <w:num w:numId="416">
    <w:abstractNumId w:val="455"/>
  </w:num>
  <w:num w:numId="417">
    <w:abstractNumId w:val="641"/>
  </w:num>
  <w:num w:numId="418">
    <w:abstractNumId w:val="423"/>
  </w:num>
  <w:num w:numId="419">
    <w:abstractNumId w:val="487"/>
  </w:num>
  <w:num w:numId="420">
    <w:abstractNumId w:val="555"/>
  </w:num>
  <w:num w:numId="421">
    <w:abstractNumId w:val="396"/>
  </w:num>
  <w:num w:numId="422">
    <w:abstractNumId w:val="341"/>
  </w:num>
  <w:num w:numId="423">
    <w:abstractNumId w:val="454"/>
  </w:num>
  <w:num w:numId="424">
    <w:abstractNumId w:val="500"/>
  </w:num>
  <w:num w:numId="425">
    <w:abstractNumId w:val="682"/>
  </w:num>
  <w:num w:numId="426">
    <w:abstractNumId w:val="130"/>
  </w:num>
  <w:num w:numId="427">
    <w:abstractNumId w:val="564"/>
  </w:num>
  <w:num w:numId="428">
    <w:abstractNumId w:val="273"/>
  </w:num>
  <w:num w:numId="429">
    <w:abstractNumId w:val="670"/>
  </w:num>
  <w:num w:numId="430">
    <w:abstractNumId w:val="456"/>
  </w:num>
  <w:num w:numId="431">
    <w:abstractNumId w:val="629"/>
  </w:num>
  <w:num w:numId="432">
    <w:abstractNumId w:val="646"/>
  </w:num>
  <w:num w:numId="433">
    <w:abstractNumId w:val="224"/>
  </w:num>
  <w:num w:numId="434">
    <w:abstractNumId w:val="198"/>
  </w:num>
  <w:num w:numId="435">
    <w:abstractNumId w:val="566"/>
  </w:num>
  <w:num w:numId="436">
    <w:abstractNumId w:val="419"/>
  </w:num>
  <w:num w:numId="437">
    <w:abstractNumId w:val="587"/>
  </w:num>
  <w:num w:numId="438">
    <w:abstractNumId w:val="267"/>
  </w:num>
  <w:num w:numId="439">
    <w:abstractNumId w:val="634"/>
  </w:num>
  <w:num w:numId="440">
    <w:abstractNumId w:val="470"/>
  </w:num>
  <w:num w:numId="441">
    <w:abstractNumId w:val="409"/>
  </w:num>
  <w:num w:numId="442">
    <w:abstractNumId w:val="286"/>
  </w:num>
  <w:num w:numId="443">
    <w:abstractNumId w:val="101"/>
  </w:num>
  <w:num w:numId="444">
    <w:abstractNumId w:val="516"/>
  </w:num>
  <w:num w:numId="445">
    <w:abstractNumId w:val="609"/>
  </w:num>
  <w:num w:numId="446">
    <w:abstractNumId w:val="45"/>
  </w:num>
  <w:num w:numId="447">
    <w:abstractNumId w:val="231"/>
  </w:num>
  <w:num w:numId="448">
    <w:abstractNumId w:val="110"/>
  </w:num>
  <w:num w:numId="449">
    <w:abstractNumId w:val="388"/>
  </w:num>
  <w:num w:numId="450">
    <w:abstractNumId w:val="445"/>
  </w:num>
  <w:num w:numId="451">
    <w:abstractNumId w:val="402"/>
  </w:num>
  <w:num w:numId="452">
    <w:abstractNumId w:val="203"/>
  </w:num>
  <w:num w:numId="453">
    <w:abstractNumId w:val="433"/>
  </w:num>
  <w:num w:numId="454">
    <w:abstractNumId w:val="559"/>
  </w:num>
  <w:num w:numId="455">
    <w:abstractNumId w:val="133"/>
  </w:num>
  <w:num w:numId="456">
    <w:abstractNumId w:val="605"/>
  </w:num>
  <w:num w:numId="457">
    <w:abstractNumId w:val="389"/>
  </w:num>
  <w:num w:numId="458">
    <w:abstractNumId w:val="379"/>
  </w:num>
  <w:num w:numId="459">
    <w:abstractNumId w:val="338"/>
  </w:num>
  <w:num w:numId="460">
    <w:abstractNumId w:val="142"/>
  </w:num>
  <w:num w:numId="461">
    <w:abstractNumId w:val="398"/>
  </w:num>
  <w:num w:numId="462">
    <w:abstractNumId w:val="505"/>
  </w:num>
  <w:num w:numId="463">
    <w:abstractNumId w:val="694"/>
  </w:num>
  <w:num w:numId="464">
    <w:abstractNumId w:val="399"/>
  </w:num>
  <w:num w:numId="465">
    <w:abstractNumId w:val="496"/>
  </w:num>
  <w:num w:numId="466">
    <w:abstractNumId w:val="68"/>
  </w:num>
  <w:num w:numId="467">
    <w:abstractNumId w:val="309"/>
  </w:num>
  <w:num w:numId="468">
    <w:abstractNumId w:val="199"/>
  </w:num>
  <w:num w:numId="469">
    <w:abstractNumId w:val="531"/>
  </w:num>
  <w:num w:numId="470">
    <w:abstractNumId w:val="184"/>
  </w:num>
  <w:num w:numId="471">
    <w:abstractNumId w:val="674"/>
  </w:num>
  <w:num w:numId="472">
    <w:abstractNumId w:val="427"/>
  </w:num>
  <w:num w:numId="473">
    <w:abstractNumId w:val="122"/>
  </w:num>
  <w:num w:numId="474">
    <w:abstractNumId w:val="468"/>
  </w:num>
  <w:num w:numId="475">
    <w:abstractNumId w:val="562"/>
  </w:num>
  <w:num w:numId="476">
    <w:abstractNumId w:val="353"/>
  </w:num>
  <w:num w:numId="477">
    <w:abstractNumId w:val="539"/>
  </w:num>
  <w:num w:numId="478">
    <w:abstractNumId w:val="400"/>
  </w:num>
  <w:num w:numId="479">
    <w:abstractNumId w:val="397"/>
  </w:num>
  <w:num w:numId="480">
    <w:abstractNumId w:val="600"/>
  </w:num>
  <w:num w:numId="481">
    <w:abstractNumId w:val="483"/>
  </w:num>
  <w:num w:numId="482">
    <w:abstractNumId w:val="300"/>
  </w:num>
  <w:num w:numId="483">
    <w:abstractNumId w:val="97"/>
  </w:num>
  <w:num w:numId="484">
    <w:abstractNumId w:val="408"/>
  </w:num>
  <w:num w:numId="485">
    <w:abstractNumId w:val="278"/>
  </w:num>
  <w:num w:numId="486">
    <w:abstractNumId w:val="244"/>
  </w:num>
  <w:num w:numId="487">
    <w:abstractNumId w:val="257"/>
  </w:num>
  <w:num w:numId="488">
    <w:abstractNumId w:val="514"/>
  </w:num>
  <w:num w:numId="489">
    <w:abstractNumId w:val="85"/>
  </w:num>
  <w:num w:numId="490">
    <w:abstractNumId w:val="498"/>
  </w:num>
  <w:num w:numId="491">
    <w:abstractNumId w:val="294"/>
  </w:num>
  <w:num w:numId="492">
    <w:abstractNumId w:val="358"/>
  </w:num>
  <w:num w:numId="493">
    <w:abstractNumId w:val="218"/>
  </w:num>
  <w:num w:numId="494">
    <w:abstractNumId w:val="508"/>
  </w:num>
  <w:num w:numId="495">
    <w:abstractNumId w:val="320"/>
  </w:num>
  <w:num w:numId="496">
    <w:abstractNumId w:val="549"/>
  </w:num>
  <w:num w:numId="497">
    <w:abstractNumId w:val="60"/>
  </w:num>
  <w:num w:numId="498">
    <w:abstractNumId w:val="114"/>
  </w:num>
  <w:num w:numId="499">
    <w:abstractNumId w:val="492"/>
  </w:num>
  <w:num w:numId="500">
    <w:abstractNumId w:val="582"/>
  </w:num>
  <w:num w:numId="501">
    <w:abstractNumId w:val="525"/>
  </w:num>
  <w:num w:numId="502">
    <w:abstractNumId w:val="434"/>
  </w:num>
  <w:num w:numId="503">
    <w:abstractNumId w:val="327"/>
  </w:num>
  <w:num w:numId="504">
    <w:abstractNumId w:val="642"/>
  </w:num>
  <w:num w:numId="505">
    <w:abstractNumId w:val="280"/>
  </w:num>
  <w:num w:numId="506">
    <w:abstractNumId w:val="16"/>
  </w:num>
  <w:num w:numId="507">
    <w:abstractNumId w:val="299"/>
  </w:num>
  <w:num w:numId="508">
    <w:abstractNumId w:val="651"/>
  </w:num>
  <w:num w:numId="509">
    <w:abstractNumId w:val="684"/>
  </w:num>
  <w:num w:numId="510">
    <w:abstractNumId w:val="332"/>
  </w:num>
  <w:num w:numId="511">
    <w:abstractNumId w:val="195"/>
  </w:num>
  <w:num w:numId="512">
    <w:abstractNumId w:val="627"/>
  </w:num>
  <w:num w:numId="513">
    <w:abstractNumId w:val="345"/>
  </w:num>
  <w:num w:numId="514">
    <w:abstractNumId w:val="698"/>
  </w:num>
  <w:num w:numId="515">
    <w:abstractNumId w:val="584"/>
  </w:num>
  <w:num w:numId="516">
    <w:abstractNumId w:val="54"/>
  </w:num>
  <w:num w:numId="517">
    <w:abstractNumId w:val="474"/>
  </w:num>
  <w:num w:numId="518">
    <w:abstractNumId w:val="33"/>
  </w:num>
  <w:num w:numId="519">
    <w:abstractNumId w:val="129"/>
  </w:num>
  <w:num w:numId="520">
    <w:abstractNumId w:val="221"/>
  </w:num>
  <w:num w:numId="521">
    <w:abstractNumId w:val="484"/>
  </w:num>
  <w:num w:numId="522">
    <w:abstractNumId w:val="577"/>
  </w:num>
  <w:num w:numId="523">
    <w:abstractNumId w:val="168"/>
  </w:num>
  <w:num w:numId="524">
    <w:abstractNumId w:val="687"/>
  </w:num>
  <w:num w:numId="525">
    <w:abstractNumId w:val="581"/>
  </w:num>
  <w:num w:numId="526">
    <w:abstractNumId w:val="465"/>
  </w:num>
  <w:num w:numId="527">
    <w:abstractNumId w:val="415"/>
  </w:num>
  <w:num w:numId="528">
    <w:abstractNumId w:val="160"/>
  </w:num>
  <w:num w:numId="529">
    <w:abstractNumId w:val="162"/>
  </w:num>
  <w:num w:numId="530">
    <w:abstractNumId w:val="80"/>
  </w:num>
  <w:num w:numId="531">
    <w:abstractNumId w:val="382"/>
  </w:num>
  <w:num w:numId="532">
    <w:abstractNumId w:val="153"/>
  </w:num>
  <w:num w:numId="533">
    <w:abstractNumId w:val="589"/>
  </w:num>
  <w:num w:numId="534">
    <w:abstractNumId w:val="132"/>
  </w:num>
  <w:num w:numId="535">
    <w:abstractNumId w:val="123"/>
  </w:num>
  <w:num w:numId="536">
    <w:abstractNumId w:val="240"/>
  </w:num>
  <w:num w:numId="537">
    <w:abstractNumId w:val="580"/>
  </w:num>
  <w:num w:numId="538">
    <w:abstractNumId w:val="541"/>
  </w:num>
  <w:num w:numId="539">
    <w:abstractNumId w:val="620"/>
  </w:num>
  <w:num w:numId="540">
    <w:abstractNumId w:val="446"/>
  </w:num>
  <w:num w:numId="541">
    <w:abstractNumId w:val="550"/>
  </w:num>
  <w:num w:numId="542">
    <w:abstractNumId w:val="182"/>
  </w:num>
  <w:num w:numId="543">
    <w:abstractNumId w:val="512"/>
  </w:num>
  <w:num w:numId="544">
    <w:abstractNumId w:val="296"/>
  </w:num>
  <w:num w:numId="545">
    <w:abstractNumId w:val="354"/>
  </w:num>
  <w:num w:numId="546">
    <w:abstractNumId w:val="365"/>
  </w:num>
  <w:num w:numId="547">
    <w:abstractNumId w:val="64"/>
  </w:num>
  <w:num w:numId="548">
    <w:abstractNumId w:val="650"/>
  </w:num>
  <w:num w:numId="549">
    <w:abstractNumId w:val="137"/>
  </w:num>
  <w:num w:numId="550">
    <w:abstractNumId w:val="293"/>
  </w:num>
  <w:num w:numId="551">
    <w:abstractNumId w:val="384"/>
  </w:num>
  <w:num w:numId="552">
    <w:abstractNumId w:val="507"/>
  </w:num>
  <w:num w:numId="553">
    <w:abstractNumId w:val="314"/>
  </w:num>
  <w:num w:numId="554">
    <w:abstractNumId w:val="696"/>
  </w:num>
  <w:num w:numId="555">
    <w:abstractNumId w:val="157"/>
  </w:num>
  <w:num w:numId="556">
    <w:abstractNumId w:val="270"/>
  </w:num>
  <w:num w:numId="557">
    <w:abstractNumId w:val="697"/>
  </w:num>
  <w:num w:numId="558">
    <w:abstractNumId w:val="636"/>
  </w:num>
  <w:num w:numId="559">
    <w:abstractNumId w:val="375"/>
  </w:num>
  <w:num w:numId="560">
    <w:abstractNumId w:val="666"/>
  </w:num>
  <w:num w:numId="561">
    <w:abstractNumId w:val="246"/>
  </w:num>
  <w:num w:numId="562">
    <w:abstractNumId w:val="649"/>
  </w:num>
  <w:num w:numId="563">
    <w:abstractNumId w:val="699"/>
  </w:num>
  <w:num w:numId="564">
    <w:abstractNumId w:val="370"/>
  </w:num>
  <w:num w:numId="565">
    <w:abstractNumId w:val="326"/>
  </w:num>
  <w:num w:numId="566">
    <w:abstractNumId w:val="76"/>
  </w:num>
  <w:num w:numId="567">
    <w:abstractNumId w:val="38"/>
  </w:num>
  <w:num w:numId="568">
    <w:abstractNumId w:val="598"/>
  </w:num>
  <w:num w:numId="569">
    <w:abstractNumId w:val="20"/>
  </w:num>
  <w:num w:numId="570">
    <w:abstractNumId w:val="509"/>
  </w:num>
  <w:num w:numId="571">
    <w:abstractNumId w:val="688"/>
  </w:num>
  <w:num w:numId="572">
    <w:abstractNumId w:val="181"/>
  </w:num>
  <w:num w:numId="573">
    <w:abstractNumId w:val="613"/>
  </w:num>
  <w:num w:numId="574">
    <w:abstractNumId w:val="259"/>
  </w:num>
  <w:num w:numId="575">
    <w:abstractNumId w:val="100"/>
  </w:num>
  <w:num w:numId="576">
    <w:abstractNumId w:val="289"/>
  </w:num>
  <w:num w:numId="577">
    <w:abstractNumId w:val="119"/>
  </w:num>
  <w:num w:numId="578">
    <w:abstractNumId w:val="522"/>
  </w:num>
  <w:num w:numId="579">
    <w:abstractNumId w:val="432"/>
  </w:num>
  <w:num w:numId="580">
    <w:abstractNumId w:val="107"/>
  </w:num>
  <w:num w:numId="581">
    <w:abstractNumId w:val="23"/>
  </w:num>
  <w:num w:numId="582">
    <w:abstractNumId w:val="18"/>
  </w:num>
  <w:num w:numId="583">
    <w:abstractNumId w:val="108"/>
  </w:num>
  <w:num w:numId="584">
    <w:abstractNumId w:val="277"/>
  </w:num>
  <w:num w:numId="585">
    <w:abstractNumId w:val="371"/>
  </w:num>
  <w:num w:numId="586">
    <w:abstractNumId w:val="567"/>
  </w:num>
  <w:num w:numId="587">
    <w:abstractNumId w:val="103"/>
  </w:num>
  <w:num w:numId="588">
    <w:abstractNumId w:val="376"/>
  </w:num>
  <w:num w:numId="589">
    <w:abstractNumId w:val="417"/>
  </w:num>
  <w:num w:numId="590">
    <w:abstractNumId w:val="5"/>
  </w:num>
  <w:num w:numId="591">
    <w:abstractNumId w:val="251"/>
  </w:num>
  <w:num w:numId="592">
    <w:abstractNumId w:val="393"/>
  </w:num>
  <w:num w:numId="593">
    <w:abstractNumId w:val="237"/>
  </w:num>
  <w:num w:numId="594">
    <w:abstractNumId w:val="359"/>
  </w:num>
  <w:num w:numId="595">
    <w:abstractNumId w:val="527"/>
  </w:num>
  <w:num w:numId="596">
    <w:abstractNumId w:val="42"/>
  </w:num>
  <w:num w:numId="597">
    <w:abstractNumId w:val="178"/>
  </w:num>
  <w:num w:numId="598">
    <w:abstractNumId w:val="346"/>
  </w:num>
  <w:num w:numId="599">
    <w:abstractNumId w:val="378"/>
  </w:num>
  <w:num w:numId="600">
    <w:abstractNumId w:val="75"/>
  </w:num>
  <w:num w:numId="601">
    <w:abstractNumId w:val="452"/>
  </w:num>
  <w:num w:numId="602">
    <w:abstractNumId w:val="643"/>
  </w:num>
  <w:num w:numId="603">
    <w:abstractNumId w:val="112"/>
  </w:num>
  <w:num w:numId="604">
    <w:abstractNumId w:val="196"/>
  </w:num>
  <w:num w:numId="605">
    <w:abstractNumId w:val="464"/>
  </w:num>
  <w:num w:numId="606">
    <w:abstractNumId w:val="654"/>
  </w:num>
  <w:num w:numId="607">
    <w:abstractNumId w:val="50"/>
  </w:num>
  <w:num w:numId="608">
    <w:abstractNumId w:val="333"/>
  </w:num>
  <w:num w:numId="609">
    <w:abstractNumId w:val="664"/>
  </w:num>
  <w:num w:numId="610">
    <w:abstractNumId w:val="424"/>
  </w:num>
  <w:num w:numId="611">
    <w:abstractNumId w:val="94"/>
  </w:num>
  <w:num w:numId="612">
    <w:abstractNumId w:val="70"/>
  </w:num>
  <w:num w:numId="613">
    <w:abstractNumId w:val="176"/>
  </w:num>
  <w:num w:numId="614">
    <w:abstractNumId w:val="282"/>
  </w:num>
  <w:num w:numId="615">
    <w:abstractNumId w:val="467"/>
  </w:num>
  <w:num w:numId="616">
    <w:abstractNumId w:val="614"/>
  </w:num>
  <w:num w:numId="617">
    <w:abstractNumId w:val="161"/>
  </w:num>
  <w:num w:numId="618">
    <w:abstractNumId w:val="92"/>
  </w:num>
  <w:num w:numId="619">
    <w:abstractNumId w:val="263"/>
  </w:num>
  <w:num w:numId="620">
    <w:abstractNumId w:val="312"/>
  </w:num>
  <w:num w:numId="621">
    <w:abstractNumId w:val="591"/>
  </w:num>
  <w:num w:numId="622">
    <w:abstractNumId w:val="633"/>
  </w:num>
  <w:num w:numId="623">
    <w:abstractNumId w:val="238"/>
  </w:num>
  <w:num w:numId="624">
    <w:abstractNumId w:val="96"/>
  </w:num>
  <w:num w:numId="625">
    <w:abstractNumId w:val="11"/>
  </w:num>
  <w:num w:numId="626">
    <w:abstractNumId w:val="21"/>
  </w:num>
  <w:num w:numId="627">
    <w:abstractNumId w:val="226"/>
  </w:num>
  <w:num w:numId="628">
    <w:abstractNumId w:val="170"/>
  </w:num>
  <w:num w:numId="629">
    <w:abstractNumId w:val="118"/>
  </w:num>
  <w:num w:numId="630">
    <w:abstractNumId w:val="685"/>
  </w:num>
  <w:num w:numId="631">
    <w:abstractNumId w:val="588"/>
  </w:num>
  <w:num w:numId="632">
    <w:abstractNumId w:val="262"/>
  </w:num>
  <w:num w:numId="633">
    <w:abstractNumId w:val="290"/>
  </w:num>
  <w:num w:numId="634">
    <w:abstractNumId w:val="144"/>
  </w:num>
  <w:num w:numId="635">
    <w:abstractNumId w:val="478"/>
  </w:num>
  <w:num w:numId="636">
    <w:abstractNumId w:val="164"/>
  </w:num>
  <w:num w:numId="637">
    <w:abstractNumId w:val="139"/>
  </w:num>
  <w:num w:numId="638">
    <w:abstractNumId w:val="65"/>
  </w:num>
  <w:num w:numId="639">
    <w:abstractNumId w:val="127"/>
  </w:num>
  <w:num w:numId="640">
    <w:abstractNumId w:val="380"/>
  </w:num>
  <w:num w:numId="641">
    <w:abstractNumId w:val="35"/>
  </w:num>
  <w:num w:numId="642">
    <w:abstractNumId w:val="48"/>
  </w:num>
  <w:num w:numId="643">
    <w:abstractNumId w:val="413"/>
  </w:num>
  <w:num w:numId="644">
    <w:abstractNumId w:val="662"/>
  </w:num>
  <w:num w:numId="645">
    <w:abstractNumId w:val="493"/>
  </w:num>
  <w:num w:numId="646">
    <w:abstractNumId w:val="317"/>
  </w:num>
  <w:num w:numId="647">
    <w:abstractNumId w:val="1"/>
  </w:num>
  <w:num w:numId="648">
    <w:abstractNumId w:val="561"/>
  </w:num>
  <w:num w:numId="649">
    <w:abstractNumId w:val="206"/>
  </w:num>
  <w:num w:numId="650">
    <w:abstractNumId w:val="653"/>
  </w:num>
  <w:num w:numId="651">
    <w:abstractNumId w:val="355"/>
  </w:num>
  <w:num w:numId="652">
    <w:abstractNumId w:val="121"/>
  </w:num>
  <w:num w:numId="653">
    <w:abstractNumId w:val="209"/>
  </w:num>
  <w:num w:numId="654">
    <w:abstractNumId w:val="519"/>
  </w:num>
  <w:num w:numId="655">
    <w:abstractNumId w:val="343"/>
  </w:num>
  <w:num w:numId="656">
    <w:abstractNumId w:val="308"/>
  </w:num>
  <w:num w:numId="657">
    <w:abstractNumId w:val="381"/>
  </w:num>
  <w:num w:numId="658">
    <w:abstractNumId w:val="102"/>
  </w:num>
  <w:num w:numId="659">
    <w:abstractNumId w:val="364"/>
  </w:num>
  <w:num w:numId="660">
    <w:abstractNumId w:val="207"/>
  </w:num>
  <w:num w:numId="661">
    <w:abstractNumId w:val="473"/>
  </w:num>
  <w:num w:numId="662">
    <w:abstractNumId w:val="322"/>
  </w:num>
  <w:num w:numId="663">
    <w:abstractNumId w:val="403"/>
  </w:num>
  <w:num w:numId="664">
    <w:abstractNumId w:val="556"/>
  </w:num>
  <w:num w:numId="665">
    <w:abstractNumId w:val="461"/>
  </w:num>
  <w:num w:numId="666">
    <w:abstractNumId w:val="583"/>
  </w:num>
  <w:num w:numId="667">
    <w:abstractNumId w:val="242"/>
  </w:num>
  <w:num w:numId="668">
    <w:abstractNumId w:val="174"/>
  </w:num>
  <w:num w:numId="669">
    <w:abstractNumId w:val="471"/>
  </w:num>
  <w:num w:numId="670">
    <w:abstractNumId w:val="82"/>
  </w:num>
  <w:num w:numId="671">
    <w:abstractNumId w:val="225"/>
  </w:num>
  <w:num w:numId="672">
    <w:abstractNumId w:val="210"/>
  </w:num>
  <w:num w:numId="673">
    <w:abstractNumId w:val="485"/>
  </w:num>
  <w:num w:numId="674">
    <w:abstractNumId w:val="141"/>
  </w:num>
  <w:num w:numId="675">
    <w:abstractNumId w:val="395"/>
  </w:num>
  <w:num w:numId="676">
    <w:abstractNumId w:val="655"/>
  </w:num>
  <w:num w:numId="677">
    <w:abstractNumId w:val="607"/>
  </w:num>
  <w:num w:numId="678">
    <w:abstractNumId w:val="374"/>
  </w:num>
  <w:num w:numId="679">
    <w:abstractNumId w:val="557"/>
  </w:num>
  <w:num w:numId="680">
    <w:abstractNumId w:val="648"/>
  </w:num>
  <w:num w:numId="681">
    <w:abstractNumId w:val="247"/>
  </w:num>
  <w:num w:numId="682">
    <w:abstractNumId w:val="572"/>
  </w:num>
  <w:num w:numId="683">
    <w:abstractNumId w:val="274"/>
  </w:num>
  <w:num w:numId="684">
    <w:abstractNumId w:val="205"/>
  </w:num>
  <w:num w:numId="685">
    <w:abstractNumId w:val="105"/>
  </w:num>
  <w:num w:numId="686">
    <w:abstractNumId w:val="602"/>
  </w:num>
  <w:num w:numId="687">
    <w:abstractNumId w:val="586"/>
  </w:num>
  <w:num w:numId="688">
    <w:abstractNumId w:val="356"/>
  </w:num>
  <w:num w:numId="689">
    <w:abstractNumId w:val="26"/>
  </w:num>
  <w:num w:numId="690">
    <w:abstractNumId w:val="233"/>
  </w:num>
  <w:num w:numId="691">
    <w:abstractNumId w:val="81"/>
  </w:num>
  <w:num w:numId="692">
    <w:abstractNumId w:val="480"/>
  </w:num>
  <w:num w:numId="693">
    <w:abstractNumId w:val="526"/>
  </w:num>
  <w:num w:numId="694">
    <w:abstractNumId w:val="671"/>
  </w:num>
  <w:num w:numId="695">
    <w:abstractNumId w:val="173"/>
  </w:num>
  <w:num w:numId="696">
    <w:abstractNumId w:val="323"/>
  </w:num>
  <w:num w:numId="697">
    <w:abstractNumId w:val="99"/>
  </w:num>
  <w:num w:numId="698">
    <w:abstractNumId w:val="546"/>
  </w:num>
  <w:num w:numId="699">
    <w:abstractNumId w:val="152"/>
  </w:num>
  <w:num w:numId="700">
    <w:abstractNumId w:val="565"/>
  </w:num>
  <w:num w:numId="701">
    <w:abstractNumId w:val="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I0NjAxODQ4MmQxYmU5ZTIzNTk2OWRlMmVhNGY1YjIifQ=="/>
  </w:docVars>
  <w:rsids>
    <w:rsidRoot w:val="003147E2"/>
    <w:rsid w:val="00005BDA"/>
    <w:rsid w:val="00062A09"/>
    <w:rsid w:val="000824C6"/>
    <w:rsid w:val="00091090"/>
    <w:rsid w:val="000B2385"/>
    <w:rsid w:val="000C0B98"/>
    <w:rsid w:val="000E4B46"/>
    <w:rsid w:val="00103866"/>
    <w:rsid w:val="001279D8"/>
    <w:rsid w:val="00156FAB"/>
    <w:rsid w:val="00172643"/>
    <w:rsid w:val="001771CC"/>
    <w:rsid w:val="00181EA5"/>
    <w:rsid w:val="00186FBA"/>
    <w:rsid w:val="00190966"/>
    <w:rsid w:val="001B4196"/>
    <w:rsid w:val="001B6805"/>
    <w:rsid w:val="001E059B"/>
    <w:rsid w:val="001E71B8"/>
    <w:rsid w:val="00211AD6"/>
    <w:rsid w:val="00260F58"/>
    <w:rsid w:val="0027494E"/>
    <w:rsid w:val="002950B6"/>
    <w:rsid w:val="002A1204"/>
    <w:rsid w:val="002B73B7"/>
    <w:rsid w:val="002B771B"/>
    <w:rsid w:val="002C54BC"/>
    <w:rsid w:val="002F5D07"/>
    <w:rsid w:val="00313869"/>
    <w:rsid w:val="003147E2"/>
    <w:rsid w:val="003426BF"/>
    <w:rsid w:val="003C5575"/>
    <w:rsid w:val="003C6F8B"/>
    <w:rsid w:val="004157F6"/>
    <w:rsid w:val="004760E1"/>
    <w:rsid w:val="004938AC"/>
    <w:rsid w:val="00494E35"/>
    <w:rsid w:val="004A417A"/>
    <w:rsid w:val="005126A8"/>
    <w:rsid w:val="0051641E"/>
    <w:rsid w:val="00546A45"/>
    <w:rsid w:val="00565130"/>
    <w:rsid w:val="00590563"/>
    <w:rsid w:val="005920E7"/>
    <w:rsid w:val="00592A6A"/>
    <w:rsid w:val="005A203C"/>
    <w:rsid w:val="005B7C88"/>
    <w:rsid w:val="005E1834"/>
    <w:rsid w:val="0060208B"/>
    <w:rsid w:val="006D2180"/>
    <w:rsid w:val="00731077"/>
    <w:rsid w:val="00755459"/>
    <w:rsid w:val="00773EA9"/>
    <w:rsid w:val="007F56B3"/>
    <w:rsid w:val="00806314"/>
    <w:rsid w:val="00840267"/>
    <w:rsid w:val="008A7576"/>
    <w:rsid w:val="009652AA"/>
    <w:rsid w:val="00966DD0"/>
    <w:rsid w:val="00985191"/>
    <w:rsid w:val="009A0BD4"/>
    <w:rsid w:val="009A6791"/>
    <w:rsid w:val="009D5260"/>
    <w:rsid w:val="00A11845"/>
    <w:rsid w:val="00A167A2"/>
    <w:rsid w:val="00A26F95"/>
    <w:rsid w:val="00A9342D"/>
    <w:rsid w:val="00AA5C43"/>
    <w:rsid w:val="00AA61C4"/>
    <w:rsid w:val="00AE7C39"/>
    <w:rsid w:val="00B1699F"/>
    <w:rsid w:val="00B2280C"/>
    <w:rsid w:val="00B37323"/>
    <w:rsid w:val="00B43C61"/>
    <w:rsid w:val="00B61C17"/>
    <w:rsid w:val="00B65039"/>
    <w:rsid w:val="00B72111"/>
    <w:rsid w:val="00BE411B"/>
    <w:rsid w:val="00BF1FA8"/>
    <w:rsid w:val="00BF2A83"/>
    <w:rsid w:val="00C35B8E"/>
    <w:rsid w:val="00C70304"/>
    <w:rsid w:val="00C77803"/>
    <w:rsid w:val="00C95F47"/>
    <w:rsid w:val="00CC0864"/>
    <w:rsid w:val="00CD3E5D"/>
    <w:rsid w:val="00CE15BC"/>
    <w:rsid w:val="00D2412E"/>
    <w:rsid w:val="00D26FCD"/>
    <w:rsid w:val="00D27542"/>
    <w:rsid w:val="00D76899"/>
    <w:rsid w:val="00DA7935"/>
    <w:rsid w:val="00DC0B72"/>
    <w:rsid w:val="00DC6A41"/>
    <w:rsid w:val="00DD28CC"/>
    <w:rsid w:val="00DD65B2"/>
    <w:rsid w:val="00E127D1"/>
    <w:rsid w:val="00E35C95"/>
    <w:rsid w:val="00E426ED"/>
    <w:rsid w:val="00E6751A"/>
    <w:rsid w:val="00EE2638"/>
    <w:rsid w:val="00EF08BF"/>
    <w:rsid w:val="00F00CA4"/>
    <w:rsid w:val="00F45DA3"/>
    <w:rsid w:val="00F64304"/>
    <w:rsid w:val="00FA7AEA"/>
    <w:rsid w:val="00FC2B29"/>
    <w:rsid w:val="00FD012A"/>
    <w:rsid w:val="00FD70B6"/>
    <w:rsid w:val="00FF6BA7"/>
    <w:rsid w:val="020531A4"/>
    <w:rsid w:val="02183CBA"/>
    <w:rsid w:val="02B70D15"/>
    <w:rsid w:val="03A32C74"/>
    <w:rsid w:val="03A854AA"/>
    <w:rsid w:val="03E643BD"/>
    <w:rsid w:val="04117BDE"/>
    <w:rsid w:val="04266217"/>
    <w:rsid w:val="047222D0"/>
    <w:rsid w:val="04E40433"/>
    <w:rsid w:val="05214B94"/>
    <w:rsid w:val="05380AA5"/>
    <w:rsid w:val="05571F68"/>
    <w:rsid w:val="06B42B79"/>
    <w:rsid w:val="07FC2271"/>
    <w:rsid w:val="08017F69"/>
    <w:rsid w:val="086B6FFB"/>
    <w:rsid w:val="09784CEE"/>
    <w:rsid w:val="09CD45A7"/>
    <w:rsid w:val="09F84F9F"/>
    <w:rsid w:val="0B772A1C"/>
    <w:rsid w:val="0B8F0E44"/>
    <w:rsid w:val="0C4D7612"/>
    <w:rsid w:val="0C5B0F06"/>
    <w:rsid w:val="0D943F0A"/>
    <w:rsid w:val="0E375B33"/>
    <w:rsid w:val="0E855450"/>
    <w:rsid w:val="0F3D5D2B"/>
    <w:rsid w:val="0FC95811"/>
    <w:rsid w:val="105F7F23"/>
    <w:rsid w:val="114333A1"/>
    <w:rsid w:val="11717F0E"/>
    <w:rsid w:val="11955682"/>
    <w:rsid w:val="11D81D3B"/>
    <w:rsid w:val="14515DD5"/>
    <w:rsid w:val="14C97936"/>
    <w:rsid w:val="15C342FB"/>
    <w:rsid w:val="16052124"/>
    <w:rsid w:val="175C6F6A"/>
    <w:rsid w:val="17905489"/>
    <w:rsid w:val="18422CDC"/>
    <w:rsid w:val="18AB429B"/>
    <w:rsid w:val="18FA4C8D"/>
    <w:rsid w:val="19197809"/>
    <w:rsid w:val="1A7D7F74"/>
    <w:rsid w:val="1AC92AED"/>
    <w:rsid w:val="1B4A1EFB"/>
    <w:rsid w:val="1BA43D72"/>
    <w:rsid w:val="1C4515B4"/>
    <w:rsid w:val="1D4806BC"/>
    <w:rsid w:val="1DAA2C03"/>
    <w:rsid w:val="1E256308"/>
    <w:rsid w:val="1EDE624F"/>
    <w:rsid w:val="1FCA360B"/>
    <w:rsid w:val="20020A72"/>
    <w:rsid w:val="20087F58"/>
    <w:rsid w:val="21751354"/>
    <w:rsid w:val="217C4F7B"/>
    <w:rsid w:val="2231068C"/>
    <w:rsid w:val="22BF71E9"/>
    <w:rsid w:val="23963804"/>
    <w:rsid w:val="24877A3E"/>
    <w:rsid w:val="24B7636D"/>
    <w:rsid w:val="24DB6E55"/>
    <w:rsid w:val="24E22B9B"/>
    <w:rsid w:val="258229C7"/>
    <w:rsid w:val="25A0096A"/>
    <w:rsid w:val="266826CC"/>
    <w:rsid w:val="26DB004C"/>
    <w:rsid w:val="27B15FD1"/>
    <w:rsid w:val="283D7C94"/>
    <w:rsid w:val="28846321"/>
    <w:rsid w:val="28A0389E"/>
    <w:rsid w:val="29A7634B"/>
    <w:rsid w:val="29B82726"/>
    <w:rsid w:val="2ADF3F04"/>
    <w:rsid w:val="2B0E79A7"/>
    <w:rsid w:val="2BB41E89"/>
    <w:rsid w:val="2BD61589"/>
    <w:rsid w:val="2C2521A6"/>
    <w:rsid w:val="2C3F0EDD"/>
    <w:rsid w:val="2C450668"/>
    <w:rsid w:val="2CA34B4D"/>
    <w:rsid w:val="2CEB696E"/>
    <w:rsid w:val="2E6C29B7"/>
    <w:rsid w:val="2E7625CA"/>
    <w:rsid w:val="2EA9088F"/>
    <w:rsid w:val="2F740E9D"/>
    <w:rsid w:val="2F7815D1"/>
    <w:rsid w:val="3012224F"/>
    <w:rsid w:val="31562849"/>
    <w:rsid w:val="317F2747"/>
    <w:rsid w:val="32FD00AC"/>
    <w:rsid w:val="33DB3108"/>
    <w:rsid w:val="340D11E5"/>
    <w:rsid w:val="34A60396"/>
    <w:rsid w:val="35586B6B"/>
    <w:rsid w:val="356C4DC3"/>
    <w:rsid w:val="35702107"/>
    <w:rsid w:val="358C5D47"/>
    <w:rsid w:val="35C47C2C"/>
    <w:rsid w:val="361502FC"/>
    <w:rsid w:val="36BC0665"/>
    <w:rsid w:val="36D72807"/>
    <w:rsid w:val="37826121"/>
    <w:rsid w:val="37AC23B2"/>
    <w:rsid w:val="396B35D4"/>
    <w:rsid w:val="3AF86E26"/>
    <w:rsid w:val="3B191D2F"/>
    <w:rsid w:val="3B2C4D22"/>
    <w:rsid w:val="3B5A66B5"/>
    <w:rsid w:val="3B7173EE"/>
    <w:rsid w:val="3C6E2573"/>
    <w:rsid w:val="3DB62355"/>
    <w:rsid w:val="3DF9335A"/>
    <w:rsid w:val="3FEC4A80"/>
    <w:rsid w:val="417411D1"/>
    <w:rsid w:val="418A4550"/>
    <w:rsid w:val="42907209"/>
    <w:rsid w:val="43592BB2"/>
    <w:rsid w:val="44A54A91"/>
    <w:rsid w:val="45071C57"/>
    <w:rsid w:val="450776C6"/>
    <w:rsid w:val="45CF7301"/>
    <w:rsid w:val="46652AB1"/>
    <w:rsid w:val="46B1432D"/>
    <w:rsid w:val="470646EF"/>
    <w:rsid w:val="47507FEA"/>
    <w:rsid w:val="47C414C5"/>
    <w:rsid w:val="47F15951"/>
    <w:rsid w:val="48C101DC"/>
    <w:rsid w:val="48FD385A"/>
    <w:rsid w:val="491C4628"/>
    <w:rsid w:val="49EA0282"/>
    <w:rsid w:val="4A2139AD"/>
    <w:rsid w:val="4AC62A9D"/>
    <w:rsid w:val="4AD337D1"/>
    <w:rsid w:val="4BDF193C"/>
    <w:rsid w:val="4C0D0258"/>
    <w:rsid w:val="4CC953B9"/>
    <w:rsid w:val="4CF620ED"/>
    <w:rsid w:val="4D5D5B08"/>
    <w:rsid w:val="4E0F16B8"/>
    <w:rsid w:val="4F165675"/>
    <w:rsid w:val="504C4FF5"/>
    <w:rsid w:val="50DC43E5"/>
    <w:rsid w:val="52457BD2"/>
    <w:rsid w:val="52AC2215"/>
    <w:rsid w:val="53396411"/>
    <w:rsid w:val="53843296"/>
    <w:rsid w:val="53B120C1"/>
    <w:rsid w:val="552F09A5"/>
    <w:rsid w:val="553A6C4A"/>
    <w:rsid w:val="56CB4F97"/>
    <w:rsid w:val="57071B4B"/>
    <w:rsid w:val="581035A9"/>
    <w:rsid w:val="595C0589"/>
    <w:rsid w:val="595E52A8"/>
    <w:rsid w:val="597A4916"/>
    <w:rsid w:val="598F6750"/>
    <w:rsid w:val="59943EF3"/>
    <w:rsid w:val="59AB09F9"/>
    <w:rsid w:val="5A8B33BB"/>
    <w:rsid w:val="5B1E422F"/>
    <w:rsid w:val="5B6B1376"/>
    <w:rsid w:val="5B8D6D66"/>
    <w:rsid w:val="5BA744F2"/>
    <w:rsid w:val="5BE45EEE"/>
    <w:rsid w:val="5CE62B2B"/>
    <w:rsid w:val="5CEE19DF"/>
    <w:rsid w:val="5FC92F8E"/>
    <w:rsid w:val="609E54CA"/>
    <w:rsid w:val="60AE6FE5"/>
    <w:rsid w:val="612F4DEA"/>
    <w:rsid w:val="619A2136"/>
    <w:rsid w:val="619C32B8"/>
    <w:rsid w:val="629E56C3"/>
    <w:rsid w:val="63C841A4"/>
    <w:rsid w:val="644C5F1A"/>
    <w:rsid w:val="64803E19"/>
    <w:rsid w:val="64F41B5D"/>
    <w:rsid w:val="65333DDE"/>
    <w:rsid w:val="658D448B"/>
    <w:rsid w:val="65B23EF2"/>
    <w:rsid w:val="66E8740A"/>
    <w:rsid w:val="673B6F63"/>
    <w:rsid w:val="679D0A8D"/>
    <w:rsid w:val="685225A9"/>
    <w:rsid w:val="68546AA9"/>
    <w:rsid w:val="692844CB"/>
    <w:rsid w:val="6982663B"/>
    <w:rsid w:val="6A506220"/>
    <w:rsid w:val="6AEC0A56"/>
    <w:rsid w:val="6B1940CB"/>
    <w:rsid w:val="6CC41392"/>
    <w:rsid w:val="6E697118"/>
    <w:rsid w:val="6EB74CDF"/>
    <w:rsid w:val="6F3A6B44"/>
    <w:rsid w:val="6F551878"/>
    <w:rsid w:val="6FA174C0"/>
    <w:rsid w:val="70862203"/>
    <w:rsid w:val="71802BC1"/>
    <w:rsid w:val="71E15841"/>
    <w:rsid w:val="721D3CD3"/>
    <w:rsid w:val="72856183"/>
    <w:rsid w:val="72D07765"/>
    <w:rsid w:val="740C0C71"/>
    <w:rsid w:val="74877BF5"/>
    <w:rsid w:val="74924AE6"/>
    <w:rsid w:val="75896375"/>
    <w:rsid w:val="759E1B06"/>
    <w:rsid w:val="75AF1D5A"/>
    <w:rsid w:val="76056587"/>
    <w:rsid w:val="762B2F49"/>
    <w:rsid w:val="76BA0353"/>
    <w:rsid w:val="770F2826"/>
    <w:rsid w:val="77B21B30"/>
    <w:rsid w:val="77D3661D"/>
    <w:rsid w:val="784F6D32"/>
    <w:rsid w:val="78CD7D89"/>
    <w:rsid w:val="78FB7506"/>
    <w:rsid w:val="79162CCE"/>
    <w:rsid w:val="793C6D14"/>
    <w:rsid w:val="7A2B5750"/>
    <w:rsid w:val="7A523156"/>
    <w:rsid w:val="7A8E48F1"/>
    <w:rsid w:val="7B5A49B8"/>
    <w:rsid w:val="7B9D0127"/>
    <w:rsid w:val="7BDF7E15"/>
    <w:rsid w:val="7BF5023D"/>
    <w:rsid w:val="7C431044"/>
    <w:rsid w:val="7D4B15C0"/>
    <w:rsid w:val="7DD4587F"/>
    <w:rsid w:val="7DFD162B"/>
    <w:rsid w:val="7F1969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nhideWhenUsed="0" w:uiPriority="99" w:semiHidden="0"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adjustRightInd w:val="0"/>
      <w:spacing w:before="320" w:line="300" w:lineRule="auto"/>
      <w:outlineLvl w:val="0"/>
    </w:pPr>
    <w:rPr>
      <w:rFonts w:eastAsia="黑体"/>
      <w:color w:val="000000"/>
      <w:kern w:val="44"/>
      <w:sz w:val="32"/>
      <w:szCs w:val="44"/>
    </w:rPr>
  </w:style>
  <w:style w:type="paragraph" w:styleId="3">
    <w:name w:val="heading 2"/>
    <w:basedOn w:val="1"/>
    <w:next w:val="1"/>
    <w:link w:val="60"/>
    <w:qFormat/>
    <w:uiPriority w:val="0"/>
    <w:pPr>
      <w:adjustRightInd w:val="0"/>
      <w:spacing w:before="280" w:line="300" w:lineRule="auto"/>
      <w:outlineLvl w:val="1"/>
    </w:pPr>
    <w:rPr>
      <w:rFonts w:eastAsia="黑体"/>
      <w:sz w:val="30"/>
      <w:szCs w:val="32"/>
    </w:rPr>
  </w:style>
  <w:style w:type="paragraph" w:styleId="4">
    <w:name w:val="heading 3"/>
    <w:next w:val="1"/>
    <w:link w:val="61"/>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paragraph" w:styleId="5">
    <w:name w:val="heading 4"/>
    <w:next w:val="1"/>
    <w:link w:val="62"/>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val="en-US" w:eastAsia="zh-CN" w:bidi="ar-SA"/>
    </w:rPr>
  </w:style>
  <w:style w:type="paragraph" w:styleId="6">
    <w:name w:val="heading 5"/>
    <w:next w:val="1"/>
    <w:link w:val="63"/>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val="en-US" w:eastAsia="zh-CN" w:bidi="ar-SA"/>
    </w:rPr>
  </w:style>
  <w:style w:type="paragraph" w:styleId="7">
    <w:name w:val="heading 6"/>
    <w:next w:val="1"/>
    <w:link w:val="64"/>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val="en-US" w:eastAsia="zh-CN" w:bidi="ar-SA"/>
    </w:rPr>
  </w:style>
  <w:style w:type="paragraph" w:styleId="8">
    <w:name w:val="heading 7"/>
    <w:next w:val="9"/>
    <w:link w:val="65"/>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val="en-US" w:eastAsia="zh-CN" w:bidi="ar-SA"/>
    </w:rPr>
  </w:style>
  <w:style w:type="paragraph" w:styleId="10">
    <w:name w:val="heading 8"/>
    <w:next w:val="9"/>
    <w:link w:val="66"/>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val="en-US" w:eastAsia="zh-CN" w:bidi="ar-SA"/>
    </w:rPr>
  </w:style>
  <w:style w:type="paragraph" w:styleId="11">
    <w:name w:val="heading 9"/>
    <w:next w:val="9"/>
    <w:link w:val="67"/>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9">
    <w:name w:val="Normal Indent"/>
    <w:basedOn w:val="1"/>
    <w:link w:val="68"/>
    <w:qFormat/>
    <w:uiPriority w:val="99"/>
    <w:pPr>
      <w:ind w:firstLine="420"/>
    </w:pPr>
    <w:rPr>
      <w:rFonts w:ascii="Calibri" w:hAnsi="Calibri"/>
      <w:szCs w:val="20"/>
    </w:rPr>
  </w:style>
  <w:style w:type="paragraph" w:styleId="12">
    <w:name w:val="List Number"/>
    <w:basedOn w:val="1"/>
    <w:qFormat/>
    <w:uiPriority w:val="0"/>
    <w:pPr>
      <w:widowControl/>
      <w:tabs>
        <w:tab w:val="left" w:pos="454"/>
        <w:tab w:val="left" w:pos="720"/>
        <w:tab w:val="left" w:pos="840"/>
      </w:tabs>
      <w:spacing w:afterLines="50"/>
      <w:ind w:left="454" w:hanging="284"/>
      <w:jc w:val="left"/>
    </w:pPr>
    <w:rPr>
      <w:rFonts w:ascii="Calibri" w:hAnsi="Calibri"/>
      <w:kern w:val="0"/>
      <w:sz w:val="24"/>
      <w:szCs w:val="20"/>
    </w:rPr>
  </w:style>
  <w:style w:type="paragraph" w:styleId="13">
    <w:name w:val="caption"/>
    <w:basedOn w:val="1"/>
    <w:next w:val="1"/>
    <w:qFormat/>
    <w:uiPriority w:val="99"/>
    <w:pPr>
      <w:spacing w:before="152" w:after="160"/>
    </w:pPr>
    <w:rPr>
      <w:rFonts w:ascii="Arial" w:hAnsi="Arial" w:eastAsia="黑体" w:cs="Arial"/>
      <w:sz w:val="20"/>
      <w:szCs w:val="20"/>
    </w:rPr>
  </w:style>
  <w:style w:type="paragraph" w:styleId="14">
    <w:name w:val="Document Map"/>
    <w:basedOn w:val="1"/>
    <w:link w:val="69"/>
    <w:qFormat/>
    <w:uiPriority w:val="0"/>
    <w:pPr>
      <w:shd w:val="clear" w:color="auto" w:fill="000080"/>
    </w:pPr>
  </w:style>
  <w:style w:type="paragraph" w:styleId="15">
    <w:name w:val="annotation text"/>
    <w:basedOn w:val="1"/>
    <w:link w:val="70"/>
    <w:qFormat/>
    <w:uiPriority w:val="0"/>
    <w:pPr>
      <w:jc w:val="left"/>
    </w:pPr>
  </w:style>
  <w:style w:type="paragraph" w:styleId="16">
    <w:name w:val="Body Text 3"/>
    <w:basedOn w:val="1"/>
    <w:link w:val="71"/>
    <w:qFormat/>
    <w:uiPriority w:val="99"/>
    <w:pPr>
      <w:spacing w:line="500" w:lineRule="exact"/>
    </w:pPr>
    <w:rPr>
      <w:b/>
      <w:bCs/>
      <w:kern w:val="0"/>
      <w:sz w:val="24"/>
    </w:rPr>
  </w:style>
  <w:style w:type="paragraph" w:styleId="17">
    <w:name w:val="Body Text"/>
    <w:basedOn w:val="1"/>
    <w:next w:val="1"/>
    <w:link w:val="72"/>
    <w:qFormat/>
    <w:uiPriority w:val="0"/>
    <w:pPr>
      <w:adjustRightInd w:val="0"/>
      <w:spacing w:before="100" w:after="100" w:line="300" w:lineRule="auto"/>
      <w:ind w:firstLine="1044" w:firstLineChars="200"/>
    </w:pPr>
    <w:rPr>
      <w:sz w:val="24"/>
    </w:rPr>
  </w:style>
  <w:style w:type="paragraph" w:styleId="18">
    <w:name w:val="Body Text Indent"/>
    <w:basedOn w:val="1"/>
    <w:link w:val="73"/>
    <w:qFormat/>
    <w:uiPriority w:val="0"/>
    <w:pPr>
      <w:ind w:firstLine="830" w:firstLineChars="352"/>
    </w:pPr>
    <w:rPr>
      <w:rFonts w:ascii="仿宋_GB2312" w:eastAsia="仿宋_GB2312"/>
      <w:kern w:val="0"/>
      <w:sz w:val="32"/>
      <w:szCs w:val="20"/>
    </w:rPr>
  </w:style>
  <w:style w:type="paragraph" w:styleId="19">
    <w:name w:val="List Number 3"/>
    <w:basedOn w:val="1"/>
    <w:qFormat/>
    <w:uiPriority w:val="0"/>
    <w:pPr>
      <w:numPr>
        <w:ilvl w:val="0"/>
        <w:numId w:val="1"/>
      </w:numPr>
    </w:pPr>
    <w:rPr>
      <w:rFonts w:ascii="Calibri" w:hAnsi="Calibri"/>
    </w:rPr>
  </w:style>
  <w:style w:type="paragraph" w:styleId="20">
    <w:name w:val="List 2"/>
    <w:basedOn w:val="1"/>
    <w:qFormat/>
    <w:uiPriority w:val="0"/>
    <w:pPr>
      <w:ind w:left="100" w:leftChars="200" w:hanging="200" w:hangingChars="200"/>
    </w:pPr>
    <w:rPr>
      <w:rFonts w:ascii="Calibri" w:hAnsi="Calibri"/>
      <w:sz w:val="28"/>
    </w:rPr>
  </w:style>
  <w:style w:type="paragraph" w:styleId="21">
    <w:name w:val="Block Text"/>
    <w:basedOn w:val="1"/>
    <w:qFormat/>
    <w:uiPriority w:val="0"/>
    <w:pPr>
      <w:spacing w:line="380" w:lineRule="exact"/>
      <w:ind w:left="1168" w:leftChars="380" w:right="300" w:rightChars="100" w:hanging="28" w:hangingChars="10"/>
    </w:pPr>
    <w:rPr>
      <w:rFonts w:ascii="方正仿宋_GBK" w:eastAsia="方正仿宋_GBK"/>
      <w:sz w:val="28"/>
      <w:szCs w:val="30"/>
    </w:rPr>
  </w:style>
  <w:style w:type="paragraph" w:styleId="22">
    <w:name w:val="Plain Text"/>
    <w:basedOn w:val="1"/>
    <w:link w:val="74"/>
    <w:qFormat/>
    <w:uiPriority w:val="0"/>
    <w:rPr>
      <w:rFonts w:ascii="宋体" w:hAnsi="Courier New"/>
      <w:kern w:val="0"/>
      <w:sz w:val="20"/>
      <w:szCs w:val="21"/>
    </w:rPr>
  </w:style>
  <w:style w:type="paragraph" w:styleId="23">
    <w:name w:val="Date"/>
    <w:basedOn w:val="1"/>
    <w:next w:val="1"/>
    <w:link w:val="75"/>
    <w:qFormat/>
    <w:uiPriority w:val="0"/>
    <w:pPr>
      <w:ind w:left="100" w:leftChars="2500"/>
    </w:pPr>
    <w:rPr>
      <w:rFonts w:ascii="宋体" w:hAnsi="Courier New"/>
      <w:kern w:val="0"/>
      <w:sz w:val="20"/>
      <w:szCs w:val="21"/>
    </w:rPr>
  </w:style>
  <w:style w:type="paragraph" w:styleId="24">
    <w:name w:val="Body Text Indent 2"/>
    <w:basedOn w:val="1"/>
    <w:link w:val="76"/>
    <w:qFormat/>
    <w:uiPriority w:val="99"/>
    <w:pPr>
      <w:ind w:firstLine="630"/>
    </w:pPr>
    <w:rPr>
      <w:kern w:val="0"/>
      <w:sz w:val="32"/>
      <w:szCs w:val="20"/>
    </w:rPr>
  </w:style>
  <w:style w:type="paragraph" w:styleId="25">
    <w:name w:val="endnote text"/>
    <w:basedOn w:val="1"/>
    <w:link w:val="77"/>
    <w:qFormat/>
    <w:uiPriority w:val="99"/>
    <w:pPr>
      <w:snapToGrid w:val="0"/>
      <w:jc w:val="left"/>
    </w:pPr>
  </w:style>
  <w:style w:type="paragraph" w:styleId="26">
    <w:name w:val="Balloon Text"/>
    <w:basedOn w:val="1"/>
    <w:link w:val="78"/>
    <w:qFormat/>
    <w:uiPriority w:val="0"/>
    <w:rPr>
      <w:kern w:val="0"/>
      <w:sz w:val="18"/>
      <w:szCs w:val="18"/>
    </w:rPr>
  </w:style>
  <w:style w:type="paragraph" w:styleId="27">
    <w:name w:val="footer"/>
    <w:basedOn w:val="1"/>
    <w:link w:val="59"/>
    <w:unhideWhenUsed/>
    <w:qFormat/>
    <w:uiPriority w:val="0"/>
    <w:pPr>
      <w:tabs>
        <w:tab w:val="center" w:pos="4153"/>
        <w:tab w:val="right" w:pos="8306"/>
      </w:tabs>
      <w:snapToGrid w:val="0"/>
      <w:jc w:val="left"/>
    </w:pPr>
    <w:rPr>
      <w:sz w:val="18"/>
      <w:szCs w:val="18"/>
    </w:rPr>
  </w:style>
  <w:style w:type="paragraph" w:styleId="28">
    <w:name w:val="header"/>
    <w:basedOn w:val="1"/>
    <w:link w:val="58"/>
    <w:unhideWhenUsed/>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unhideWhenUsed/>
    <w:qFormat/>
    <w:uiPriority w:val="39"/>
  </w:style>
  <w:style w:type="paragraph" w:styleId="30">
    <w:name w:val="Subtitle"/>
    <w:next w:val="1"/>
    <w:link w:val="339"/>
    <w:qFormat/>
    <w:uiPriority w:val="11"/>
    <w:pPr>
      <w:widowControl w:val="0"/>
      <w:adjustRightInd w:val="0"/>
      <w:spacing w:before="100" w:after="100"/>
      <w:jc w:val="center"/>
    </w:pPr>
    <w:rPr>
      <w:rFonts w:ascii="Times New Roman" w:hAnsi="Times New Roman" w:eastAsia="黑体" w:cs="Times New Roman"/>
      <w:kern w:val="28"/>
      <w:sz w:val="32"/>
      <w:szCs w:val="24"/>
      <w:lang w:val="en-US" w:eastAsia="zh-CN" w:bidi="ar-SA"/>
    </w:rPr>
  </w:style>
  <w:style w:type="paragraph" w:styleId="31">
    <w:name w:val="List"/>
    <w:basedOn w:val="1"/>
    <w:qFormat/>
    <w:uiPriority w:val="0"/>
    <w:pPr>
      <w:ind w:left="200" w:hanging="200" w:hangingChars="200"/>
    </w:pPr>
    <w:rPr>
      <w:rFonts w:ascii="Calibri" w:hAnsi="Calibri"/>
      <w:sz w:val="28"/>
    </w:rPr>
  </w:style>
  <w:style w:type="paragraph" w:styleId="32">
    <w:name w:val="footnote text"/>
    <w:basedOn w:val="1"/>
    <w:link w:val="79"/>
    <w:qFormat/>
    <w:uiPriority w:val="0"/>
    <w:pPr>
      <w:snapToGrid w:val="0"/>
      <w:jc w:val="left"/>
    </w:pPr>
    <w:rPr>
      <w:sz w:val="18"/>
      <w:szCs w:val="18"/>
    </w:rPr>
  </w:style>
  <w:style w:type="paragraph" w:styleId="33">
    <w:name w:val="Body Text Indent 3"/>
    <w:basedOn w:val="1"/>
    <w:link w:val="80"/>
    <w:qFormat/>
    <w:uiPriority w:val="99"/>
    <w:pPr>
      <w:spacing w:after="120"/>
      <w:ind w:left="420" w:leftChars="200"/>
    </w:pPr>
    <w:rPr>
      <w:kern w:val="0"/>
      <w:sz w:val="16"/>
      <w:szCs w:val="16"/>
    </w:rPr>
  </w:style>
  <w:style w:type="paragraph" w:styleId="34">
    <w:name w:val="table of figures"/>
    <w:basedOn w:val="12"/>
    <w:next w:val="12"/>
    <w:qFormat/>
    <w:uiPriority w:val="0"/>
    <w:pPr>
      <w:tabs>
        <w:tab w:val="right" w:leader="dot" w:pos="9071"/>
        <w:tab w:val="clear" w:pos="454"/>
        <w:tab w:val="clear" w:pos="720"/>
        <w:tab w:val="clear" w:pos="840"/>
      </w:tabs>
      <w:spacing w:afterLines="0"/>
      <w:ind w:left="0" w:firstLine="0"/>
      <w:jc w:val="both"/>
    </w:pPr>
    <w:rPr>
      <w:rFonts w:ascii="Arial" w:hAnsi="Arial"/>
      <w:sz w:val="22"/>
      <w:lang w:val="de-DE" w:eastAsia="de-DE"/>
    </w:rPr>
  </w:style>
  <w:style w:type="paragraph" w:styleId="35">
    <w:name w:val="toc 2"/>
    <w:basedOn w:val="1"/>
    <w:next w:val="1"/>
    <w:unhideWhenUsed/>
    <w:qFormat/>
    <w:uiPriority w:val="39"/>
    <w:pPr>
      <w:ind w:left="420" w:leftChars="200"/>
    </w:pPr>
  </w:style>
  <w:style w:type="paragraph" w:styleId="36">
    <w:name w:val="Body Text 2"/>
    <w:basedOn w:val="1"/>
    <w:link w:val="81"/>
    <w:qFormat/>
    <w:uiPriority w:val="99"/>
    <w:pPr>
      <w:spacing w:after="120" w:line="480" w:lineRule="auto"/>
    </w:pPr>
    <w:rPr>
      <w:kern w:val="0"/>
      <w:sz w:val="20"/>
    </w:rPr>
  </w:style>
  <w:style w:type="paragraph" w:styleId="37">
    <w:name w:val="List 4"/>
    <w:basedOn w:val="1"/>
    <w:qFormat/>
    <w:uiPriority w:val="0"/>
    <w:pPr>
      <w:ind w:left="100" w:leftChars="600" w:hanging="200" w:hangingChars="200"/>
    </w:pPr>
  </w:style>
  <w:style w:type="paragraph" w:styleId="38">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99"/>
    <w:pPr>
      <w:widowControl/>
      <w:spacing w:before="100" w:beforeAutospacing="1" w:after="100" w:afterAutospacing="1"/>
      <w:jc w:val="left"/>
    </w:pPr>
    <w:rPr>
      <w:rFonts w:ascii="宋体" w:hAnsi="宋体"/>
      <w:kern w:val="0"/>
      <w:sz w:val="24"/>
    </w:rPr>
  </w:style>
  <w:style w:type="paragraph" w:styleId="40">
    <w:name w:val="index 1"/>
    <w:basedOn w:val="1"/>
    <w:next w:val="1"/>
    <w:qFormat/>
    <w:uiPriority w:val="0"/>
    <w:pPr>
      <w:spacing w:line="400" w:lineRule="exact"/>
      <w:ind w:firstLine="420" w:firstLineChars="200"/>
    </w:pPr>
    <w:rPr>
      <w:rFonts w:ascii="宋体" w:hAnsi="Courier New"/>
      <w:b/>
      <w:szCs w:val="20"/>
    </w:rPr>
  </w:style>
  <w:style w:type="paragraph" w:styleId="41">
    <w:name w:val="Title"/>
    <w:next w:val="1"/>
    <w:link w:val="83"/>
    <w:qFormat/>
    <w:uiPriority w:val="0"/>
    <w:pPr>
      <w:widowControl w:val="0"/>
      <w:adjustRightInd w:val="0"/>
      <w:spacing w:before="100" w:after="100"/>
      <w:jc w:val="center"/>
    </w:pPr>
    <w:rPr>
      <w:rFonts w:ascii="Times New Roman" w:hAnsi="Times New Roman" w:eastAsia="黑体" w:cs="Times New Roman"/>
      <w:kern w:val="2"/>
      <w:sz w:val="36"/>
      <w:szCs w:val="24"/>
      <w:lang w:val="en-US" w:eastAsia="zh-CN" w:bidi="ar-SA"/>
    </w:rPr>
  </w:style>
  <w:style w:type="paragraph" w:styleId="42">
    <w:name w:val="annotation subject"/>
    <w:basedOn w:val="15"/>
    <w:next w:val="15"/>
    <w:link w:val="84"/>
    <w:qFormat/>
    <w:uiPriority w:val="99"/>
    <w:rPr>
      <w:b/>
      <w:bCs/>
    </w:rPr>
  </w:style>
  <w:style w:type="paragraph" w:styleId="43">
    <w:name w:val="Body Text First Indent 2"/>
    <w:basedOn w:val="18"/>
    <w:link w:val="85"/>
    <w:qFormat/>
    <w:uiPriority w:val="0"/>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endnote reference"/>
    <w:qFormat/>
    <w:uiPriority w:val="99"/>
    <w:rPr>
      <w:rFonts w:ascii="Calibri" w:hAnsi="Calibri" w:eastAsia="宋体" w:cs="Times New Roman"/>
      <w:vertAlign w:val="superscript"/>
    </w:rPr>
  </w:style>
  <w:style w:type="character" w:styleId="49">
    <w:name w:val="page number"/>
    <w:qFormat/>
    <w:uiPriority w:val="0"/>
    <w:rPr>
      <w:rFonts w:ascii="Calibri" w:hAnsi="Calibri" w:eastAsia="宋体" w:cs="Times New Roman"/>
    </w:rPr>
  </w:style>
  <w:style w:type="character" w:styleId="50">
    <w:name w:val="FollowedHyperlink"/>
    <w:qFormat/>
    <w:uiPriority w:val="99"/>
    <w:rPr>
      <w:rFonts w:ascii="Calibri" w:hAnsi="Calibri" w:eastAsia="宋体" w:cs="Times New Roman"/>
      <w:color w:val="800080"/>
      <w:u w:val="single"/>
    </w:rPr>
  </w:style>
  <w:style w:type="character" w:styleId="51">
    <w:name w:val="Emphasis"/>
    <w:qFormat/>
    <w:uiPriority w:val="20"/>
    <w:rPr>
      <w:rFonts w:ascii="Times New Roman" w:hAnsi="Times New Roman" w:eastAsia="宋体" w:cs="Times New Roman"/>
      <w:i/>
      <w:iCs/>
    </w:rPr>
  </w:style>
  <w:style w:type="character" w:styleId="52">
    <w:name w:val="line number"/>
    <w:qFormat/>
    <w:uiPriority w:val="0"/>
    <w:rPr>
      <w:rFonts w:ascii="Calibri" w:hAnsi="Calibri" w:eastAsia="宋体" w:cs="Times New Roman"/>
    </w:rPr>
  </w:style>
  <w:style w:type="character" w:styleId="53">
    <w:name w:val="Hyperlink"/>
    <w:qFormat/>
    <w:uiPriority w:val="99"/>
    <w:rPr>
      <w:rFonts w:ascii="Calibri" w:hAnsi="Calibri" w:eastAsia="宋体" w:cs="Times New Roman"/>
      <w:color w:val="0000FF"/>
      <w:u w:val="single"/>
    </w:rPr>
  </w:style>
  <w:style w:type="character" w:styleId="54">
    <w:name w:val="annotation reference"/>
    <w:basedOn w:val="46"/>
    <w:qFormat/>
    <w:uiPriority w:val="0"/>
    <w:rPr>
      <w:rFonts w:ascii="Calibri" w:hAnsi="Calibri" w:eastAsia="宋体" w:cs="Times New Roman"/>
      <w:sz w:val="21"/>
      <w:szCs w:val="21"/>
    </w:rPr>
  </w:style>
  <w:style w:type="character" w:styleId="55">
    <w:name w:val="footnote reference"/>
    <w:qFormat/>
    <w:uiPriority w:val="0"/>
    <w:rPr>
      <w:rFonts w:ascii="Calibri" w:hAnsi="Calibri" w:eastAsia="宋体" w:cs="Times New Roman"/>
      <w:vertAlign w:val="superscript"/>
    </w:rPr>
  </w:style>
  <w:style w:type="character" w:customStyle="1" w:styleId="56">
    <w:name w:val="标题 1 字符"/>
    <w:basedOn w:val="46"/>
    <w:link w:val="2"/>
    <w:qFormat/>
    <w:uiPriority w:val="0"/>
    <w:rPr>
      <w:rFonts w:ascii="Times New Roman" w:hAnsi="Times New Roman" w:eastAsia="宋体" w:cs="Times New Roman"/>
      <w:b/>
      <w:bCs/>
      <w:kern w:val="44"/>
      <w:sz w:val="44"/>
      <w:szCs w:val="44"/>
    </w:rPr>
  </w:style>
  <w:style w:type="character" w:customStyle="1" w:styleId="57">
    <w:name w:val="标题 2 Char"/>
    <w:qFormat/>
    <w:uiPriority w:val="0"/>
    <w:rPr>
      <w:w w:val="90"/>
      <w:kern w:val="2"/>
      <w:sz w:val="28"/>
    </w:rPr>
  </w:style>
  <w:style w:type="character" w:customStyle="1" w:styleId="58">
    <w:name w:val="页眉 字符"/>
    <w:basedOn w:val="46"/>
    <w:link w:val="28"/>
    <w:qFormat/>
    <w:uiPriority w:val="99"/>
    <w:rPr>
      <w:sz w:val="18"/>
      <w:szCs w:val="18"/>
    </w:rPr>
  </w:style>
  <w:style w:type="character" w:customStyle="1" w:styleId="59">
    <w:name w:val="页脚 字符"/>
    <w:basedOn w:val="46"/>
    <w:link w:val="27"/>
    <w:qFormat/>
    <w:uiPriority w:val="0"/>
    <w:rPr>
      <w:sz w:val="18"/>
      <w:szCs w:val="18"/>
    </w:rPr>
  </w:style>
  <w:style w:type="character" w:customStyle="1" w:styleId="60">
    <w:name w:val="标题 2 字符"/>
    <w:basedOn w:val="46"/>
    <w:link w:val="3"/>
    <w:qFormat/>
    <w:uiPriority w:val="0"/>
    <w:rPr>
      <w:rFonts w:ascii="Arial" w:hAnsi="Arial" w:eastAsia="黑体" w:cs="Times New Roman"/>
      <w:b/>
      <w:bCs/>
      <w:kern w:val="0"/>
      <w:sz w:val="32"/>
      <w:szCs w:val="32"/>
    </w:rPr>
  </w:style>
  <w:style w:type="character" w:customStyle="1" w:styleId="61">
    <w:name w:val="标题 3 字符"/>
    <w:basedOn w:val="46"/>
    <w:link w:val="4"/>
    <w:qFormat/>
    <w:uiPriority w:val="0"/>
    <w:rPr>
      <w:rFonts w:ascii="Times New Roman" w:hAnsi="Times New Roman" w:eastAsia="宋体" w:cs="Times New Roman"/>
      <w:b/>
      <w:bCs/>
      <w:kern w:val="0"/>
      <w:sz w:val="32"/>
      <w:szCs w:val="32"/>
    </w:rPr>
  </w:style>
  <w:style w:type="character" w:customStyle="1" w:styleId="62">
    <w:name w:val="标题 4 字符"/>
    <w:basedOn w:val="46"/>
    <w:link w:val="5"/>
    <w:qFormat/>
    <w:uiPriority w:val="0"/>
    <w:rPr>
      <w:rFonts w:ascii="Arial" w:hAnsi="Arial" w:eastAsia="黑体" w:cs="Times New Roman"/>
      <w:b/>
      <w:bCs/>
      <w:sz w:val="28"/>
      <w:szCs w:val="28"/>
    </w:rPr>
  </w:style>
  <w:style w:type="character" w:customStyle="1" w:styleId="63">
    <w:name w:val="标题 5 字符"/>
    <w:basedOn w:val="46"/>
    <w:link w:val="6"/>
    <w:qFormat/>
    <w:uiPriority w:val="0"/>
    <w:rPr>
      <w:rFonts w:ascii="Times New Roman" w:hAnsi="Times New Roman" w:eastAsia="宋体" w:cs="Times New Roman"/>
      <w:b/>
      <w:sz w:val="28"/>
      <w:szCs w:val="24"/>
    </w:rPr>
  </w:style>
  <w:style w:type="character" w:customStyle="1" w:styleId="64">
    <w:name w:val="标题 6 字符"/>
    <w:basedOn w:val="46"/>
    <w:link w:val="7"/>
    <w:qFormat/>
    <w:uiPriority w:val="0"/>
    <w:rPr>
      <w:rFonts w:ascii="Arial" w:hAnsi="Arial" w:eastAsia="黑体" w:cs="Times New Roman"/>
      <w:b/>
      <w:sz w:val="24"/>
      <w:szCs w:val="24"/>
    </w:rPr>
  </w:style>
  <w:style w:type="character" w:customStyle="1" w:styleId="65">
    <w:name w:val="标题 7 字符"/>
    <w:basedOn w:val="46"/>
    <w:link w:val="8"/>
    <w:qFormat/>
    <w:uiPriority w:val="0"/>
    <w:rPr>
      <w:rFonts w:ascii="Times New Roman" w:hAnsi="Times New Roman" w:eastAsia="宋体" w:cs="Times New Roman"/>
      <w:b/>
      <w:sz w:val="24"/>
      <w:szCs w:val="24"/>
    </w:rPr>
  </w:style>
  <w:style w:type="character" w:customStyle="1" w:styleId="66">
    <w:name w:val="标题 8 字符"/>
    <w:basedOn w:val="46"/>
    <w:link w:val="10"/>
    <w:qFormat/>
    <w:uiPriority w:val="0"/>
    <w:rPr>
      <w:rFonts w:ascii="Arial" w:hAnsi="Arial" w:eastAsia="黑体" w:cs="Times New Roman"/>
      <w:sz w:val="24"/>
      <w:szCs w:val="24"/>
    </w:rPr>
  </w:style>
  <w:style w:type="character" w:customStyle="1" w:styleId="67">
    <w:name w:val="标题 9 字符"/>
    <w:basedOn w:val="46"/>
    <w:link w:val="11"/>
    <w:qFormat/>
    <w:uiPriority w:val="0"/>
    <w:rPr>
      <w:rFonts w:ascii="Arial" w:hAnsi="Arial" w:eastAsia="黑体" w:cs="Times New Roman"/>
      <w:szCs w:val="24"/>
    </w:rPr>
  </w:style>
  <w:style w:type="character" w:customStyle="1" w:styleId="68">
    <w:name w:val="正文缩进 字符1"/>
    <w:link w:val="9"/>
    <w:qFormat/>
    <w:uiPriority w:val="99"/>
    <w:rPr>
      <w:rFonts w:ascii="Calibri" w:hAnsi="Calibri" w:eastAsia="宋体" w:cs="Times New Roman"/>
      <w:szCs w:val="20"/>
    </w:rPr>
  </w:style>
  <w:style w:type="character" w:customStyle="1" w:styleId="69">
    <w:name w:val="文档结构图 字符"/>
    <w:basedOn w:val="46"/>
    <w:link w:val="14"/>
    <w:qFormat/>
    <w:uiPriority w:val="0"/>
    <w:rPr>
      <w:rFonts w:ascii="Times New Roman" w:hAnsi="Times New Roman" w:eastAsia="宋体" w:cs="Times New Roman"/>
      <w:szCs w:val="24"/>
      <w:shd w:val="clear" w:color="auto" w:fill="000080"/>
    </w:rPr>
  </w:style>
  <w:style w:type="character" w:customStyle="1" w:styleId="70">
    <w:name w:val="批注文字 字符"/>
    <w:basedOn w:val="46"/>
    <w:link w:val="15"/>
    <w:qFormat/>
    <w:uiPriority w:val="0"/>
    <w:rPr>
      <w:rFonts w:ascii="Times New Roman" w:hAnsi="Times New Roman" w:eastAsia="宋体" w:cs="Times New Roman"/>
      <w:szCs w:val="24"/>
    </w:rPr>
  </w:style>
  <w:style w:type="character" w:customStyle="1" w:styleId="71">
    <w:name w:val="正文文本 3 字符"/>
    <w:basedOn w:val="46"/>
    <w:link w:val="16"/>
    <w:qFormat/>
    <w:uiPriority w:val="99"/>
    <w:rPr>
      <w:rFonts w:ascii="Times New Roman" w:hAnsi="Times New Roman" w:eastAsia="宋体" w:cs="Times New Roman"/>
      <w:b/>
      <w:bCs/>
      <w:kern w:val="0"/>
      <w:sz w:val="24"/>
      <w:szCs w:val="24"/>
    </w:rPr>
  </w:style>
  <w:style w:type="character" w:customStyle="1" w:styleId="72">
    <w:name w:val="正文文本 字符"/>
    <w:basedOn w:val="46"/>
    <w:link w:val="17"/>
    <w:qFormat/>
    <w:uiPriority w:val="0"/>
    <w:rPr>
      <w:rFonts w:ascii="Times New Roman" w:hAnsi="Times New Roman" w:eastAsia="宋体" w:cs="Times New Roman"/>
      <w:kern w:val="0"/>
      <w:sz w:val="24"/>
      <w:szCs w:val="24"/>
    </w:rPr>
  </w:style>
  <w:style w:type="character" w:customStyle="1" w:styleId="73">
    <w:name w:val="正文文本缩进 字符"/>
    <w:basedOn w:val="46"/>
    <w:link w:val="18"/>
    <w:qFormat/>
    <w:uiPriority w:val="0"/>
    <w:rPr>
      <w:rFonts w:ascii="仿宋_GB2312" w:hAnsi="Times New Roman" w:eastAsia="仿宋_GB2312" w:cs="Times New Roman"/>
      <w:kern w:val="0"/>
      <w:sz w:val="32"/>
      <w:szCs w:val="20"/>
    </w:rPr>
  </w:style>
  <w:style w:type="character" w:customStyle="1" w:styleId="74">
    <w:name w:val="纯文本 字符"/>
    <w:basedOn w:val="46"/>
    <w:link w:val="22"/>
    <w:qFormat/>
    <w:uiPriority w:val="0"/>
    <w:rPr>
      <w:rFonts w:ascii="宋体" w:hAnsi="Courier New" w:eastAsia="宋体" w:cs="Times New Roman"/>
      <w:kern w:val="0"/>
      <w:sz w:val="20"/>
      <w:szCs w:val="21"/>
    </w:rPr>
  </w:style>
  <w:style w:type="character" w:customStyle="1" w:styleId="75">
    <w:name w:val="日期 字符"/>
    <w:basedOn w:val="46"/>
    <w:link w:val="23"/>
    <w:qFormat/>
    <w:uiPriority w:val="0"/>
    <w:rPr>
      <w:rFonts w:ascii="宋体" w:hAnsi="Courier New" w:eastAsia="宋体" w:cs="Times New Roman"/>
      <w:kern w:val="0"/>
      <w:sz w:val="20"/>
      <w:szCs w:val="21"/>
    </w:rPr>
  </w:style>
  <w:style w:type="character" w:customStyle="1" w:styleId="76">
    <w:name w:val="正文文本缩进 2 字符"/>
    <w:basedOn w:val="46"/>
    <w:link w:val="24"/>
    <w:qFormat/>
    <w:uiPriority w:val="99"/>
    <w:rPr>
      <w:rFonts w:ascii="Times New Roman" w:hAnsi="Times New Roman" w:eastAsia="宋体" w:cs="Times New Roman"/>
      <w:kern w:val="0"/>
      <w:sz w:val="32"/>
      <w:szCs w:val="20"/>
    </w:rPr>
  </w:style>
  <w:style w:type="character" w:customStyle="1" w:styleId="77">
    <w:name w:val="尾注文本 字符"/>
    <w:basedOn w:val="46"/>
    <w:link w:val="25"/>
    <w:qFormat/>
    <w:uiPriority w:val="99"/>
    <w:rPr>
      <w:rFonts w:ascii="Times New Roman" w:hAnsi="Times New Roman" w:eastAsia="宋体" w:cs="Times New Roman"/>
      <w:szCs w:val="24"/>
    </w:rPr>
  </w:style>
  <w:style w:type="character" w:customStyle="1" w:styleId="78">
    <w:name w:val="批注框文本 字符"/>
    <w:basedOn w:val="46"/>
    <w:link w:val="26"/>
    <w:qFormat/>
    <w:uiPriority w:val="0"/>
    <w:rPr>
      <w:rFonts w:ascii="Times New Roman" w:hAnsi="Times New Roman" w:eastAsia="宋体" w:cs="Times New Roman"/>
      <w:kern w:val="0"/>
      <w:sz w:val="18"/>
      <w:szCs w:val="18"/>
    </w:rPr>
  </w:style>
  <w:style w:type="character" w:customStyle="1" w:styleId="79">
    <w:name w:val="脚注文本 字符"/>
    <w:basedOn w:val="46"/>
    <w:link w:val="32"/>
    <w:qFormat/>
    <w:uiPriority w:val="0"/>
    <w:rPr>
      <w:rFonts w:ascii="Times New Roman" w:hAnsi="Times New Roman" w:eastAsia="宋体" w:cs="Times New Roman"/>
      <w:sz w:val="18"/>
      <w:szCs w:val="18"/>
    </w:rPr>
  </w:style>
  <w:style w:type="character" w:customStyle="1" w:styleId="80">
    <w:name w:val="正文文本缩进 3 字符"/>
    <w:basedOn w:val="46"/>
    <w:link w:val="33"/>
    <w:qFormat/>
    <w:uiPriority w:val="99"/>
    <w:rPr>
      <w:rFonts w:ascii="Times New Roman" w:hAnsi="Times New Roman" w:eastAsia="宋体" w:cs="Times New Roman"/>
      <w:kern w:val="0"/>
      <w:sz w:val="16"/>
      <w:szCs w:val="16"/>
    </w:rPr>
  </w:style>
  <w:style w:type="character" w:customStyle="1" w:styleId="81">
    <w:name w:val="正文文本 2 字符"/>
    <w:basedOn w:val="46"/>
    <w:link w:val="36"/>
    <w:qFormat/>
    <w:uiPriority w:val="99"/>
    <w:rPr>
      <w:rFonts w:ascii="Times New Roman" w:hAnsi="Times New Roman" w:eastAsia="宋体" w:cs="Times New Roman"/>
      <w:kern w:val="0"/>
      <w:sz w:val="20"/>
      <w:szCs w:val="24"/>
    </w:rPr>
  </w:style>
  <w:style w:type="character" w:customStyle="1" w:styleId="82">
    <w:name w:val="HTML 预设格式 字符"/>
    <w:basedOn w:val="46"/>
    <w:link w:val="38"/>
    <w:qFormat/>
    <w:uiPriority w:val="0"/>
    <w:rPr>
      <w:rFonts w:ascii="宋体" w:hAnsi="宋体" w:eastAsia="宋体" w:cs="Times New Roman"/>
      <w:kern w:val="0"/>
      <w:sz w:val="24"/>
      <w:szCs w:val="24"/>
    </w:rPr>
  </w:style>
  <w:style w:type="character" w:customStyle="1" w:styleId="83">
    <w:name w:val="标题 字符"/>
    <w:basedOn w:val="46"/>
    <w:link w:val="41"/>
    <w:qFormat/>
    <w:uiPriority w:val="0"/>
    <w:rPr>
      <w:rFonts w:ascii="Cambria" w:hAnsi="Cambria" w:eastAsia="宋体" w:cs="Times New Roman"/>
      <w:b/>
      <w:bCs/>
      <w:sz w:val="32"/>
      <w:szCs w:val="32"/>
    </w:rPr>
  </w:style>
  <w:style w:type="character" w:customStyle="1" w:styleId="84">
    <w:name w:val="批注主题 字符"/>
    <w:basedOn w:val="70"/>
    <w:link w:val="42"/>
    <w:qFormat/>
    <w:uiPriority w:val="99"/>
    <w:rPr>
      <w:rFonts w:ascii="Times New Roman" w:hAnsi="Times New Roman" w:eastAsia="宋体" w:cs="Times New Roman"/>
      <w:b/>
      <w:bCs/>
      <w:szCs w:val="24"/>
    </w:rPr>
  </w:style>
  <w:style w:type="character" w:customStyle="1" w:styleId="85">
    <w:name w:val="正文文本首行缩进 2 字符"/>
    <w:basedOn w:val="73"/>
    <w:link w:val="43"/>
    <w:qFormat/>
    <w:uiPriority w:val="0"/>
    <w:rPr>
      <w:rFonts w:ascii="仿宋_GB2312" w:hAnsi="Times New Roman" w:eastAsia="仿宋_GB2312" w:cs="Times New Roman"/>
      <w:kern w:val="0"/>
      <w:sz w:val="32"/>
      <w:szCs w:val="20"/>
    </w:rPr>
  </w:style>
  <w:style w:type="character" w:customStyle="1" w:styleId="86">
    <w:name w:val="批注主题 Char1"/>
    <w:semiHidden/>
    <w:qFormat/>
    <w:locked/>
    <w:uiPriority w:val="99"/>
    <w:rPr>
      <w:rFonts w:ascii="Times New Roman" w:hAnsi="Times New Roman" w:eastAsia="宋体" w:cs="Times New Roman"/>
      <w:b/>
      <w:bCs/>
      <w:kern w:val="2"/>
      <w:sz w:val="21"/>
      <w:szCs w:val="24"/>
    </w:rPr>
  </w:style>
  <w:style w:type="character" w:customStyle="1" w:styleId="87">
    <w:name w:val="f141"/>
    <w:qFormat/>
    <w:uiPriority w:val="0"/>
    <w:rPr>
      <w:sz w:val="21"/>
      <w:szCs w:val="21"/>
    </w:rPr>
  </w:style>
  <w:style w:type="character" w:customStyle="1" w:styleId="88">
    <w:name w:val="列出段落 Char"/>
    <w:link w:val="89"/>
    <w:qFormat/>
    <w:uiPriority w:val="34"/>
    <w:rPr>
      <w:szCs w:val="24"/>
    </w:rPr>
  </w:style>
  <w:style w:type="paragraph" w:customStyle="1" w:styleId="89">
    <w:name w:val="列出段落2"/>
    <w:basedOn w:val="1"/>
    <w:link w:val="88"/>
    <w:qFormat/>
    <w:uiPriority w:val="34"/>
    <w:pPr>
      <w:ind w:firstLine="420" w:firstLineChars="200"/>
    </w:pPr>
    <w:rPr>
      <w:rFonts w:asciiTheme="minorHAnsi" w:hAnsiTheme="minorHAnsi" w:eastAsiaTheme="minorEastAsia" w:cstheme="minorBidi"/>
    </w:rPr>
  </w:style>
  <w:style w:type="character" w:customStyle="1" w:styleId="90">
    <w:name w:val="日期 Char1"/>
    <w:semiHidden/>
    <w:qFormat/>
    <w:locked/>
    <w:uiPriority w:val="0"/>
    <w:rPr>
      <w:rFonts w:ascii="宋体" w:hAnsi="Courier New" w:eastAsia="宋体" w:cs="Courier New"/>
      <w:szCs w:val="21"/>
    </w:rPr>
  </w:style>
  <w:style w:type="character" w:customStyle="1" w:styleId="91">
    <w:name w:val="正文（雅黑四号） Char Char"/>
    <w:link w:val="92"/>
    <w:qFormat/>
    <w:uiPriority w:val="0"/>
    <w:rPr>
      <w:rFonts w:ascii="微软雅黑" w:hAnsi="微软雅黑" w:eastAsia="微软雅黑"/>
      <w:sz w:val="24"/>
      <w:szCs w:val="28"/>
    </w:rPr>
  </w:style>
  <w:style w:type="paragraph" w:customStyle="1" w:styleId="92">
    <w:name w:val="正文（雅黑四号）"/>
    <w:basedOn w:val="1"/>
    <w:link w:val="91"/>
    <w:qFormat/>
    <w:uiPriority w:val="0"/>
    <w:pPr>
      <w:autoSpaceDE w:val="0"/>
      <w:autoSpaceDN w:val="0"/>
      <w:adjustRightInd w:val="0"/>
      <w:spacing w:line="240" w:lineRule="atLeast"/>
      <w:ind w:firstLine="200" w:firstLineChars="200"/>
      <w:jc w:val="left"/>
    </w:pPr>
    <w:rPr>
      <w:rFonts w:ascii="微软雅黑" w:hAnsi="微软雅黑" w:eastAsia="微软雅黑" w:cstheme="minorBidi"/>
      <w:sz w:val="24"/>
      <w:szCs w:val="28"/>
    </w:rPr>
  </w:style>
  <w:style w:type="character" w:customStyle="1" w:styleId="93">
    <w:name w:val="blacktext"/>
    <w:qFormat/>
    <w:uiPriority w:val="0"/>
    <w:rPr>
      <w:rFonts w:ascii="Calibri" w:hAnsi="Calibri" w:eastAsia="宋体" w:cs="Times New Roman"/>
    </w:rPr>
  </w:style>
  <w:style w:type="character" w:customStyle="1" w:styleId="94">
    <w:name w:val="wj1"/>
    <w:qFormat/>
    <w:uiPriority w:val="0"/>
    <w:rPr>
      <w:color w:val="000000"/>
      <w:sz w:val="18"/>
      <w:szCs w:val="18"/>
      <w:u w:val="none"/>
    </w:rPr>
  </w:style>
  <w:style w:type="character" w:customStyle="1" w:styleId="95">
    <w:name w:val="正文文本缩进 2 Char1"/>
    <w:semiHidden/>
    <w:qFormat/>
    <w:locked/>
    <w:uiPriority w:val="0"/>
    <w:rPr>
      <w:rFonts w:ascii="Times New Roman" w:hAnsi="Times New Roman" w:eastAsia="宋体" w:cs="Times New Roman"/>
      <w:sz w:val="32"/>
    </w:rPr>
  </w:style>
  <w:style w:type="character" w:customStyle="1" w:styleId="96">
    <w:name w:val="内容文本 Char"/>
    <w:link w:val="97"/>
    <w:qFormat/>
    <w:uiPriority w:val="0"/>
    <w:rPr>
      <w:rFonts w:ascii="宋体" w:hAnsi="宋体"/>
      <w:sz w:val="24"/>
      <w:szCs w:val="24"/>
      <w:lang w:eastAsia="en-US" w:bidi="en-US"/>
    </w:rPr>
  </w:style>
  <w:style w:type="paragraph" w:customStyle="1" w:styleId="97">
    <w:name w:val="内容文本"/>
    <w:basedOn w:val="98"/>
    <w:link w:val="96"/>
    <w:qFormat/>
    <w:uiPriority w:val="0"/>
    <w:pPr>
      <w:spacing w:line="360" w:lineRule="auto"/>
      <w:ind w:firstLine="200"/>
      <w:contextualSpacing/>
      <w:jc w:val="left"/>
    </w:pPr>
    <w:rPr>
      <w:rFonts w:ascii="宋体" w:hAnsi="宋体" w:eastAsiaTheme="minorEastAsia" w:cstheme="minorBidi"/>
      <w:sz w:val="24"/>
      <w:lang w:eastAsia="en-US" w:bidi="en-US"/>
    </w:rPr>
  </w:style>
  <w:style w:type="paragraph" w:customStyle="1" w:styleId="98">
    <w:name w:val="列出段落1"/>
    <w:basedOn w:val="1"/>
    <w:qFormat/>
    <w:uiPriority w:val="34"/>
    <w:pPr>
      <w:ind w:firstLine="420" w:firstLineChars="200"/>
    </w:pPr>
  </w:style>
  <w:style w:type="character" w:customStyle="1" w:styleId="99">
    <w:name w:val="style1"/>
    <w:qFormat/>
    <w:uiPriority w:val="0"/>
    <w:rPr>
      <w:rFonts w:ascii="Calibri" w:hAnsi="Calibri" w:eastAsia="宋体" w:cs="Times New Roman"/>
    </w:rPr>
  </w:style>
  <w:style w:type="character" w:customStyle="1" w:styleId="100">
    <w:name w:val="正文文本缩进 3 Char1"/>
    <w:semiHidden/>
    <w:qFormat/>
    <w:locked/>
    <w:uiPriority w:val="0"/>
    <w:rPr>
      <w:rFonts w:ascii="Times New Roman" w:hAnsi="Times New Roman" w:eastAsia="宋体" w:cs="Times New Roman"/>
      <w:sz w:val="16"/>
      <w:szCs w:val="16"/>
    </w:rPr>
  </w:style>
  <w:style w:type="character" w:customStyle="1" w:styleId="101">
    <w:name w:val="页眉 Char1"/>
    <w:qFormat/>
    <w:locked/>
    <w:uiPriority w:val="99"/>
    <w:rPr>
      <w:rFonts w:ascii="Times New Roman" w:hAnsi="Times New Roman" w:eastAsia="宋体" w:cs="Times New Roman"/>
      <w:kern w:val="2"/>
      <w:sz w:val="18"/>
      <w:szCs w:val="18"/>
    </w:rPr>
  </w:style>
  <w:style w:type="character" w:customStyle="1" w:styleId="102">
    <w:name w:val="u3"/>
    <w:qFormat/>
    <w:uiPriority w:val="0"/>
    <w:rPr>
      <w:rFonts w:ascii="Calibri" w:hAnsi="Calibri" w:eastAsia="宋体" w:cs="Times New Roman"/>
    </w:rPr>
  </w:style>
  <w:style w:type="character" w:customStyle="1" w:styleId="103">
    <w:name w:val="标书正文 Char"/>
    <w:link w:val="104"/>
    <w:qFormat/>
    <w:uiPriority w:val="0"/>
    <w:rPr>
      <w:rFonts w:ascii="Tahoma" w:hAnsi="Tahoma"/>
      <w:sz w:val="24"/>
    </w:rPr>
  </w:style>
  <w:style w:type="paragraph" w:customStyle="1" w:styleId="104">
    <w:name w:val="标书正文"/>
    <w:basedOn w:val="1"/>
    <w:link w:val="103"/>
    <w:qFormat/>
    <w:uiPriority w:val="0"/>
    <w:pPr>
      <w:spacing w:line="360" w:lineRule="auto"/>
      <w:ind w:firstLine="200" w:firstLineChars="200"/>
    </w:pPr>
    <w:rPr>
      <w:rFonts w:ascii="Tahoma" w:hAnsi="Tahoma" w:eastAsiaTheme="minorEastAsia" w:cstheme="minorBidi"/>
      <w:sz w:val="24"/>
      <w:szCs w:val="22"/>
    </w:rPr>
  </w:style>
  <w:style w:type="character" w:customStyle="1" w:styleId="105">
    <w:name w:val="列出段落 Char1"/>
    <w:link w:val="106"/>
    <w:qFormat/>
    <w:locked/>
    <w:uiPriority w:val="34"/>
    <w:rPr>
      <w:szCs w:val="24"/>
    </w:rPr>
  </w:style>
  <w:style w:type="paragraph" w:customStyle="1" w:styleId="106">
    <w:name w:val="列出段落11"/>
    <w:basedOn w:val="1"/>
    <w:link w:val="105"/>
    <w:qFormat/>
    <w:uiPriority w:val="34"/>
    <w:pPr>
      <w:ind w:firstLine="420" w:firstLineChars="200"/>
    </w:pPr>
    <w:rPr>
      <w:rFonts w:asciiTheme="minorHAnsi" w:hAnsiTheme="minorHAnsi" w:eastAsiaTheme="minorEastAsia" w:cstheme="minorBidi"/>
    </w:rPr>
  </w:style>
  <w:style w:type="character" w:customStyle="1" w:styleId="107">
    <w:name w:val="纯文本 Char2"/>
    <w:qFormat/>
    <w:uiPriority w:val="0"/>
    <w:rPr>
      <w:rFonts w:ascii="宋体" w:hAnsi="宋体" w:eastAsia="宋体" w:cs="宋体"/>
    </w:rPr>
  </w:style>
  <w:style w:type="character" w:customStyle="1" w:styleId="108">
    <w:name w:val="正文文本 2 Char1"/>
    <w:qFormat/>
    <w:locked/>
    <w:uiPriority w:val="99"/>
    <w:rPr>
      <w:rFonts w:ascii="Times New Roman" w:hAnsi="Times New Roman" w:eastAsia="宋体" w:cs="Times New Roman"/>
      <w:szCs w:val="24"/>
    </w:rPr>
  </w:style>
  <w:style w:type="character" w:customStyle="1" w:styleId="109">
    <w:name w:val="style141"/>
    <w:qFormat/>
    <w:uiPriority w:val="0"/>
    <w:rPr>
      <w:color w:val="76738E"/>
      <w:sz w:val="18"/>
      <w:szCs w:val="18"/>
    </w:rPr>
  </w:style>
  <w:style w:type="character" w:customStyle="1" w:styleId="110">
    <w:name w:val="apple-converted-space"/>
    <w:qFormat/>
    <w:uiPriority w:val="0"/>
    <w:rPr>
      <w:rFonts w:ascii="Calibri" w:hAnsi="Calibri" w:eastAsia="宋体" w:cs="Times New Roman"/>
    </w:rPr>
  </w:style>
  <w:style w:type="character" w:customStyle="1" w:styleId="111">
    <w:name w:val="批注框文本 Char1"/>
    <w:semiHidden/>
    <w:qFormat/>
    <w:locked/>
    <w:uiPriority w:val="99"/>
    <w:rPr>
      <w:rFonts w:ascii="Times New Roman" w:hAnsi="Times New Roman" w:eastAsia="宋体" w:cs="Times New Roman"/>
      <w:sz w:val="18"/>
      <w:szCs w:val="18"/>
    </w:rPr>
  </w:style>
  <w:style w:type="character" w:customStyle="1" w:styleId="112">
    <w:name w:val="普通文字1 Char1"/>
    <w:qFormat/>
    <w:uiPriority w:val="0"/>
    <w:rPr>
      <w:rFonts w:ascii="宋体" w:hAnsi="Courier New"/>
      <w:kern w:val="2"/>
      <w:sz w:val="24"/>
    </w:rPr>
  </w:style>
  <w:style w:type="character" w:customStyle="1" w:styleId="113">
    <w:name w:val="search_content1"/>
    <w:qFormat/>
    <w:uiPriority w:val="0"/>
    <w:rPr>
      <w:sz w:val="20"/>
      <w:szCs w:val="20"/>
    </w:rPr>
  </w:style>
  <w:style w:type="character" w:customStyle="1" w:styleId="114">
    <w:name w:val="正文文本缩进 Char1"/>
    <w:qFormat/>
    <w:locked/>
    <w:uiPriority w:val="0"/>
    <w:rPr>
      <w:rFonts w:ascii="仿宋_GB2312" w:hAnsi="Times New Roman" w:eastAsia="仿宋_GB2312" w:cs="Times New Roman"/>
      <w:sz w:val="32"/>
    </w:rPr>
  </w:style>
  <w:style w:type="character" w:customStyle="1" w:styleId="115">
    <w:name w:val="标题 Char1"/>
    <w:qFormat/>
    <w:locked/>
    <w:uiPriority w:val="10"/>
    <w:rPr>
      <w:rFonts w:ascii="Cambria" w:hAnsi="Cambria" w:eastAsia="宋体" w:cs="Times New Roman"/>
      <w:b/>
      <w:bCs/>
      <w:kern w:val="2"/>
      <w:sz w:val="32"/>
      <w:szCs w:val="32"/>
    </w:rPr>
  </w:style>
  <w:style w:type="character" w:customStyle="1" w:styleId="116">
    <w:name w:val="纯文本 Char1"/>
    <w:qFormat/>
    <w:uiPriority w:val="0"/>
    <w:rPr>
      <w:rFonts w:ascii="宋体" w:hAnsi="Courier New" w:eastAsia="宋体"/>
      <w:kern w:val="2"/>
      <w:sz w:val="21"/>
      <w:lang w:val="en-US" w:eastAsia="zh-CN" w:bidi="ar-SA"/>
    </w:rPr>
  </w:style>
  <w:style w:type="character" w:customStyle="1" w:styleId="117">
    <w:name w:val="尾注文本 Char1"/>
    <w:semiHidden/>
    <w:qFormat/>
    <w:locked/>
    <w:uiPriority w:val="99"/>
    <w:rPr>
      <w:rFonts w:ascii="Times New Roman" w:hAnsi="Times New Roman" w:eastAsia="宋体" w:cs="Times New Roman"/>
      <w:kern w:val="2"/>
      <w:sz w:val="21"/>
      <w:szCs w:val="24"/>
    </w:rPr>
  </w:style>
  <w:style w:type="character" w:customStyle="1" w:styleId="118">
    <w:name w:val="gray s"/>
    <w:qFormat/>
    <w:uiPriority w:val="0"/>
    <w:rPr>
      <w:rFonts w:ascii="Calibri" w:hAnsi="Calibri" w:eastAsia="宋体" w:cs="Times New Roman"/>
    </w:rPr>
  </w:style>
  <w:style w:type="character" w:customStyle="1" w:styleId="119">
    <w:name w:val="正文文本缩进 2 Char Char"/>
    <w:qFormat/>
    <w:uiPriority w:val="0"/>
    <w:rPr>
      <w:rFonts w:ascii="Calibri" w:hAnsi="Calibri" w:eastAsia="宋体" w:cs="Times New Roman"/>
      <w:sz w:val="32"/>
      <w:lang w:bidi="ar-SA"/>
    </w:rPr>
  </w:style>
  <w:style w:type="character" w:customStyle="1" w:styleId="120">
    <w:name w:val="Char Char2"/>
    <w:qFormat/>
    <w:uiPriority w:val="0"/>
    <w:rPr>
      <w:kern w:val="2"/>
      <w:sz w:val="18"/>
      <w:szCs w:val="18"/>
    </w:rPr>
  </w:style>
  <w:style w:type="character" w:customStyle="1" w:styleId="121">
    <w:name w:val="Char Char3"/>
    <w:qFormat/>
    <w:uiPriority w:val="0"/>
    <w:rPr>
      <w:sz w:val="18"/>
      <w:szCs w:val="18"/>
    </w:rPr>
  </w:style>
  <w:style w:type="character" w:customStyle="1" w:styleId="122">
    <w:name w:val="脚注文本 Char1"/>
    <w:semiHidden/>
    <w:qFormat/>
    <w:locked/>
    <w:uiPriority w:val="99"/>
    <w:rPr>
      <w:rFonts w:ascii="Times New Roman" w:hAnsi="Times New Roman" w:eastAsia="宋体" w:cs="Times New Roman"/>
      <w:kern w:val="2"/>
      <w:sz w:val="18"/>
      <w:szCs w:val="18"/>
    </w:rPr>
  </w:style>
  <w:style w:type="character" w:customStyle="1" w:styleId="123">
    <w:name w:val="彩色列表 - 强调文字颜色 1 Char"/>
    <w:qFormat/>
    <w:uiPriority w:val="34"/>
    <w:rPr>
      <w:rFonts w:ascii="Calibri" w:hAnsi="Calibri"/>
      <w:kern w:val="2"/>
      <w:sz w:val="21"/>
      <w:szCs w:val="22"/>
    </w:rPr>
  </w:style>
  <w:style w:type="character" w:customStyle="1" w:styleId="124">
    <w:name w:val="number1 Char"/>
    <w:link w:val="125"/>
    <w:qFormat/>
    <w:uiPriority w:val="0"/>
    <w:rPr>
      <w:sz w:val="24"/>
      <w:szCs w:val="24"/>
    </w:rPr>
  </w:style>
  <w:style w:type="paragraph" w:customStyle="1" w:styleId="125">
    <w:name w:val="number1"/>
    <w:basedOn w:val="1"/>
    <w:link w:val="124"/>
    <w:qFormat/>
    <w:uiPriority w:val="0"/>
    <w:pPr>
      <w:tabs>
        <w:tab w:val="left" w:pos="902"/>
      </w:tabs>
      <w:spacing w:afterLines="32" w:line="360" w:lineRule="auto"/>
      <w:ind w:left="902" w:hanging="420"/>
    </w:pPr>
    <w:rPr>
      <w:rFonts w:asciiTheme="minorHAnsi" w:hAnsiTheme="minorHAnsi" w:eastAsiaTheme="minorEastAsia" w:cstheme="minorBidi"/>
      <w:sz w:val="24"/>
    </w:rPr>
  </w:style>
  <w:style w:type="character" w:customStyle="1" w:styleId="126">
    <w:name w:val="case31"/>
    <w:qFormat/>
    <w:uiPriority w:val="0"/>
    <w:rPr>
      <w:rFonts w:hint="default" w:eastAsia="宋体" w:cs="Times New Roman"/>
      <w:sz w:val="21"/>
      <w:szCs w:val="21"/>
    </w:rPr>
  </w:style>
  <w:style w:type="character" w:customStyle="1" w:styleId="127">
    <w:name w:val="正文文本 3 Char1"/>
    <w:semiHidden/>
    <w:qFormat/>
    <w:locked/>
    <w:uiPriority w:val="0"/>
    <w:rPr>
      <w:rFonts w:ascii="Times New Roman" w:hAnsi="Times New Roman" w:eastAsia="宋体" w:cs="Times New Roman"/>
      <w:b/>
      <w:bCs/>
      <w:sz w:val="24"/>
      <w:szCs w:val="24"/>
    </w:rPr>
  </w:style>
  <w:style w:type="character" w:customStyle="1" w:styleId="128">
    <w:name w:val="正文文本 Char1"/>
    <w:qFormat/>
    <w:locked/>
    <w:uiPriority w:val="0"/>
    <w:rPr>
      <w:rFonts w:ascii="Times New Roman" w:hAnsi="Times New Roman" w:eastAsia="宋体" w:cs="Times New Roman"/>
      <w:sz w:val="24"/>
      <w:szCs w:val="24"/>
    </w:rPr>
  </w:style>
  <w:style w:type="character" w:customStyle="1" w:styleId="129">
    <w:name w:val="unnamed11"/>
    <w:qFormat/>
    <w:uiPriority w:val="0"/>
    <w:rPr>
      <w:sz w:val="20"/>
      <w:szCs w:val="20"/>
    </w:rPr>
  </w:style>
  <w:style w:type="character" w:customStyle="1" w:styleId="130">
    <w:name w:val="font"/>
    <w:qFormat/>
    <w:uiPriority w:val="0"/>
    <w:rPr>
      <w:rFonts w:ascii="Calibri" w:hAnsi="Calibri" w:eastAsia="宋体" w:cs="Times New Roman"/>
    </w:rPr>
  </w:style>
  <w:style w:type="character" w:customStyle="1" w:styleId="131">
    <w:name w:val="apple-style-span"/>
    <w:qFormat/>
    <w:uiPriority w:val="0"/>
    <w:rPr>
      <w:rFonts w:ascii="Calibri" w:hAnsi="Calibri" w:eastAsia="宋体" w:cs="Times New Roman"/>
    </w:rPr>
  </w:style>
  <w:style w:type="character" w:customStyle="1" w:styleId="132">
    <w:name w:val="正文-王 Char Char"/>
    <w:link w:val="133"/>
    <w:qFormat/>
    <w:uiPriority w:val="0"/>
    <w:rPr>
      <w:rFonts w:ascii="宋体" w:hAnsi="宋体"/>
      <w:sz w:val="24"/>
      <w:szCs w:val="24"/>
    </w:rPr>
  </w:style>
  <w:style w:type="paragraph" w:customStyle="1" w:styleId="133">
    <w:name w:val="正文-王"/>
    <w:basedOn w:val="1"/>
    <w:link w:val="132"/>
    <w:qFormat/>
    <w:uiPriority w:val="0"/>
    <w:pPr>
      <w:spacing w:line="360" w:lineRule="auto"/>
      <w:ind w:firstLine="480" w:firstLineChars="200"/>
    </w:pPr>
    <w:rPr>
      <w:rFonts w:ascii="宋体" w:hAnsi="宋体" w:eastAsiaTheme="minorEastAsia" w:cstheme="minorBidi"/>
      <w:sz w:val="24"/>
    </w:rPr>
  </w:style>
  <w:style w:type="character" w:customStyle="1" w:styleId="134">
    <w:name w:val="mark13"/>
    <w:qFormat/>
    <w:uiPriority w:val="0"/>
    <w:rPr>
      <w:rFonts w:ascii="Calibri" w:hAnsi="Calibri" w:eastAsia="宋体" w:cs="Times New Roman"/>
    </w:rPr>
  </w:style>
  <w:style w:type="character" w:customStyle="1" w:styleId="135">
    <w:name w:val="样式43 Char"/>
    <w:link w:val="136"/>
    <w:qFormat/>
    <w:uiPriority w:val="0"/>
    <w:rPr>
      <w:rFonts w:ascii="宋体" w:hAnsi="宋体"/>
    </w:rPr>
  </w:style>
  <w:style w:type="paragraph" w:customStyle="1" w:styleId="136">
    <w:name w:val="样式43"/>
    <w:link w:val="135"/>
    <w:qFormat/>
    <w:uiPriority w:val="0"/>
    <w:pPr>
      <w:spacing w:line="360" w:lineRule="auto"/>
    </w:pPr>
    <w:rPr>
      <w:rFonts w:ascii="宋体" w:hAnsi="宋体" w:eastAsiaTheme="minorEastAsia" w:cstheme="minorBidi"/>
      <w:kern w:val="2"/>
      <w:sz w:val="21"/>
      <w:szCs w:val="22"/>
      <w:lang w:val="en-US" w:eastAsia="zh-CN" w:bidi="ar-SA"/>
    </w:rPr>
  </w:style>
  <w:style w:type="character" w:customStyle="1" w:styleId="137">
    <w:name w:val="批注文字 Char1"/>
    <w:qFormat/>
    <w:locked/>
    <w:uiPriority w:val="0"/>
    <w:rPr>
      <w:rFonts w:ascii="Times New Roman" w:hAnsi="Times New Roman" w:eastAsia="宋体" w:cs="Times New Roman"/>
      <w:kern w:val="2"/>
      <w:sz w:val="21"/>
      <w:szCs w:val="24"/>
    </w:rPr>
  </w:style>
  <w:style w:type="character" w:customStyle="1" w:styleId="138">
    <w:name w:val="页脚 Char1"/>
    <w:qFormat/>
    <w:locked/>
    <w:uiPriority w:val="0"/>
    <w:rPr>
      <w:rFonts w:ascii="Calibri" w:hAnsi="Calibri" w:eastAsia="宋体" w:cs="Times New Roman"/>
      <w:sz w:val="18"/>
      <w:szCs w:val="18"/>
    </w:rPr>
  </w:style>
  <w:style w:type="paragraph" w:customStyle="1" w:styleId="139">
    <w:name w:val="正文2"/>
    <w:basedOn w:val="1"/>
    <w:qFormat/>
    <w:uiPriority w:val="0"/>
    <w:pPr>
      <w:spacing w:before="156" w:line="360" w:lineRule="auto"/>
      <w:ind w:firstLine="510" w:firstLineChars="200"/>
    </w:pPr>
    <w:rPr>
      <w:sz w:val="24"/>
      <w:szCs w:val="20"/>
    </w:rPr>
  </w:style>
  <w:style w:type="paragraph" w:customStyle="1" w:styleId="140">
    <w:name w:val="Char1 Char Char Char Char Char Char Char Char Char"/>
    <w:basedOn w:val="1"/>
    <w:qFormat/>
    <w:uiPriority w:val="0"/>
  </w:style>
  <w:style w:type="paragraph" w:customStyle="1" w:styleId="141">
    <w:name w:val="about_main1"/>
    <w:basedOn w:val="1"/>
    <w:qFormat/>
    <w:uiPriority w:val="0"/>
    <w:pPr>
      <w:widowControl/>
      <w:spacing w:before="30" w:after="100" w:afterAutospacing="1"/>
      <w:jc w:val="left"/>
    </w:pPr>
    <w:rPr>
      <w:rFonts w:ascii="宋体" w:hAnsi="宋体" w:cs="宋体"/>
      <w:kern w:val="0"/>
      <w:sz w:val="24"/>
    </w:rPr>
  </w:style>
  <w:style w:type="paragraph" w:customStyle="1" w:styleId="14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43">
    <w:name w:val="5 Char Char Char Char Char Char Char Char Char Char"/>
    <w:basedOn w:val="1"/>
    <w:qFormat/>
    <w:uiPriority w:val="0"/>
  </w:style>
  <w:style w:type="paragraph" w:customStyle="1" w:styleId="144">
    <w:name w:val="Char Char Char Char Char Char Char Char1"/>
    <w:basedOn w:val="1"/>
    <w:qFormat/>
    <w:uiPriority w:val="0"/>
  </w:style>
  <w:style w:type="paragraph" w:customStyle="1" w:styleId="145">
    <w:name w:val="目录 81"/>
    <w:basedOn w:val="1"/>
    <w:next w:val="1"/>
    <w:qFormat/>
    <w:uiPriority w:val="39"/>
    <w:pPr>
      <w:ind w:left="2940" w:leftChars="1400"/>
    </w:pPr>
    <w:rPr>
      <w:rFonts w:ascii="Calibri" w:hAnsi="Calibri"/>
      <w:szCs w:val="22"/>
    </w:rPr>
  </w:style>
  <w:style w:type="paragraph" w:customStyle="1" w:styleId="146">
    <w:name w:val="目录 31"/>
    <w:basedOn w:val="1"/>
    <w:next w:val="1"/>
    <w:qFormat/>
    <w:uiPriority w:val="39"/>
    <w:pPr>
      <w:ind w:left="840" w:leftChars="400"/>
    </w:pPr>
    <w:rPr>
      <w:rFonts w:ascii="Calibri" w:hAnsi="Calibri"/>
      <w:szCs w:val="22"/>
    </w:rPr>
  </w:style>
  <w:style w:type="paragraph" w:customStyle="1" w:styleId="147">
    <w:name w:val="目录 51"/>
    <w:basedOn w:val="1"/>
    <w:next w:val="1"/>
    <w:qFormat/>
    <w:uiPriority w:val="39"/>
    <w:pPr>
      <w:ind w:left="1680" w:leftChars="800"/>
    </w:pPr>
    <w:rPr>
      <w:rFonts w:ascii="Calibri" w:hAnsi="Calibri"/>
      <w:szCs w:val="22"/>
    </w:rPr>
  </w:style>
  <w:style w:type="paragraph" w:customStyle="1" w:styleId="148">
    <w:name w:val="列表段落1"/>
    <w:basedOn w:val="1"/>
    <w:qFormat/>
    <w:uiPriority w:val="0"/>
    <w:pPr>
      <w:ind w:firstLine="420" w:firstLineChars="200"/>
    </w:pPr>
    <w:rPr>
      <w:rFonts w:ascii="Calibri" w:hAnsi="Calibri"/>
      <w:szCs w:val="20"/>
    </w:rPr>
  </w:style>
  <w:style w:type="paragraph" w:customStyle="1" w:styleId="149">
    <w:name w:val="图或表格"/>
    <w:basedOn w:val="1"/>
    <w:qFormat/>
    <w:uiPriority w:val="0"/>
    <w:pPr>
      <w:tabs>
        <w:tab w:val="left" w:pos="2952"/>
      </w:tabs>
      <w:spacing w:beforeLines="50" w:line="360" w:lineRule="auto"/>
      <w:ind w:left="2952" w:firstLine="288"/>
      <w:jc w:val="center"/>
    </w:pPr>
    <w:rPr>
      <w:rFonts w:eastAsia="黑体"/>
    </w:rPr>
  </w:style>
  <w:style w:type="paragraph" w:customStyle="1" w:styleId="150">
    <w:name w:val="font17"/>
    <w:basedOn w:val="1"/>
    <w:qFormat/>
    <w:uiPriority w:val="0"/>
    <w:pPr>
      <w:widowControl/>
      <w:spacing w:before="100" w:beforeAutospacing="1" w:after="100" w:afterAutospacing="1"/>
      <w:jc w:val="left"/>
    </w:pPr>
    <w:rPr>
      <w:rFonts w:ascii="Arial" w:hAnsi="Arial" w:cs="Arial"/>
      <w:color w:val="FF0000"/>
      <w:kern w:val="0"/>
      <w:sz w:val="20"/>
      <w:szCs w:val="20"/>
    </w:rPr>
  </w:style>
  <w:style w:type="paragraph" w:customStyle="1" w:styleId="151">
    <w:name w:val="目录 71"/>
    <w:basedOn w:val="1"/>
    <w:next w:val="1"/>
    <w:qFormat/>
    <w:uiPriority w:val="39"/>
    <w:pPr>
      <w:ind w:left="2520" w:leftChars="1200"/>
    </w:pPr>
    <w:rPr>
      <w:rFonts w:ascii="Calibri" w:hAnsi="Calibri"/>
      <w:szCs w:val="22"/>
    </w:rPr>
  </w:style>
  <w:style w:type="paragraph" w:customStyle="1" w:styleId="152">
    <w:name w:val="目录 41"/>
    <w:basedOn w:val="1"/>
    <w:next w:val="1"/>
    <w:qFormat/>
    <w:uiPriority w:val="39"/>
    <w:pPr>
      <w:ind w:left="1260" w:leftChars="600"/>
    </w:pPr>
    <w:rPr>
      <w:rFonts w:ascii="Calibri" w:hAnsi="Calibri"/>
      <w:szCs w:val="22"/>
    </w:rPr>
  </w:style>
  <w:style w:type="paragraph" w:customStyle="1" w:styleId="153">
    <w:name w:val="目录 11"/>
    <w:basedOn w:val="1"/>
    <w:next w:val="1"/>
    <w:qFormat/>
    <w:uiPriority w:val="39"/>
    <w:pPr>
      <w:tabs>
        <w:tab w:val="right" w:leader="dot" w:pos="8398"/>
      </w:tabs>
      <w:spacing w:before="120" w:after="120"/>
      <w:ind w:firstLine="240" w:firstLineChars="100"/>
      <w:jc w:val="left"/>
    </w:pPr>
    <w:rPr>
      <w:rFonts w:ascii="宋体" w:hAnsi="宋体"/>
      <w:b/>
      <w:bCs/>
      <w:caps/>
      <w:sz w:val="24"/>
    </w:rPr>
  </w:style>
  <w:style w:type="paragraph" w:customStyle="1" w:styleId="154">
    <w:name w:val="p0"/>
    <w:basedOn w:val="1"/>
    <w:qFormat/>
    <w:uiPriority w:val="0"/>
    <w:pPr>
      <w:widowControl/>
    </w:pPr>
    <w:rPr>
      <w:rFonts w:ascii="Calibri" w:hAnsi="Calibri" w:cs="宋体"/>
      <w:kern w:val="0"/>
      <w:szCs w:val="21"/>
    </w:rPr>
  </w:style>
  <w:style w:type="paragraph" w:customStyle="1" w:styleId="155">
    <w:name w:val="目录 21"/>
    <w:basedOn w:val="1"/>
    <w:next w:val="1"/>
    <w:qFormat/>
    <w:uiPriority w:val="39"/>
    <w:pPr>
      <w:ind w:left="420" w:leftChars="200"/>
    </w:pPr>
    <w:rPr>
      <w:rFonts w:ascii="Calibri" w:hAnsi="Calibri"/>
    </w:rPr>
  </w:style>
  <w:style w:type="paragraph" w:customStyle="1" w:styleId="156">
    <w:name w:val="目录 61"/>
    <w:basedOn w:val="1"/>
    <w:next w:val="1"/>
    <w:qFormat/>
    <w:uiPriority w:val="39"/>
    <w:pPr>
      <w:ind w:left="2100" w:leftChars="1000"/>
    </w:pPr>
    <w:rPr>
      <w:rFonts w:ascii="Calibri" w:hAnsi="Calibri"/>
      <w:szCs w:val="22"/>
    </w:rPr>
  </w:style>
  <w:style w:type="paragraph" w:customStyle="1" w:styleId="157">
    <w:name w:val="Char Char Char"/>
    <w:basedOn w:val="1"/>
    <w:qFormat/>
    <w:uiPriority w:val="0"/>
    <w:rPr>
      <w:rFonts w:ascii="Tahoma" w:hAnsi="Tahoma"/>
      <w:sz w:val="24"/>
      <w:szCs w:val="20"/>
    </w:rPr>
  </w:style>
  <w:style w:type="paragraph" w:customStyle="1" w:styleId="158">
    <w:name w:val="目录 91"/>
    <w:basedOn w:val="1"/>
    <w:next w:val="1"/>
    <w:qFormat/>
    <w:uiPriority w:val="39"/>
    <w:pPr>
      <w:ind w:left="3360" w:leftChars="1600"/>
    </w:pPr>
    <w:rPr>
      <w:rFonts w:ascii="Calibri" w:hAnsi="Calibri"/>
      <w:szCs w:val="22"/>
    </w:rPr>
  </w:style>
  <w:style w:type="paragraph" w:customStyle="1" w:styleId="15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60">
    <w:name w:val="Char Char Char Char Char Char Char Char11"/>
    <w:basedOn w:val="1"/>
    <w:qFormat/>
    <w:uiPriority w:val="0"/>
  </w:style>
  <w:style w:type="paragraph" w:customStyle="1" w:styleId="16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162">
    <w:name w:val="font7"/>
    <w:basedOn w:val="1"/>
    <w:qFormat/>
    <w:uiPriority w:val="0"/>
    <w:pPr>
      <w:widowControl/>
      <w:spacing w:before="100" w:beforeAutospacing="1" w:after="100" w:afterAutospacing="1"/>
      <w:jc w:val="left"/>
    </w:pPr>
    <w:rPr>
      <w:rFonts w:hint="eastAsia" w:ascii="宋体" w:hAnsi="宋体" w:cs="Wonder Arial"/>
      <w:color w:val="000000"/>
      <w:kern w:val="0"/>
      <w:sz w:val="18"/>
      <w:szCs w:val="18"/>
    </w:rPr>
  </w:style>
  <w:style w:type="paragraph" w:customStyle="1" w:styleId="16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color w:val="000000"/>
      <w:kern w:val="0"/>
      <w:szCs w:val="21"/>
    </w:rPr>
  </w:style>
  <w:style w:type="paragraph" w:customStyle="1" w:styleId="164">
    <w:name w:val="列出段落3"/>
    <w:basedOn w:val="1"/>
    <w:qFormat/>
    <w:uiPriority w:val="0"/>
    <w:pPr>
      <w:spacing w:after="120" w:line="276" w:lineRule="auto"/>
      <w:ind w:firstLine="420" w:firstLineChars="200"/>
    </w:pPr>
    <w:rPr>
      <w:rFonts w:ascii="Cambria" w:hAnsi="Cambria"/>
      <w:szCs w:val="22"/>
    </w:rPr>
  </w:style>
  <w:style w:type="paragraph" w:customStyle="1" w:styleId="165">
    <w:name w:val="正文 小四 首缩"/>
    <w:qFormat/>
    <w:uiPriority w:val="0"/>
    <w:pPr>
      <w:snapToGrid w:val="0"/>
      <w:spacing w:line="360" w:lineRule="auto"/>
      <w:ind w:firstLine="482"/>
    </w:pPr>
    <w:rPr>
      <w:rFonts w:ascii="Times New Roman" w:hAnsi="Times New Roman" w:eastAsia="宋体" w:cs="Times New Roman"/>
      <w:kern w:val="2"/>
      <w:sz w:val="24"/>
      <w:lang w:val="en-US" w:eastAsia="zh-CN" w:bidi="ar-SA"/>
    </w:rPr>
  </w:style>
  <w:style w:type="paragraph" w:customStyle="1" w:styleId="166">
    <w:name w:val="_Style 5"/>
    <w:basedOn w:val="1"/>
    <w:qFormat/>
    <w:uiPriority w:val="0"/>
    <w:pPr>
      <w:widowControl/>
      <w:spacing w:after="160" w:line="240" w:lineRule="exact"/>
      <w:jc w:val="left"/>
    </w:pPr>
  </w:style>
  <w:style w:type="paragraph" w:customStyle="1" w:styleId="16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Wonder Arial" w:hAnsi="Wonder Arial" w:eastAsia="Wonder Arial" w:cs="Wonder Arial"/>
      <w:kern w:val="0"/>
      <w:sz w:val="20"/>
      <w:szCs w:val="20"/>
    </w:rPr>
  </w:style>
  <w:style w:type="paragraph" w:customStyle="1" w:styleId="168">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Cs w:val="21"/>
    </w:rPr>
  </w:style>
  <w:style w:type="paragraph" w:customStyle="1" w:styleId="169">
    <w:name w:val="1"/>
    <w:basedOn w:val="1"/>
    <w:next w:val="22"/>
    <w:qFormat/>
    <w:uiPriority w:val="0"/>
    <w:rPr>
      <w:rFonts w:ascii="宋体" w:hAnsi="Courier New"/>
      <w:szCs w:val="20"/>
    </w:rPr>
  </w:style>
  <w:style w:type="paragraph" w:customStyle="1" w:styleId="170">
    <w:name w:val="着重行"/>
    <w:basedOn w:val="1"/>
    <w:qFormat/>
    <w:uiPriority w:val="0"/>
    <w:pPr>
      <w:spacing w:beforeLines="50" w:afterLines="50" w:line="360" w:lineRule="auto"/>
    </w:pPr>
    <w:rPr>
      <w:b/>
      <w:sz w:val="24"/>
      <w:szCs w:val="21"/>
    </w:rPr>
  </w:style>
  <w:style w:type="paragraph" w:customStyle="1" w:styleId="171">
    <w:name w:val="font8"/>
    <w:basedOn w:val="1"/>
    <w:qFormat/>
    <w:uiPriority w:val="0"/>
    <w:pPr>
      <w:widowControl/>
      <w:spacing w:before="100" w:beforeAutospacing="1" w:after="100" w:afterAutospacing="1"/>
      <w:jc w:val="left"/>
    </w:pPr>
    <w:rPr>
      <w:rFonts w:hint="eastAsia" w:ascii="仿宋_GB2312" w:hAnsi="Wonder Arial" w:eastAsia="仿宋_GB2312"/>
      <w:kern w:val="0"/>
      <w:sz w:val="20"/>
      <w:szCs w:val="20"/>
    </w:rPr>
  </w:style>
  <w:style w:type="paragraph" w:customStyle="1" w:styleId="17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Calibri" w:hAnsi="Calibri" w:cs="Calibri"/>
      <w:color w:val="000000"/>
      <w:kern w:val="0"/>
      <w:sz w:val="20"/>
      <w:szCs w:val="20"/>
    </w:rPr>
  </w:style>
  <w:style w:type="paragraph" w:customStyle="1" w:styleId="173">
    <w:name w:val="Char Char Char Char Char Char Char Char Char Char Char Char Char Char Char Char"/>
    <w:basedOn w:val="1"/>
    <w:qFormat/>
    <w:uiPriority w:val="0"/>
    <w:pPr>
      <w:widowControl/>
      <w:spacing w:after="160" w:line="240" w:lineRule="exact"/>
      <w:jc w:val="left"/>
    </w:pPr>
    <w:rPr>
      <w:szCs w:val="20"/>
    </w:rPr>
  </w:style>
  <w:style w:type="paragraph" w:customStyle="1" w:styleId="17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b/>
      <w:bCs/>
      <w:kern w:val="0"/>
      <w:szCs w:val="21"/>
    </w:rPr>
  </w:style>
  <w:style w:type="paragraph" w:customStyle="1" w:styleId="175">
    <w:name w:val="font19"/>
    <w:basedOn w:val="1"/>
    <w:qFormat/>
    <w:uiPriority w:val="0"/>
    <w:pPr>
      <w:widowControl/>
      <w:spacing w:before="100" w:beforeAutospacing="1" w:after="100" w:afterAutospacing="1"/>
      <w:jc w:val="left"/>
    </w:pPr>
    <w:rPr>
      <w:rFonts w:ascii="GreekC" w:hAnsi="GreekC"/>
      <w:color w:val="000000"/>
      <w:kern w:val="0"/>
      <w:sz w:val="20"/>
      <w:szCs w:val="20"/>
      <w:u w:val="single"/>
    </w:rPr>
  </w:style>
  <w:style w:type="paragraph" w:customStyle="1" w:styleId="17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Cs w:val="21"/>
    </w:rPr>
  </w:style>
  <w:style w:type="paragraph" w:customStyle="1" w:styleId="177">
    <w:name w:val="表格"/>
    <w:basedOn w:val="1"/>
    <w:qFormat/>
    <w:uiPriority w:val="0"/>
    <w:pPr>
      <w:spacing w:line="400" w:lineRule="exact"/>
    </w:pPr>
    <w:rPr>
      <w:rFonts w:ascii="Calibri" w:hAnsi="Calibri"/>
      <w:sz w:val="24"/>
    </w:rPr>
  </w:style>
  <w:style w:type="paragraph" w:customStyle="1" w:styleId="178">
    <w:name w:val="xl22"/>
    <w:basedOn w:val="1"/>
    <w:qFormat/>
    <w:uiPriority w:val="0"/>
    <w:pPr>
      <w:widowControl/>
      <w:spacing w:before="100" w:beforeAutospacing="1" w:after="100" w:afterAutospacing="1"/>
      <w:jc w:val="left"/>
    </w:pPr>
    <w:rPr>
      <w:rFonts w:ascii="Wonder Arial" w:hAnsi="Wonder Arial" w:eastAsia="Wonder Arial" w:cs="Wonder Arial"/>
      <w:kern w:val="0"/>
      <w:sz w:val="20"/>
      <w:szCs w:val="20"/>
    </w:rPr>
  </w:style>
  <w:style w:type="paragraph" w:customStyle="1" w:styleId="179">
    <w:name w:val="font9"/>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180">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18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rPr>
  </w:style>
  <w:style w:type="paragraph" w:customStyle="1" w:styleId="182">
    <w:name w:val="Char Char Char Char Char Char Char"/>
    <w:basedOn w:val="1"/>
    <w:qFormat/>
    <w:uiPriority w:val="0"/>
    <w:rPr>
      <w:rFonts w:ascii="Calibri" w:hAnsi="Calibri"/>
      <w:szCs w:val="20"/>
    </w:rPr>
  </w:style>
  <w:style w:type="paragraph" w:customStyle="1" w:styleId="183">
    <w:name w:val="中等深浅网格 1 - 强调文字颜色 21"/>
    <w:basedOn w:val="1"/>
    <w:qFormat/>
    <w:uiPriority w:val="0"/>
    <w:pPr>
      <w:ind w:firstLine="420" w:firstLineChars="200"/>
    </w:pPr>
    <w:rPr>
      <w:rFonts w:ascii="Calibri" w:hAnsi="Calibri"/>
    </w:rPr>
  </w:style>
  <w:style w:type="paragraph" w:customStyle="1" w:styleId="18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szCs w:val="20"/>
    </w:rPr>
  </w:style>
  <w:style w:type="paragraph" w:customStyle="1" w:styleId="185">
    <w:name w:val="font12"/>
    <w:basedOn w:val="1"/>
    <w:qFormat/>
    <w:uiPriority w:val="0"/>
    <w:pPr>
      <w:widowControl/>
      <w:spacing w:before="100" w:beforeAutospacing="1" w:after="100" w:afterAutospacing="1"/>
      <w:jc w:val="left"/>
    </w:pPr>
    <w:rPr>
      <w:rFonts w:hint="eastAsia" w:ascii="宋体" w:hAnsi="宋体"/>
      <w:color w:val="333333"/>
      <w:kern w:val="0"/>
      <w:sz w:val="20"/>
      <w:szCs w:val="20"/>
    </w:rPr>
  </w:style>
  <w:style w:type="paragraph" w:customStyle="1" w:styleId="186">
    <w:name w:val="font16"/>
    <w:basedOn w:val="1"/>
    <w:qFormat/>
    <w:uiPriority w:val="0"/>
    <w:pPr>
      <w:widowControl/>
      <w:spacing w:before="100" w:beforeAutospacing="1" w:after="100" w:afterAutospacing="1"/>
      <w:jc w:val="left"/>
    </w:pPr>
    <w:rPr>
      <w:color w:val="FF0000"/>
      <w:kern w:val="0"/>
      <w:sz w:val="20"/>
      <w:szCs w:val="20"/>
    </w:rPr>
  </w:style>
  <w:style w:type="paragraph" w:customStyle="1" w:styleId="187">
    <w:name w:val="列出段落4"/>
    <w:basedOn w:val="1"/>
    <w:unhideWhenUsed/>
    <w:qFormat/>
    <w:uiPriority w:val="34"/>
    <w:pPr>
      <w:ind w:firstLine="420" w:firstLineChars="200"/>
    </w:pPr>
    <w:rPr>
      <w:rFonts w:ascii="Calibri" w:hAnsi="Calibri"/>
      <w:szCs w:val="22"/>
    </w:rPr>
  </w:style>
  <w:style w:type="paragraph" w:customStyle="1" w:styleId="18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Cs w:val="21"/>
    </w:rPr>
  </w:style>
  <w:style w:type="paragraph" w:customStyle="1" w:styleId="189">
    <w:name w:val="样式 标题 2 + Times New Roman 四号 非加粗 段前: 5 磅 段后: 0 磅 行距: 固定值 20..."/>
    <w:basedOn w:val="3"/>
    <w:qFormat/>
    <w:uiPriority w:val="0"/>
    <w:pPr>
      <w:spacing w:before="100" w:line="400" w:lineRule="exact"/>
    </w:pPr>
    <w:rPr>
      <w:rFonts w:eastAsia="宋体" w:cs="宋体"/>
      <w:sz w:val="28"/>
      <w:szCs w:val="20"/>
    </w:rPr>
  </w:style>
  <w:style w:type="paragraph" w:customStyle="1" w:styleId="190">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1">
    <w:name w:val="样式 标题 3 + (中文) 黑体 小四 非加粗 段前: 7.8 磅 段后: 0 磅 行距: 固定值 20 磅"/>
    <w:basedOn w:val="4"/>
    <w:qFormat/>
    <w:uiPriority w:val="0"/>
    <w:pPr>
      <w:spacing w:before="0" w:line="400" w:lineRule="exact"/>
    </w:pPr>
    <w:rPr>
      <w:rFonts w:ascii="Calibri" w:hAnsi="Calibri" w:cs="宋体"/>
      <w:sz w:val="24"/>
      <w:szCs w:val="20"/>
    </w:rPr>
  </w:style>
  <w:style w:type="paragraph" w:customStyle="1" w:styleId="192">
    <w:name w:val="font14"/>
    <w:basedOn w:val="1"/>
    <w:qFormat/>
    <w:uiPriority w:val="0"/>
    <w:pPr>
      <w:widowControl/>
      <w:spacing w:before="100" w:beforeAutospacing="1" w:after="100" w:afterAutospacing="1"/>
      <w:jc w:val="left"/>
    </w:pPr>
    <w:rPr>
      <w:rFonts w:hint="eastAsia" w:ascii="宋体" w:hAnsi="宋体"/>
      <w:b/>
      <w:bCs/>
      <w:color w:val="000000"/>
      <w:kern w:val="0"/>
      <w:sz w:val="20"/>
      <w:szCs w:val="20"/>
    </w:rPr>
  </w:style>
  <w:style w:type="paragraph" w:customStyle="1" w:styleId="193">
    <w:name w:val="正文1"/>
    <w:link w:val="194"/>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94">
    <w:name w:val="Normal Char"/>
    <w:link w:val="193"/>
    <w:qFormat/>
    <w:uiPriority w:val="0"/>
    <w:rPr>
      <w:rFonts w:ascii="宋体" w:hAnsi="Times New Roman" w:eastAsia="宋体" w:cs="Times New Roman"/>
      <w:kern w:val="0"/>
      <w:sz w:val="24"/>
      <w:szCs w:val="20"/>
    </w:rPr>
  </w:style>
  <w:style w:type="paragraph" w:customStyle="1" w:styleId="195">
    <w:name w:val="Char"/>
    <w:basedOn w:val="1"/>
    <w:qFormat/>
    <w:uiPriority w:val="0"/>
    <w:pPr>
      <w:widowControl/>
      <w:adjustRightInd w:val="0"/>
      <w:snapToGrid w:val="0"/>
      <w:spacing w:after="160" w:line="240" w:lineRule="exact"/>
      <w:jc w:val="left"/>
    </w:pPr>
    <w:rPr>
      <w:szCs w:val="20"/>
    </w:rPr>
  </w:style>
  <w:style w:type="paragraph" w:customStyle="1" w:styleId="196">
    <w:name w:val="Char1 Char Char Char Char Char Char Char Char Char1"/>
    <w:basedOn w:val="1"/>
    <w:qFormat/>
    <w:uiPriority w:val="0"/>
  </w:style>
  <w:style w:type="paragraph" w:customStyle="1" w:styleId="197">
    <w:name w:val="Char2"/>
    <w:basedOn w:val="14"/>
    <w:qFormat/>
    <w:uiPriority w:val="0"/>
    <w:rPr>
      <w:rFonts w:ascii="Tahoma" w:hAnsi="Tahoma" w:cs="Tahoma"/>
      <w:kern w:val="0"/>
      <w:sz w:val="18"/>
    </w:rPr>
  </w:style>
  <w:style w:type="paragraph" w:customStyle="1" w:styleId="198">
    <w:name w:val="正文首行缩进两字符"/>
    <w:basedOn w:val="1"/>
    <w:qFormat/>
    <w:uiPriority w:val="0"/>
    <w:pPr>
      <w:spacing w:line="360" w:lineRule="auto"/>
      <w:ind w:firstLine="200" w:firstLineChars="200"/>
    </w:pPr>
    <w:rPr>
      <w:rFonts w:ascii="Calibri" w:hAnsi="Calibri"/>
    </w:rPr>
  </w:style>
  <w:style w:type="paragraph" w:customStyle="1" w:styleId="199">
    <w:name w:val="彩色列表 - 强调文字颜色 11"/>
    <w:basedOn w:val="1"/>
    <w:qFormat/>
    <w:uiPriority w:val="0"/>
    <w:pPr>
      <w:spacing w:line="240" w:lineRule="atLeast"/>
      <w:ind w:firstLine="420" w:firstLineChars="200"/>
      <w:jc w:val="left"/>
    </w:pPr>
    <w:rPr>
      <w:rFonts w:ascii="宋体" w:hAnsi="Calibri"/>
      <w:snapToGrid w:val="0"/>
      <w:kern w:val="0"/>
      <w:sz w:val="24"/>
      <w:szCs w:val="20"/>
    </w:rPr>
  </w:style>
  <w:style w:type="paragraph" w:customStyle="1" w:styleId="200">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0"/>
      <w:szCs w:val="20"/>
    </w:rPr>
  </w:style>
  <w:style w:type="paragraph" w:customStyle="1" w:styleId="20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Wonder Arial" w:hAnsi="Wonder Arial" w:eastAsia="Wonder Arial" w:cs="Wonder Arial"/>
      <w:kern w:val="0"/>
      <w:sz w:val="20"/>
      <w:szCs w:val="20"/>
    </w:rPr>
  </w:style>
  <w:style w:type="paragraph" w:customStyle="1" w:styleId="202">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203">
    <w:name w:val="font18"/>
    <w:basedOn w:val="1"/>
    <w:qFormat/>
    <w:uiPriority w:val="0"/>
    <w:pPr>
      <w:widowControl/>
      <w:spacing w:before="100" w:beforeAutospacing="1" w:after="100" w:afterAutospacing="1"/>
      <w:jc w:val="left"/>
    </w:pPr>
    <w:rPr>
      <w:rFonts w:hint="eastAsia" w:ascii="仿宋_GB2312" w:hAnsi="Wonder Arial" w:eastAsia="仿宋_GB2312"/>
      <w:color w:val="FF0000"/>
      <w:kern w:val="0"/>
      <w:sz w:val="20"/>
      <w:szCs w:val="20"/>
    </w:rPr>
  </w:style>
  <w:style w:type="paragraph" w:customStyle="1" w:styleId="204">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szCs w:val="20"/>
    </w:rPr>
  </w:style>
  <w:style w:type="paragraph" w:customStyle="1" w:styleId="205">
    <w:name w:val="xl32"/>
    <w:basedOn w:val="1"/>
    <w:qFormat/>
    <w:uiPriority w:val="0"/>
    <w:pPr>
      <w:widowControl/>
      <w:shd w:val="clear" w:color="auto" w:fill="FFFFFF"/>
      <w:spacing w:before="100" w:beforeAutospacing="1" w:after="100" w:afterAutospacing="1"/>
      <w:jc w:val="center"/>
    </w:pPr>
    <w:rPr>
      <w:rFonts w:ascii="Wonder Arial" w:hAnsi="Wonder Arial"/>
      <w:kern w:val="0"/>
      <w:sz w:val="20"/>
      <w:szCs w:val="20"/>
    </w:rPr>
  </w:style>
  <w:style w:type="paragraph" w:customStyle="1" w:styleId="206">
    <w:name w:val="xl31"/>
    <w:basedOn w:val="1"/>
    <w:qFormat/>
    <w:uiPriority w:val="0"/>
    <w:pPr>
      <w:widowControl/>
      <w:shd w:val="clear" w:color="auto" w:fill="FFFFFF"/>
      <w:spacing w:before="100" w:beforeAutospacing="1" w:after="100" w:afterAutospacing="1"/>
      <w:jc w:val="left"/>
    </w:pPr>
    <w:rPr>
      <w:rFonts w:ascii="Wonder Arial" w:hAnsi="Wonder Arial"/>
      <w:kern w:val="0"/>
      <w:sz w:val="20"/>
      <w:szCs w:val="20"/>
    </w:rPr>
  </w:style>
  <w:style w:type="paragraph" w:customStyle="1" w:styleId="20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color w:val="000000"/>
      <w:kern w:val="0"/>
      <w:sz w:val="20"/>
      <w:szCs w:val="20"/>
    </w:rPr>
  </w:style>
  <w:style w:type="paragraph" w:customStyle="1" w:styleId="20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Cs w:val="21"/>
    </w:rPr>
  </w:style>
  <w:style w:type="paragraph" w:customStyle="1" w:styleId="209">
    <w:name w:val="正常"/>
    <w:qFormat/>
    <w:uiPriority w:val="0"/>
    <w:pPr>
      <w:widowControl w:val="0"/>
      <w:jc w:val="both"/>
    </w:pPr>
    <w:rPr>
      <w:rFonts w:ascii="Cambria" w:hAnsi="Cambria" w:eastAsia="宋体" w:cs="Times New Roman"/>
      <w:kern w:val="2"/>
      <w:sz w:val="24"/>
      <w:szCs w:val="24"/>
      <w:lang w:val="en-US" w:eastAsia="zh-CN" w:bidi="ar-SA"/>
    </w:rPr>
  </w:style>
  <w:style w:type="paragraph" w:customStyle="1" w:styleId="210">
    <w:name w:val="Default"/>
    <w:link w:val="21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211">
    <w:name w:val="Default 字符"/>
    <w:link w:val="210"/>
    <w:qFormat/>
    <w:uiPriority w:val="0"/>
    <w:rPr>
      <w:rFonts w:ascii="Times New Roman" w:hAnsi="Times New Roman" w:eastAsia="宋体" w:cs="Times New Roman"/>
      <w:color w:val="000000"/>
      <w:kern w:val="0"/>
      <w:sz w:val="24"/>
      <w:szCs w:val="24"/>
    </w:rPr>
  </w:style>
  <w:style w:type="paragraph" w:customStyle="1" w:styleId="212">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213">
    <w:name w:val="Char Char Char Char"/>
    <w:basedOn w:val="1"/>
    <w:qFormat/>
    <w:uiPriority w:val="0"/>
    <w:pPr>
      <w:spacing w:line="360" w:lineRule="auto"/>
      <w:ind w:left="200" w:leftChars="200" w:firstLine="200" w:firstLineChars="200"/>
    </w:pPr>
    <w:rPr>
      <w:kern w:val="0"/>
      <w:szCs w:val="21"/>
    </w:rPr>
  </w:style>
  <w:style w:type="paragraph" w:customStyle="1" w:styleId="214">
    <w:name w:val="Char Char Char Char Char Char1 Char"/>
    <w:basedOn w:val="14"/>
    <w:qFormat/>
    <w:uiPriority w:val="0"/>
    <w:rPr>
      <w:rFonts w:ascii="Tahoma" w:hAnsi="Tahoma"/>
      <w:sz w:val="24"/>
      <w:shd w:val="clear" w:color="auto" w:fill="000080"/>
    </w:rPr>
  </w:style>
  <w:style w:type="paragraph" w:customStyle="1" w:styleId="215">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pPr>
    <w:rPr>
      <w:rFonts w:ascii="Wonder Arial" w:hAnsi="Wonder Arial"/>
      <w:kern w:val="0"/>
      <w:sz w:val="20"/>
      <w:szCs w:val="20"/>
    </w:rPr>
  </w:style>
  <w:style w:type="paragraph" w:customStyle="1" w:styleId="216">
    <w:name w:val="font5"/>
    <w:basedOn w:val="1"/>
    <w:qFormat/>
    <w:uiPriority w:val="0"/>
    <w:pPr>
      <w:widowControl/>
      <w:spacing w:before="100" w:beforeAutospacing="1" w:after="100" w:afterAutospacing="1"/>
      <w:jc w:val="left"/>
    </w:pPr>
    <w:rPr>
      <w:rFonts w:hint="eastAsia" w:ascii="宋体" w:hAnsi="宋体" w:cs="Wonder Arial"/>
      <w:kern w:val="0"/>
      <w:sz w:val="18"/>
      <w:szCs w:val="18"/>
    </w:rPr>
  </w:style>
  <w:style w:type="paragraph" w:customStyle="1" w:styleId="217">
    <w:name w:val="Char Char1 Char Char Char Char"/>
    <w:basedOn w:val="14"/>
    <w:qFormat/>
    <w:uiPriority w:val="0"/>
  </w:style>
  <w:style w:type="paragraph" w:customStyle="1" w:styleId="218">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customStyle="1" w:styleId="219">
    <w:name w:val="默认段落字体 Para Char Char Char Char Char Char Char Char Char1 Char Char Char Char"/>
    <w:basedOn w:val="1"/>
    <w:qFormat/>
    <w:uiPriority w:val="0"/>
    <w:rPr>
      <w:rFonts w:ascii="Tahoma" w:hAnsi="Tahoma"/>
      <w:sz w:val="24"/>
      <w:szCs w:val="20"/>
    </w:rPr>
  </w:style>
  <w:style w:type="paragraph" w:customStyle="1" w:styleId="22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kern w:val="0"/>
      <w:szCs w:val="21"/>
    </w:rPr>
  </w:style>
  <w:style w:type="paragraph" w:customStyle="1" w:styleId="221">
    <w:name w:val="font11"/>
    <w:basedOn w:val="1"/>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222">
    <w:name w:val="font13"/>
    <w:basedOn w:val="1"/>
    <w:qFormat/>
    <w:uiPriority w:val="0"/>
    <w:pPr>
      <w:widowControl/>
      <w:spacing w:before="100" w:beforeAutospacing="1" w:after="100" w:afterAutospacing="1"/>
      <w:jc w:val="left"/>
    </w:pPr>
    <w:rPr>
      <w:rFonts w:hint="eastAsia" w:ascii="宋体" w:hAnsi="宋体"/>
      <w:color w:val="FF0000"/>
      <w:kern w:val="0"/>
      <w:sz w:val="20"/>
      <w:szCs w:val="20"/>
    </w:rPr>
  </w:style>
  <w:style w:type="paragraph" w:customStyle="1" w:styleId="223">
    <w:name w:val="Char1"/>
    <w:basedOn w:val="1"/>
    <w:qFormat/>
    <w:uiPriority w:val="0"/>
    <w:rPr>
      <w:rFonts w:ascii="Calibri" w:hAnsi="Calibri"/>
      <w:szCs w:val="21"/>
    </w:rPr>
  </w:style>
  <w:style w:type="paragraph" w:customStyle="1" w:styleId="22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Calibri" w:hAnsi="Calibri" w:cs="Calibri"/>
      <w:color w:val="000000"/>
      <w:kern w:val="0"/>
      <w:szCs w:val="21"/>
    </w:rPr>
  </w:style>
  <w:style w:type="paragraph" w:customStyle="1" w:styleId="22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6">
    <w:name w:val="正文段"/>
    <w:basedOn w:val="1"/>
    <w:qFormat/>
    <w:uiPriority w:val="0"/>
    <w:pPr>
      <w:widowControl/>
      <w:snapToGrid w:val="0"/>
      <w:spacing w:afterLines="50"/>
      <w:ind w:firstLine="200" w:firstLineChars="200"/>
    </w:pPr>
    <w:rPr>
      <w:rFonts w:ascii="Calibri" w:hAnsi="Calibri"/>
      <w:kern w:val="0"/>
      <w:sz w:val="24"/>
      <w:szCs w:val="20"/>
    </w:rPr>
  </w:style>
  <w:style w:type="paragraph" w:customStyle="1" w:styleId="22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28">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229">
    <w:name w:val="默认段落字体 Para Char Char Char Char Char Char Char Char Char Char"/>
    <w:basedOn w:val="1"/>
    <w:qFormat/>
    <w:uiPriority w:val="0"/>
    <w:rPr>
      <w:szCs w:val="20"/>
    </w:rPr>
  </w:style>
  <w:style w:type="paragraph" w:customStyle="1" w:styleId="230">
    <w:name w:val="Body1!"/>
    <w:basedOn w:val="1"/>
    <w:qFormat/>
    <w:uiPriority w:val="0"/>
    <w:pPr>
      <w:widowControl/>
      <w:tabs>
        <w:tab w:val="left" w:pos="1247"/>
      </w:tabs>
      <w:spacing w:before="120" w:line="360" w:lineRule="auto"/>
      <w:ind w:left="200" w:leftChars="100" w:right="200" w:rightChars="100" w:firstLine="200" w:firstLineChars="200"/>
      <w:jc w:val="left"/>
    </w:pPr>
    <w:rPr>
      <w:rFonts w:ascii="Arial" w:hAnsi="Arial"/>
      <w:kern w:val="0"/>
      <w:sz w:val="24"/>
      <w:szCs w:val="21"/>
    </w:rPr>
  </w:style>
  <w:style w:type="paragraph" w:customStyle="1" w:styleId="23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Cs w:val="21"/>
    </w:rPr>
  </w:style>
  <w:style w:type="paragraph" w:customStyle="1" w:styleId="232">
    <w:name w:val="Char Char Char Char Char Char Char Char Char Char Char Char Char Char Char Char1"/>
    <w:basedOn w:val="1"/>
    <w:qFormat/>
    <w:uiPriority w:val="0"/>
    <w:pPr>
      <w:tabs>
        <w:tab w:val="left" w:pos="360"/>
      </w:tabs>
      <w:spacing w:line="360" w:lineRule="auto"/>
      <w:ind w:left="482" w:firstLine="200" w:firstLineChars="200"/>
    </w:pPr>
  </w:style>
  <w:style w:type="paragraph" w:customStyle="1" w:styleId="23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234">
    <w:name w:val="TOC 标题1"/>
    <w:basedOn w:val="2"/>
    <w:next w:val="1"/>
    <w:qFormat/>
    <w:uiPriority w:val="39"/>
    <w:pPr>
      <w:widowControl/>
      <w:spacing w:before="480" w:line="276" w:lineRule="auto"/>
      <w:jc w:val="left"/>
      <w:outlineLvl w:val="9"/>
    </w:pPr>
    <w:rPr>
      <w:rFonts w:ascii="Cambria" w:hAnsi="Cambria"/>
      <w:color w:val="365F91"/>
      <w:kern w:val="0"/>
      <w:sz w:val="28"/>
      <w:szCs w:val="28"/>
    </w:rPr>
  </w:style>
  <w:style w:type="paragraph" w:customStyle="1" w:styleId="235">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36">
    <w:name w:val="p15"/>
    <w:basedOn w:val="1"/>
    <w:qFormat/>
    <w:uiPriority w:val="0"/>
    <w:pPr>
      <w:widowControl/>
    </w:pPr>
    <w:rPr>
      <w:rFonts w:ascii="宋体" w:hAnsi="宋体" w:cs="宋体"/>
      <w:kern w:val="0"/>
      <w:szCs w:val="21"/>
    </w:rPr>
  </w:style>
  <w:style w:type="paragraph" w:customStyle="1" w:styleId="237">
    <w:name w:val="font6"/>
    <w:basedOn w:val="1"/>
    <w:qFormat/>
    <w:uiPriority w:val="0"/>
    <w:pPr>
      <w:widowControl/>
      <w:spacing w:before="100" w:beforeAutospacing="1" w:after="100" w:afterAutospacing="1"/>
      <w:jc w:val="left"/>
    </w:pPr>
    <w:rPr>
      <w:rFonts w:hint="eastAsia" w:ascii="宋体" w:hAnsi="宋体" w:cs="Wonder Arial"/>
      <w:b/>
      <w:bCs/>
      <w:color w:val="000000"/>
      <w:kern w:val="0"/>
      <w:sz w:val="18"/>
      <w:szCs w:val="18"/>
    </w:rPr>
  </w:style>
  <w:style w:type="paragraph" w:customStyle="1" w:styleId="23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239">
    <w:name w:val="样式1"/>
    <w:basedOn w:val="1"/>
    <w:qFormat/>
    <w:uiPriority w:val="0"/>
    <w:rPr>
      <w:szCs w:val="20"/>
    </w:rPr>
  </w:style>
  <w:style w:type="paragraph" w:customStyle="1" w:styleId="2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Calibri" w:hAnsi="Calibri" w:cs="Calibri"/>
      <w:kern w:val="0"/>
      <w:szCs w:val="21"/>
    </w:rPr>
  </w:style>
  <w:style w:type="paragraph" w:customStyle="1" w:styleId="24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42">
    <w:name w:val="标题A"/>
    <w:basedOn w:val="1"/>
    <w:qFormat/>
    <w:uiPriority w:val="0"/>
    <w:pPr>
      <w:autoSpaceDE w:val="0"/>
      <w:autoSpaceDN w:val="0"/>
      <w:adjustRightInd w:val="0"/>
      <w:ind w:left="720" w:right="-866"/>
      <w:jc w:val="left"/>
      <w:textAlignment w:val="baseline"/>
    </w:pPr>
    <w:rPr>
      <w:rFonts w:hAnsi="Arial" w:eastAsia="黑体"/>
      <w:i/>
      <w:kern w:val="0"/>
      <w:sz w:val="28"/>
      <w:szCs w:val="20"/>
    </w:rPr>
  </w:style>
  <w:style w:type="paragraph" w:customStyle="1" w:styleId="243">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44">
    <w:name w:val="Char Char Char Char1"/>
    <w:basedOn w:val="1"/>
    <w:qFormat/>
    <w:uiPriority w:val="0"/>
    <w:pPr>
      <w:spacing w:line="360" w:lineRule="auto"/>
      <w:ind w:left="200" w:leftChars="200" w:firstLine="200" w:firstLineChars="200"/>
    </w:pPr>
    <w:rPr>
      <w:kern w:val="0"/>
      <w:szCs w:val="21"/>
    </w:rPr>
  </w:style>
  <w:style w:type="paragraph" w:customStyle="1" w:styleId="245">
    <w:name w:val="样式 样式 小四 行距: 1.5 倍行距 + 首行缩进:  3 字符"/>
    <w:basedOn w:val="1"/>
    <w:qFormat/>
    <w:uiPriority w:val="0"/>
    <w:rPr>
      <w:rFonts w:ascii="仿宋" w:hAnsi="仿宋" w:eastAsia="仿宋" w:cs="Arial"/>
      <w:bCs/>
      <w:iCs/>
      <w:szCs w:val="21"/>
    </w:rPr>
  </w:style>
  <w:style w:type="paragraph" w:customStyle="1" w:styleId="24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b/>
      <w:bCs/>
      <w:color w:val="000000"/>
      <w:kern w:val="0"/>
      <w:szCs w:val="21"/>
    </w:rPr>
  </w:style>
  <w:style w:type="paragraph" w:customStyle="1" w:styleId="247">
    <w:name w:val="xl26"/>
    <w:basedOn w:val="1"/>
    <w:qFormat/>
    <w:uiPriority w:val="99"/>
    <w:pPr>
      <w:widowControl/>
      <w:pBdr>
        <w:left w:val="single" w:color="auto" w:sz="4" w:space="0"/>
        <w:bottom w:val="single" w:color="auto" w:sz="4" w:space="0"/>
        <w:right w:val="single" w:color="auto" w:sz="4" w:space="0"/>
      </w:pBdr>
      <w:spacing w:before="100" w:beforeAutospacing="1" w:after="100" w:afterAutospacing="1"/>
      <w:textAlignment w:val="top"/>
    </w:pPr>
    <w:rPr>
      <w:kern w:val="0"/>
      <w:szCs w:val="21"/>
    </w:rPr>
  </w:style>
  <w:style w:type="paragraph" w:customStyle="1" w:styleId="248">
    <w:name w:val="font10"/>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24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25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51">
    <w:name w:val="Char Char1 Char Char Char Char1"/>
    <w:basedOn w:val="14"/>
    <w:qFormat/>
    <w:uiPriority w:val="0"/>
    <w:rPr>
      <w:shd w:val="clear" w:color="auto" w:fill="000080"/>
    </w:rPr>
  </w:style>
  <w:style w:type="paragraph" w:customStyle="1" w:styleId="25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25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Cs w:val="21"/>
    </w:rPr>
  </w:style>
  <w:style w:type="paragraph" w:customStyle="1" w:styleId="254">
    <w:name w:val="_Style 55"/>
    <w:basedOn w:val="1"/>
    <w:qFormat/>
    <w:uiPriority w:val="0"/>
  </w:style>
  <w:style w:type="paragraph" w:customStyle="1" w:styleId="255">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Wonder Arial" w:hAnsi="Wonder Arial"/>
      <w:kern w:val="0"/>
      <w:sz w:val="20"/>
      <w:szCs w:val="20"/>
    </w:rPr>
  </w:style>
  <w:style w:type="paragraph" w:customStyle="1" w:styleId="256">
    <w:name w:val="font15"/>
    <w:basedOn w:val="1"/>
    <w:qFormat/>
    <w:uiPriority w:val="0"/>
    <w:pPr>
      <w:widowControl/>
      <w:spacing w:before="100" w:beforeAutospacing="1" w:after="100" w:afterAutospacing="1"/>
      <w:jc w:val="left"/>
    </w:pPr>
    <w:rPr>
      <w:b/>
      <w:bCs/>
      <w:color w:val="000000"/>
      <w:kern w:val="0"/>
      <w:sz w:val="20"/>
      <w:szCs w:val="20"/>
    </w:rPr>
  </w:style>
  <w:style w:type="paragraph" w:customStyle="1" w:styleId="257">
    <w:name w:val="xl34"/>
    <w:basedOn w:val="1"/>
    <w:qFormat/>
    <w:uiPriority w:val="0"/>
    <w:pPr>
      <w:widowControl/>
      <w:pBdr>
        <w:top w:val="single" w:color="auto" w:sz="8" w:space="0"/>
      </w:pBdr>
      <w:spacing w:before="100" w:beforeAutospacing="1" w:after="100" w:afterAutospacing="1"/>
      <w:jc w:val="center"/>
    </w:pPr>
    <w:rPr>
      <w:rFonts w:ascii="Wonder Arial" w:hAnsi="Wonder Arial"/>
      <w:kern w:val="0"/>
      <w:sz w:val="23"/>
      <w:szCs w:val="23"/>
    </w:rPr>
  </w:style>
  <w:style w:type="paragraph" w:customStyle="1" w:styleId="258">
    <w:name w:val="样式 首行缩进:  2 字符"/>
    <w:basedOn w:val="1"/>
    <w:link w:val="259"/>
    <w:qFormat/>
    <w:uiPriority w:val="0"/>
    <w:pPr>
      <w:spacing w:line="400" w:lineRule="exact"/>
      <w:ind w:firstLine="200" w:firstLineChars="200"/>
    </w:pPr>
    <w:rPr>
      <w:rFonts w:ascii="Calibri" w:hAnsi="Calibri" w:cs="宋体"/>
      <w:sz w:val="24"/>
    </w:rPr>
  </w:style>
  <w:style w:type="character" w:customStyle="1" w:styleId="259">
    <w:name w:val="样式 首行缩进:  2 字符 Char"/>
    <w:link w:val="258"/>
    <w:qFormat/>
    <w:uiPriority w:val="0"/>
    <w:rPr>
      <w:rFonts w:ascii="Calibri" w:hAnsi="Calibri" w:eastAsia="宋体" w:cs="宋体"/>
      <w:sz w:val="24"/>
      <w:szCs w:val="24"/>
    </w:rPr>
  </w:style>
  <w:style w:type="table" w:customStyle="1" w:styleId="260">
    <w:name w:val="浅色网格 - 强调文字颜色 31"/>
    <w:basedOn w:val="44"/>
    <w:qFormat/>
    <w:uiPriority w:val="34"/>
    <w:tcPr>
      <w:shd w:val="clear" w:color="auto" w:fill="EDF2F8"/>
    </w:tcPr>
    <w:tblStylePr w:type="firstRow">
      <w:pPr>
        <w:spacing w:before="0" w:after="0" w:line="240" w:lineRule="auto"/>
      </w:pPr>
      <w:rPr>
        <w:rFonts w:cs="Times New Roman"/>
        <w:b/>
        <w:bCs/>
      </w:rPr>
      <w:tcPr>
        <w:tcBorders>
          <w:top w:val="nil"/>
          <w:left w:val="nil"/>
          <w:bottom w:val="single" w:color="FFFFFF" w:sz="12" w:space="0"/>
          <w:right w:val="nil"/>
          <w:insideH w:val="nil"/>
          <w:insideV w:val="nil"/>
          <w:tl2br w:val="nil"/>
          <w:tr2bl w:val="nil"/>
        </w:tcBorders>
        <w:shd w:val="clear" w:color="auto" w:fill="9E3A38"/>
      </w:tcPr>
    </w:tblStylePr>
    <w:tblStylePr w:type="lastRow">
      <w:pPr>
        <w:spacing w:before="0" w:after="0" w:line="240" w:lineRule="auto"/>
      </w:pPr>
      <w:rPr>
        <w:rFonts w:cs="Times New Roman"/>
        <w:b/>
        <w:bCs/>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table" w:customStyle="1" w:styleId="261">
    <w:name w:val="TableGrid"/>
    <w:qFormat/>
    <w:uiPriority w:val="0"/>
    <w:tblPr>
      <w:tblCellMar>
        <w:top w:w="0" w:type="dxa"/>
        <w:left w:w="0" w:type="dxa"/>
        <w:bottom w:w="0" w:type="dxa"/>
        <w:right w:w="0" w:type="dxa"/>
      </w:tblCellMar>
    </w:tblPr>
  </w:style>
  <w:style w:type="paragraph" w:customStyle="1" w:styleId="262">
    <w:name w:val="修订1"/>
    <w:unhideWhenUsed/>
    <w:qFormat/>
    <w:uiPriority w:val="99"/>
    <w:rPr>
      <w:rFonts w:ascii="Times New Roman" w:hAnsi="Times New Roman" w:eastAsia="宋体" w:cs="Times New Roman"/>
      <w:kern w:val="2"/>
      <w:sz w:val="21"/>
      <w:szCs w:val="24"/>
      <w:lang w:val="en-US" w:eastAsia="zh-CN" w:bidi="ar-SA"/>
    </w:rPr>
  </w:style>
  <w:style w:type="paragraph" w:styleId="263">
    <w:name w:val="List Paragraph"/>
    <w:basedOn w:val="1"/>
    <w:qFormat/>
    <w:uiPriority w:val="34"/>
    <w:pPr>
      <w:ind w:firstLine="420" w:firstLineChars="200"/>
    </w:pPr>
  </w:style>
  <w:style w:type="character" w:customStyle="1" w:styleId="264">
    <w:name w:val="页脚 Char"/>
    <w:qFormat/>
    <w:uiPriority w:val="99"/>
    <w:rPr>
      <w:rFonts w:ascii="Times New Roman" w:hAnsi="Times New Roman" w:eastAsia="宋体" w:cs="Times New Roman"/>
      <w:kern w:val="2"/>
      <w:sz w:val="18"/>
      <w:szCs w:val="18"/>
    </w:rPr>
  </w:style>
  <w:style w:type="character" w:customStyle="1" w:styleId="265">
    <w:name w:val="页眉 Char"/>
    <w:qFormat/>
    <w:uiPriority w:val="0"/>
    <w:rPr>
      <w:rFonts w:ascii="Times New Roman" w:hAnsi="Times New Roman" w:eastAsia="宋体" w:cs="Times New Roman"/>
      <w:kern w:val="2"/>
      <w:sz w:val="18"/>
      <w:szCs w:val="18"/>
    </w:rPr>
  </w:style>
  <w:style w:type="character" w:customStyle="1" w:styleId="266">
    <w:name w:val="批注框文本 Char"/>
    <w:qFormat/>
    <w:uiPriority w:val="0"/>
    <w:rPr>
      <w:rFonts w:ascii="Times New Roman" w:hAnsi="Times New Roman" w:eastAsia="仿宋_GB2312" w:cs="Times New Roman"/>
      <w:kern w:val="2"/>
      <w:sz w:val="18"/>
      <w:szCs w:val="18"/>
    </w:rPr>
  </w:style>
  <w:style w:type="paragraph" w:customStyle="1" w:styleId="267">
    <w:name w:val="fstdiv4"/>
    <w:basedOn w:val="1"/>
    <w:qFormat/>
    <w:uiPriority w:val="0"/>
    <w:pPr>
      <w:widowControl/>
      <w:spacing w:before="100" w:beforeAutospacing="1" w:after="100" w:afterAutospacing="1"/>
      <w:jc w:val="left"/>
    </w:pPr>
    <w:rPr>
      <w:rFonts w:ascii="宋体" w:hAnsi="宋体"/>
      <w:kern w:val="0"/>
      <w:sz w:val="24"/>
    </w:rPr>
  </w:style>
  <w:style w:type="character" w:customStyle="1" w:styleId="268">
    <w:name w:val="正文文本缩进 2 Char"/>
    <w:qFormat/>
    <w:uiPriority w:val="99"/>
    <w:rPr>
      <w:rFonts w:ascii="方正仿宋_GBK" w:hAnsi="Times New Roman" w:eastAsia="方正仿宋_GBK" w:cs="Times New Roman"/>
      <w:color w:val="000000"/>
      <w:kern w:val="2"/>
      <w:sz w:val="28"/>
      <w:szCs w:val="28"/>
    </w:rPr>
  </w:style>
  <w:style w:type="character" w:customStyle="1" w:styleId="269">
    <w:name w:val="批注文字 字符1"/>
    <w:qFormat/>
    <w:uiPriority w:val="0"/>
    <w:rPr>
      <w:rFonts w:ascii="Times New Roman" w:hAnsi="Times New Roman" w:eastAsia="宋体" w:cs="Times New Roman"/>
      <w:szCs w:val="24"/>
    </w:rPr>
  </w:style>
  <w:style w:type="character" w:customStyle="1" w:styleId="270">
    <w:name w:val="批注主题 字符1"/>
    <w:qFormat/>
    <w:uiPriority w:val="99"/>
    <w:rPr>
      <w:rFonts w:ascii="Times New Roman" w:hAnsi="Times New Roman" w:eastAsia="宋体" w:cs="Times New Roman"/>
      <w:b/>
      <w:bCs/>
      <w:szCs w:val="24"/>
    </w:rPr>
  </w:style>
  <w:style w:type="character" w:customStyle="1" w:styleId="271">
    <w:name w:val="尾注文本 字符1"/>
    <w:semiHidden/>
    <w:qFormat/>
    <w:uiPriority w:val="99"/>
    <w:rPr>
      <w:rFonts w:ascii="Times New Roman" w:hAnsi="Times New Roman" w:eastAsia="宋体" w:cs="Times New Roman"/>
      <w:szCs w:val="24"/>
    </w:rPr>
  </w:style>
  <w:style w:type="character" w:customStyle="1" w:styleId="272">
    <w:name w:val="正文文本缩进 2 字符1"/>
    <w:qFormat/>
    <w:uiPriority w:val="99"/>
    <w:rPr>
      <w:rFonts w:ascii="Times New Roman" w:hAnsi="Times New Roman" w:eastAsia="宋体" w:cs="Times New Roman"/>
      <w:szCs w:val="24"/>
    </w:rPr>
  </w:style>
  <w:style w:type="character" w:customStyle="1" w:styleId="273">
    <w:name w:val="日期 字符1"/>
    <w:semiHidden/>
    <w:qFormat/>
    <w:uiPriority w:val="99"/>
    <w:rPr>
      <w:rFonts w:ascii="Times New Roman" w:hAnsi="Times New Roman" w:eastAsia="宋体" w:cs="Times New Roman"/>
      <w:szCs w:val="24"/>
    </w:rPr>
  </w:style>
  <w:style w:type="character" w:customStyle="1" w:styleId="274">
    <w:name w:val="正文文本缩进 字符1"/>
    <w:semiHidden/>
    <w:qFormat/>
    <w:uiPriority w:val="99"/>
    <w:rPr>
      <w:rFonts w:ascii="Times New Roman" w:hAnsi="Times New Roman" w:eastAsia="宋体" w:cs="Times New Roman"/>
      <w:szCs w:val="24"/>
    </w:rPr>
  </w:style>
  <w:style w:type="character" w:customStyle="1" w:styleId="275">
    <w:name w:val="页脚 字符1"/>
    <w:semiHidden/>
    <w:qFormat/>
    <w:uiPriority w:val="99"/>
    <w:rPr>
      <w:rFonts w:ascii="Times New Roman" w:hAnsi="Times New Roman" w:eastAsia="宋体" w:cs="Times New Roman"/>
      <w:sz w:val="18"/>
      <w:szCs w:val="18"/>
    </w:rPr>
  </w:style>
  <w:style w:type="character" w:customStyle="1" w:styleId="276">
    <w:name w:val="批注框文本 字符1"/>
    <w:semiHidden/>
    <w:qFormat/>
    <w:uiPriority w:val="99"/>
    <w:rPr>
      <w:rFonts w:ascii="Times New Roman" w:hAnsi="Times New Roman" w:eastAsia="宋体" w:cs="Times New Roman"/>
      <w:sz w:val="18"/>
      <w:szCs w:val="18"/>
    </w:rPr>
  </w:style>
  <w:style w:type="character" w:customStyle="1" w:styleId="277">
    <w:name w:val="正文文本 3 字符1"/>
    <w:qFormat/>
    <w:uiPriority w:val="99"/>
    <w:rPr>
      <w:rFonts w:ascii="Times New Roman" w:hAnsi="Times New Roman" w:eastAsia="宋体" w:cs="Times New Roman"/>
      <w:sz w:val="16"/>
      <w:szCs w:val="16"/>
    </w:rPr>
  </w:style>
  <w:style w:type="character" w:customStyle="1" w:styleId="278">
    <w:name w:val="文档结构图 字符1"/>
    <w:qFormat/>
    <w:uiPriority w:val="0"/>
    <w:rPr>
      <w:rFonts w:ascii="Microsoft YaHei UI" w:hAnsi="Times New Roman" w:eastAsia="Microsoft YaHei UI" w:cs="Times New Roman"/>
      <w:sz w:val="18"/>
      <w:szCs w:val="18"/>
    </w:rPr>
  </w:style>
  <w:style w:type="character" w:customStyle="1" w:styleId="279">
    <w:name w:val="纯文本 字符1"/>
    <w:semiHidden/>
    <w:qFormat/>
    <w:uiPriority w:val="99"/>
    <w:rPr>
      <w:rFonts w:ascii="等线" w:hAnsi="Courier New" w:cs="Courier New"/>
      <w:szCs w:val="24"/>
    </w:rPr>
  </w:style>
  <w:style w:type="character" w:customStyle="1" w:styleId="280">
    <w:name w:val="正文文本 字符1"/>
    <w:semiHidden/>
    <w:qFormat/>
    <w:uiPriority w:val="99"/>
    <w:rPr>
      <w:rFonts w:ascii="Times New Roman" w:hAnsi="Times New Roman" w:eastAsia="宋体" w:cs="Times New Roman"/>
      <w:szCs w:val="24"/>
    </w:rPr>
  </w:style>
  <w:style w:type="character" w:customStyle="1" w:styleId="281">
    <w:name w:val="页眉 字符1"/>
    <w:semiHidden/>
    <w:qFormat/>
    <w:uiPriority w:val="99"/>
    <w:rPr>
      <w:rFonts w:ascii="Times New Roman" w:hAnsi="Times New Roman" w:eastAsia="宋体" w:cs="Times New Roman"/>
      <w:sz w:val="18"/>
      <w:szCs w:val="18"/>
    </w:rPr>
  </w:style>
  <w:style w:type="character" w:customStyle="1" w:styleId="282">
    <w:name w:val="HTML 预设格式 字符1"/>
    <w:semiHidden/>
    <w:qFormat/>
    <w:uiPriority w:val="99"/>
    <w:rPr>
      <w:rFonts w:ascii="Courier New" w:hAnsi="Courier New" w:eastAsia="宋体" w:cs="Courier New"/>
      <w:sz w:val="20"/>
      <w:szCs w:val="20"/>
    </w:rPr>
  </w:style>
  <w:style w:type="character" w:customStyle="1" w:styleId="283">
    <w:name w:val="正文文本缩进 3 字符1"/>
    <w:semiHidden/>
    <w:qFormat/>
    <w:uiPriority w:val="99"/>
    <w:rPr>
      <w:rFonts w:ascii="Times New Roman" w:hAnsi="Times New Roman" w:eastAsia="宋体" w:cs="Times New Roman"/>
      <w:sz w:val="16"/>
      <w:szCs w:val="16"/>
    </w:rPr>
  </w:style>
  <w:style w:type="character" w:customStyle="1" w:styleId="284">
    <w:name w:val="正文文本 2 字符1"/>
    <w:qFormat/>
    <w:uiPriority w:val="99"/>
    <w:rPr>
      <w:rFonts w:ascii="Times New Roman" w:hAnsi="Times New Roman" w:eastAsia="宋体" w:cs="Times New Roman"/>
      <w:szCs w:val="24"/>
    </w:rPr>
  </w:style>
  <w:style w:type="character" w:customStyle="1" w:styleId="285">
    <w:name w:val="脚注文本 字符1"/>
    <w:qFormat/>
    <w:uiPriority w:val="0"/>
    <w:rPr>
      <w:rFonts w:ascii="Times New Roman" w:hAnsi="Times New Roman" w:eastAsia="宋体" w:cs="Times New Roman"/>
      <w:sz w:val="18"/>
      <w:szCs w:val="18"/>
    </w:rPr>
  </w:style>
  <w:style w:type="character" w:customStyle="1" w:styleId="286">
    <w:name w:val="标题 字符1"/>
    <w:qFormat/>
    <w:uiPriority w:val="0"/>
    <w:rPr>
      <w:rFonts w:ascii="等线 Light" w:hAnsi="等线 Light" w:eastAsia="等线 Light" w:cs="Times New Roman"/>
      <w:b/>
      <w:bCs/>
      <w:sz w:val="32"/>
      <w:szCs w:val="32"/>
    </w:rPr>
  </w:style>
  <w:style w:type="character" w:customStyle="1" w:styleId="287">
    <w:name w:val="纯文本 字符2"/>
    <w:qFormat/>
    <w:uiPriority w:val="0"/>
    <w:rPr>
      <w:rFonts w:ascii="宋体" w:hAnsi="Courier New" w:eastAsia="宋体" w:cs="Courier New"/>
      <w:szCs w:val="21"/>
    </w:rPr>
  </w:style>
  <w:style w:type="character" w:customStyle="1" w:styleId="288">
    <w:name w:val="NormalCharacter"/>
    <w:qFormat/>
    <w:uiPriority w:val="0"/>
    <w:rPr>
      <w:rFonts w:hint="default" w:ascii="Calibri" w:hAnsi="Calibri" w:eastAsia="宋体" w:cs="Times New Roman"/>
      <w:kern w:val="2"/>
      <w:sz w:val="21"/>
      <w:szCs w:val="24"/>
      <w:lang w:val="en-US" w:eastAsia="zh-CN" w:bidi="ar-SA"/>
    </w:rPr>
  </w:style>
  <w:style w:type="paragraph" w:customStyle="1" w:styleId="289">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Normal_1_1"/>
    <w:qFormat/>
    <w:uiPriority w:val="0"/>
    <w:pPr>
      <w:spacing w:before="120" w:after="240"/>
      <w:jc w:val="both"/>
    </w:pPr>
    <w:rPr>
      <w:rFonts w:ascii="Calibri" w:hAnsi="Calibri" w:eastAsia="Calibri" w:cs="Times New Roman"/>
      <w:sz w:val="22"/>
      <w:szCs w:val="22"/>
      <w:lang w:val="en-US" w:eastAsia="en-US" w:bidi="ar-SA"/>
    </w:rPr>
  </w:style>
  <w:style w:type="paragraph" w:customStyle="1" w:styleId="291">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92">
    <w:name w:val="样式 小四 首行缩进:  0.85 厘米 行距: 1.5 倍行距"/>
    <w:basedOn w:val="1"/>
    <w:qFormat/>
    <w:uiPriority w:val="0"/>
    <w:pPr>
      <w:adjustRightInd w:val="0"/>
      <w:spacing w:line="360" w:lineRule="auto"/>
      <w:ind w:firstLine="482"/>
      <w:textAlignment w:val="baseline"/>
    </w:pPr>
    <w:rPr>
      <w:kern w:val="0"/>
      <w:sz w:val="24"/>
      <w:szCs w:val="20"/>
    </w:rPr>
  </w:style>
  <w:style w:type="paragraph" w:customStyle="1" w:styleId="293">
    <w:name w:val="CM26"/>
    <w:basedOn w:val="210"/>
    <w:next w:val="210"/>
    <w:qFormat/>
    <w:uiPriority w:val="0"/>
    <w:pPr>
      <w:spacing w:line="471" w:lineRule="atLeast"/>
    </w:pPr>
    <w:rPr>
      <w:rFonts w:ascii="宋体" w:cs="宋体"/>
      <w:color w:val="auto"/>
    </w:rPr>
  </w:style>
  <w:style w:type="character" w:customStyle="1" w:styleId="294">
    <w:name w:val="正文文本缩进 3 Char"/>
    <w:qFormat/>
    <w:uiPriority w:val="99"/>
    <w:rPr>
      <w:kern w:val="2"/>
      <w:sz w:val="16"/>
      <w:szCs w:val="16"/>
    </w:rPr>
  </w:style>
  <w:style w:type="character" w:customStyle="1" w:styleId="295">
    <w:name w:val="明显引用 字符1"/>
    <w:qFormat/>
    <w:uiPriority w:val="30"/>
    <w:rPr>
      <w:rFonts w:ascii="Calibri" w:hAnsi="Calibri"/>
      <w:b/>
      <w:i/>
      <w:sz w:val="24"/>
      <w:szCs w:val="22"/>
      <w:lang w:eastAsia="en-US" w:bidi="en-US"/>
    </w:rPr>
  </w:style>
  <w:style w:type="character" w:customStyle="1" w:styleId="296">
    <w:name w:val="high-light-bg4"/>
    <w:qFormat/>
    <w:uiPriority w:val="0"/>
  </w:style>
  <w:style w:type="character" w:customStyle="1" w:styleId="297">
    <w:name w:val="s1"/>
    <w:qFormat/>
    <w:uiPriority w:val="0"/>
    <w:rPr>
      <w:rFonts w:ascii="Miss Sweetie" w:hAnsi="Miss Sweetie" w:eastAsia="Miss Sweetie" w:cs="Miss Sweetie"/>
      <w:sz w:val="24"/>
      <w:szCs w:val="24"/>
    </w:rPr>
  </w:style>
  <w:style w:type="character" w:customStyle="1" w:styleId="298">
    <w:name w:val="正本 Char"/>
    <w:link w:val="299"/>
    <w:qFormat/>
    <w:uiPriority w:val="0"/>
    <w:rPr>
      <w:rFonts w:ascii="Calibri" w:hAnsi="Calibri" w:cs="宋体"/>
      <w:sz w:val="24"/>
    </w:rPr>
  </w:style>
  <w:style w:type="paragraph" w:customStyle="1" w:styleId="299">
    <w:name w:val="正本"/>
    <w:basedOn w:val="258"/>
    <w:link w:val="298"/>
    <w:qFormat/>
    <w:uiPriority w:val="0"/>
    <w:pPr>
      <w:widowControl/>
      <w:spacing w:line="360" w:lineRule="auto"/>
      <w:ind w:firstLine="480" w:firstLineChars="0"/>
      <w:jc w:val="left"/>
    </w:pPr>
    <w:rPr>
      <w:rFonts w:eastAsiaTheme="minorEastAsia"/>
      <w:szCs w:val="22"/>
    </w:rPr>
  </w:style>
  <w:style w:type="character" w:customStyle="1" w:styleId="300">
    <w:name w:val="正文文本 Char"/>
    <w:qFormat/>
    <w:uiPriority w:val="0"/>
    <w:rPr>
      <w:kern w:val="2"/>
      <w:sz w:val="21"/>
      <w:szCs w:val="24"/>
    </w:rPr>
  </w:style>
  <w:style w:type="character" w:customStyle="1" w:styleId="301">
    <w:name w:val="不明显强调1"/>
    <w:qFormat/>
    <w:uiPriority w:val="19"/>
    <w:rPr>
      <w:i/>
      <w:color w:val="5A5A5A"/>
    </w:rPr>
  </w:style>
  <w:style w:type="character" w:customStyle="1" w:styleId="302">
    <w:name w:val="标题 5 字符1"/>
    <w:qFormat/>
    <w:uiPriority w:val="0"/>
    <w:rPr>
      <w:b/>
      <w:kern w:val="2"/>
      <w:sz w:val="28"/>
      <w:szCs w:val="24"/>
    </w:rPr>
  </w:style>
  <w:style w:type="character" w:customStyle="1" w:styleId="303">
    <w:name w:val="标题 8 Char"/>
    <w:qFormat/>
    <w:uiPriority w:val="0"/>
    <w:rPr>
      <w:rFonts w:ascii="Arial" w:hAnsi="Arial" w:eastAsia="黑体"/>
      <w:kern w:val="2"/>
      <w:sz w:val="24"/>
      <w:szCs w:val="24"/>
    </w:rPr>
  </w:style>
  <w:style w:type="character" w:customStyle="1" w:styleId="304">
    <w:name w:val="标题2 Char"/>
    <w:link w:val="305"/>
    <w:qFormat/>
    <w:locked/>
    <w:uiPriority w:val="0"/>
    <w:rPr>
      <w:rFonts w:ascii="Calibri" w:hAnsi="宋体" w:eastAsia="黑体"/>
      <w:sz w:val="30"/>
      <w:lang w:eastAsia="en-US" w:bidi="en-US"/>
    </w:rPr>
  </w:style>
  <w:style w:type="paragraph" w:customStyle="1" w:styleId="305">
    <w:name w:val="标题2"/>
    <w:basedOn w:val="1"/>
    <w:next w:val="1"/>
    <w:link w:val="304"/>
    <w:qFormat/>
    <w:uiPriority w:val="0"/>
    <w:pPr>
      <w:widowControl/>
      <w:tabs>
        <w:tab w:val="left" w:pos="2907"/>
      </w:tabs>
      <w:spacing w:beforeLines="50"/>
      <w:jc w:val="left"/>
    </w:pPr>
    <w:rPr>
      <w:rFonts w:ascii="Calibri" w:hAnsi="宋体" w:eastAsia="黑体" w:cstheme="minorBidi"/>
      <w:sz w:val="30"/>
      <w:szCs w:val="22"/>
      <w:lang w:eastAsia="en-US" w:bidi="en-US"/>
    </w:rPr>
  </w:style>
  <w:style w:type="character" w:customStyle="1" w:styleId="306">
    <w:name w:val="正文文本 2 Char"/>
    <w:qFormat/>
    <w:uiPriority w:val="99"/>
    <w:rPr>
      <w:kern w:val="2"/>
      <w:sz w:val="21"/>
      <w:szCs w:val="24"/>
    </w:rPr>
  </w:style>
  <w:style w:type="character" w:customStyle="1" w:styleId="307">
    <w:name w:val="批注主题 Char"/>
    <w:qFormat/>
    <w:uiPriority w:val="99"/>
    <w:rPr>
      <w:b/>
      <w:bCs/>
      <w:kern w:val="2"/>
      <w:sz w:val="21"/>
      <w:szCs w:val="24"/>
    </w:rPr>
  </w:style>
  <w:style w:type="character" w:customStyle="1" w:styleId="308">
    <w:name w:val="标题 Char"/>
    <w:qFormat/>
    <w:uiPriority w:val="0"/>
    <w:rPr>
      <w:rFonts w:ascii="Cambria" w:hAnsi="Cambria"/>
      <w:bCs/>
      <w:kern w:val="2"/>
      <w:sz w:val="30"/>
      <w:szCs w:val="32"/>
    </w:rPr>
  </w:style>
  <w:style w:type="character" w:customStyle="1" w:styleId="309">
    <w:name w:val="不明显参考1"/>
    <w:qFormat/>
    <w:uiPriority w:val="31"/>
    <w:rPr>
      <w:sz w:val="24"/>
      <w:szCs w:val="24"/>
      <w:u w:val="single"/>
    </w:rPr>
  </w:style>
  <w:style w:type="character" w:customStyle="1" w:styleId="310">
    <w:name w:val="日期 Char"/>
    <w:qFormat/>
    <w:uiPriority w:val="0"/>
    <w:rPr>
      <w:kern w:val="2"/>
      <w:sz w:val="28"/>
    </w:rPr>
  </w:style>
  <w:style w:type="character" w:customStyle="1" w:styleId="311">
    <w:name w:val="脚注文本 Char"/>
    <w:qFormat/>
    <w:uiPriority w:val="0"/>
    <w:rPr>
      <w:kern w:val="2"/>
      <w:sz w:val="18"/>
      <w:szCs w:val="18"/>
    </w:rPr>
  </w:style>
  <w:style w:type="character" w:customStyle="1" w:styleId="312">
    <w:name w:val="论文正文 Char"/>
    <w:link w:val="313"/>
    <w:qFormat/>
    <w:uiPriority w:val="0"/>
    <w:rPr>
      <w:rFonts w:ascii="Calibri" w:hAnsi="Calibri"/>
      <w:sz w:val="28"/>
      <w:szCs w:val="24"/>
      <w:lang w:eastAsia="en-US" w:bidi="en-US"/>
    </w:rPr>
  </w:style>
  <w:style w:type="paragraph" w:customStyle="1" w:styleId="313">
    <w:name w:val="论文正文"/>
    <w:basedOn w:val="1"/>
    <w:link w:val="312"/>
    <w:qFormat/>
    <w:uiPriority w:val="0"/>
    <w:pPr>
      <w:widowControl/>
      <w:topLinePunct/>
      <w:spacing w:line="360" w:lineRule="auto"/>
      <w:jc w:val="left"/>
    </w:pPr>
    <w:rPr>
      <w:rFonts w:ascii="Calibri" w:hAnsi="Calibri" w:eastAsiaTheme="minorEastAsia" w:cstheme="minorBidi"/>
      <w:sz w:val="28"/>
      <w:lang w:eastAsia="en-US" w:bidi="en-US"/>
    </w:rPr>
  </w:style>
  <w:style w:type="character" w:customStyle="1" w:styleId="314">
    <w:name w:val="文档结构图 Char"/>
    <w:qFormat/>
    <w:uiPriority w:val="0"/>
    <w:rPr>
      <w:kern w:val="2"/>
      <w:sz w:val="21"/>
      <w:shd w:val="clear" w:color="auto" w:fill="000080"/>
    </w:rPr>
  </w:style>
  <w:style w:type="character" w:customStyle="1" w:styleId="315">
    <w:name w:val="无间隔 字符1"/>
    <w:link w:val="316"/>
    <w:qFormat/>
    <w:uiPriority w:val="1"/>
    <w:rPr>
      <w:sz w:val="28"/>
    </w:rPr>
  </w:style>
  <w:style w:type="paragraph" w:styleId="316">
    <w:name w:val="No Spacing"/>
    <w:link w:val="315"/>
    <w:qFormat/>
    <w:uiPriority w:val="1"/>
    <w:pPr>
      <w:widowControl w:val="0"/>
      <w:jc w:val="both"/>
    </w:pPr>
    <w:rPr>
      <w:rFonts w:asciiTheme="minorHAnsi" w:hAnsiTheme="minorHAnsi" w:eastAsiaTheme="minorEastAsia" w:cstheme="minorBidi"/>
      <w:kern w:val="2"/>
      <w:sz w:val="28"/>
      <w:szCs w:val="22"/>
      <w:lang w:val="en-US" w:eastAsia="zh-CN" w:bidi="ar-SA"/>
    </w:rPr>
  </w:style>
  <w:style w:type="character" w:customStyle="1" w:styleId="317">
    <w:name w:val="标题 6 字符1"/>
    <w:qFormat/>
    <w:uiPriority w:val="0"/>
    <w:rPr>
      <w:rFonts w:ascii="Arial" w:hAnsi="Arial" w:eastAsia="黑体"/>
      <w:b/>
      <w:kern w:val="2"/>
      <w:sz w:val="24"/>
      <w:szCs w:val="24"/>
    </w:rPr>
  </w:style>
  <w:style w:type="character" w:customStyle="1" w:styleId="318">
    <w:name w:val="标题 9 字符1"/>
    <w:qFormat/>
    <w:uiPriority w:val="0"/>
    <w:rPr>
      <w:rFonts w:ascii="Arial" w:hAnsi="Arial" w:eastAsia="黑体"/>
      <w:kern w:val="2"/>
      <w:sz w:val="21"/>
      <w:szCs w:val="24"/>
    </w:rPr>
  </w:style>
  <w:style w:type="character" w:customStyle="1" w:styleId="319">
    <w:name w:val="正文缩进 字符"/>
    <w:qFormat/>
    <w:uiPriority w:val="99"/>
    <w:rPr>
      <w:kern w:val="2"/>
      <w:sz w:val="28"/>
    </w:rPr>
  </w:style>
  <w:style w:type="character" w:customStyle="1" w:styleId="320">
    <w:name w:val="引用 字符1"/>
    <w:qFormat/>
    <w:uiPriority w:val="29"/>
    <w:rPr>
      <w:rFonts w:ascii="Calibri" w:hAnsi="Calibri"/>
      <w:i/>
      <w:sz w:val="24"/>
      <w:szCs w:val="24"/>
      <w:lang w:eastAsia="en-US" w:bidi="en-US"/>
    </w:rPr>
  </w:style>
  <w:style w:type="character" w:customStyle="1" w:styleId="321">
    <w:name w:val="书籍标题1"/>
    <w:qFormat/>
    <w:uiPriority w:val="33"/>
    <w:rPr>
      <w:rFonts w:ascii="Cambria" w:hAnsi="Cambria" w:eastAsia="宋体"/>
      <w:b/>
      <w:i/>
      <w:sz w:val="24"/>
      <w:szCs w:val="24"/>
    </w:rPr>
  </w:style>
  <w:style w:type="character" w:customStyle="1" w:styleId="322">
    <w:name w:val="标题 9 Char"/>
    <w:qFormat/>
    <w:uiPriority w:val="0"/>
    <w:rPr>
      <w:rFonts w:ascii="Arial" w:hAnsi="Arial" w:eastAsia="黑体"/>
      <w:kern w:val="2"/>
      <w:sz w:val="21"/>
      <w:szCs w:val="24"/>
    </w:rPr>
  </w:style>
  <w:style w:type="character" w:customStyle="1" w:styleId="323">
    <w:name w:val="无间隔 字符"/>
    <w:qFormat/>
    <w:uiPriority w:val="1"/>
    <w:rPr>
      <w:kern w:val="2"/>
      <w:sz w:val="28"/>
    </w:rPr>
  </w:style>
  <w:style w:type="character" w:customStyle="1" w:styleId="324">
    <w:name w:val="正文文本缩进 Char"/>
    <w:qFormat/>
    <w:uiPriority w:val="0"/>
    <w:rPr>
      <w:kern w:val="2"/>
      <w:sz w:val="21"/>
      <w:szCs w:val="24"/>
    </w:rPr>
  </w:style>
  <w:style w:type="character" w:customStyle="1" w:styleId="325">
    <w:name w:val="标题 6 Char"/>
    <w:qFormat/>
    <w:uiPriority w:val="0"/>
    <w:rPr>
      <w:rFonts w:ascii="Arial" w:hAnsi="Arial" w:eastAsia="黑体"/>
      <w:b/>
      <w:kern w:val="2"/>
      <w:sz w:val="24"/>
      <w:szCs w:val="24"/>
    </w:rPr>
  </w:style>
  <w:style w:type="character" w:customStyle="1" w:styleId="326">
    <w:name w:val="Listenabsatz Zchn"/>
    <w:link w:val="327"/>
    <w:qFormat/>
    <w:uiPriority w:val="34"/>
    <w:rPr>
      <w:szCs w:val="24"/>
    </w:rPr>
  </w:style>
  <w:style w:type="paragraph" w:customStyle="1" w:styleId="327">
    <w:name w:val="Listenabsatz1"/>
    <w:basedOn w:val="1"/>
    <w:link w:val="326"/>
    <w:qFormat/>
    <w:uiPriority w:val="34"/>
    <w:pPr>
      <w:widowControl/>
      <w:spacing w:line="360" w:lineRule="auto"/>
      <w:ind w:left="840" w:firstLine="420" w:firstLineChars="200"/>
    </w:pPr>
    <w:rPr>
      <w:rFonts w:asciiTheme="minorHAnsi" w:hAnsiTheme="minorHAnsi" w:eastAsiaTheme="minorEastAsia" w:cstheme="minorBidi"/>
    </w:rPr>
  </w:style>
  <w:style w:type="character" w:customStyle="1" w:styleId="328">
    <w:name w:val="def"/>
    <w:qFormat/>
    <w:uiPriority w:val="0"/>
  </w:style>
  <w:style w:type="character" w:customStyle="1" w:styleId="329">
    <w:name w:val="正文标题 Char"/>
    <w:link w:val="330"/>
    <w:qFormat/>
    <w:locked/>
    <w:uiPriority w:val="0"/>
    <w:rPr>
      <w:b/>
      <w:sz w:val="32"/>
      <w:szCs w:val="30"/>
    </w:rPr>
  </w:style>
  <w:style w:type="paragraph" w:customStyle="1" w:styleId="330">
    <w:name w:val="正文标题"/>
    <w:basedOn w:val="1"/>
    <w:link w:val="329"/>
    <w:qFormat/>
    <w:uiPriority w:val="0"/>
    <w:pPr>
      <w:widowControl/>
      <w:spacing w:line="360" w:lineRule="auto"/>
      <w:ind w:left="840" w:hanging="420"/>
    </w:pPr>
    <w:rPr>
      <w:rFonts w:asciiTheme="minorHAnsi" w:hAnsiTheme="minorHAnsi" w:eastAsiaTheme="minorEastAsia" w:cstheme="minorBidi"/>
      <w:b/>
      <w:sz w:val="32"/>
      <w:szCs w:val="30"/>
    </w:rPr>
  </w:style>
  <w:style w:type="character" w:customStyle="1" w:styleId="331">
    <w:name w:val="样式2 Char"/>
    <w:link w:val="332"/>
    <w:qFormat/>
    <w:locked/>
    <w:uiPriority w:val="99"/>
    <w:rPr>
      <w:szCs w:val="24"/>
    </w:rPr>
  </w:style>
  <w:style w:type="paragraph" w:customStyle="1" w:styleId="332">
    <w:name w:val="样式2"/>
    <w:basedOn w:val="1"/>
    <w:link w:val="331"/>
    <w:qFormat/>
    <w:uiPriority w:val="99"/>
    <w:pPr>
      <w:widowControl/>
      <w:tabs>
        <w:tab w:val="left" w:pos="709"/>
      </w:tabs>
      <w:spacing w:line="360" w:lineRule="auto"/>
      <w:ind w:left="709" w:hanging="709"/>
    </w:pPr>
    <w:rPr>
      <w:rFonts w:asciiTheme="minorHAnsi" w:hAnsiTheme="minorHAnsi" w:eastAsiaTheme="minorEastAsia" w:cstheme="minorBidi"/>
    </w:rPr>
  </w:style>
  <w:style w:type="character" w:customStyle="1" w:styleId="333">
    <w:name w:val="HTML 编码"/>
    <w:qFormat/>
    <w:uiPriority w:val="0"/>
    <w:rPr>
      <w:rFonts w:ascii="Courier New" w:hAnsi="Courier New"/>
      <w:sz w:val="20"/>
      <w:szCs w:val="20"/>
    </w:rPr>
  </w:style>
  <w:style w:type="character" w:customStyle="1" w:styleId="334">
    <w:name w:val="明显强调1"/>
    <w:qFormat/>
    <w:uiPriority w:val="21"/>
    <w:rPr>
      <w:b/>
      <w:i/>
      <w:sz w:val="24"/>
      <w:szCs w:val="24"/>
      <w:u w:val="single"/>
    </w:rPr>
  </w:style>
  <w:style w:type="character" w:customStyle="1" w:styleId="335">
    <w:name w:val="副标题 字符1"/>
    <w:qFormat/>
    <w:uiPriority w:val="11"/>
    <w:rPr>
      <w:rFonts w:ascii="Cambria" w:hAnsi="Cambria"/>
      <w:sz w:val="24"/>
      <w:szCs w:val="24"/>
      <w:lang w:eastAsia="en-US" w:bidi="en-US"/>
    </w:rPr>
  </w:style>
  <w:style w:type="character" w:customStyle="1" w:styleId="336">
    <w:name w:val="明显引用 字符"/>
    <w:qFormat/>
    <w:uiPriority w:val="99"/>
    <w:rPr>
      <w:i/>
      <w:iCs/>
      <w:color w:val="5B9BD5"/>
      <w:kern w:val="2"/>
      <w:sz w:val="28"/>
    </w:rPr>
  </w:style>
  <w:style w:type="character" w:customStyle="1" w:styleId="337">
    <w:name w:val="正文首行缩进 2 字符"/>
    <w:basedOn w:val="114"/>
    <w:qFormat/>
    <w:uiPriority w:val="0"/>
    <w:rPr>
      <w:rFonts w:ascii="仿宋_GB2312" w:hAnsi="Times New Roman" w:eastAsia="仿宋_GB2312" w:cs="Times New Roman"/>
      <w:kern w:val="2"/>
      <w:sz w:val="28"/>
    </w:rPr>
  </w:style>
  <w:style w:type="character" w:customStyle="1" w:styleId="338">
    <w:name w:val="正文首行缩进 2 字符1"/>
    <w:qFormat/>
    <w:uiPriority w:val="0"/>
    <w:rPr>
      <w:rFonts w:ascii="Calibri" w:hAnsi="Calibri"/>
      <w:kern w:val="2"/>
      <w:sz w:val="21"/>
    </w:rPr>
  </w:style>
  <w:style w:type="character" w:customStyle="1" w:styleId="339">
    <w:name w:val="副标题 字符3"/>
    <w:link w:val="30"/>
    <w:qFormat/>
    <w:uiPriority w:val="11"/>
    <w:rPr>
      <w:rFonts w:ascii="Cambria" w:hAnsi="Cambria"/>
      <w:sz w:val="24"/>
      <w:szCs w:val="24"/>
      <w:lang w:eastAsia="en-US" w:bidi="en-US"/>
    </w:rPr>
  </w:style>
  <w:style w:type="character" w:customStyle="1" w:styleId="340">
    <w:name w:val="副标题 字符"/>
    <w:basedOn w:val="46"/>
    <w:qFormat/>
    <w:uiPriority w:val="0"/>
    <w:rPr>
      <w:b/>
      <w:bCs/>
      <w:kern w:val="28"/>
      <w:sz w:val="32"/>
      <w:szCs w:val="32"/>
    </w:rPr>
  </w:style>
  <w:style w:type="character" w:customStyle="1" w:styleId="341">
    <w:name w:val="copied"/>
    <w:qFormat/>
    <w:uiPriority w:val="0"/>
  </w:style>
  <w:style w:type="character" w:customStyle="1" w:styleId="342">
    <w:name w:val="标题 3 Char"/>
    <w:qFormat/>
    <w:uiPriority w:val="0"/>
    <w:rPr>
      <w:b/>
      <w:kern w:val="2"/>
      <w:sz w:val="32"/>
    </w:rPr>
  </w:style>
  <w:style w:type="character" w:customStyle="1" w:styleId="343">
    <w:name w:val="样式 Arial1"/>
    <w:qFormat/>
    <w:uiPriority w:val="0"/>
    <w:rPr>
      <w:rFonts w:ascii="Arial" w:hAnsi="Arial" w:eastAsia="宋体"/>
      <w:sz w:val="21"/>
    </w:rPr>
  </w:style>
  <w:style w:type="character" w:customStyle="1" w:styleId="344">
    <w:name w:val="正文文本 Char2"/>
    <w:qFormat/>
    <w:uiPriority w:val="0"/>
    <w:rPr>
      <w:kern w:val="2"/>
      <w:sz w:val="28"/>
    </w:rPr>
  </w:style>
  <w:style w:type="character" w:customStyle="1" w:styleId="345">
    <w:name w:val="标题 5 Char"/>
    <w:qFormat/>
    <w:uiPriority w:val="0"/>
    <w:rPr>
      <w:b/>
      <w:kern w:val="2"/>
      <w:sz w:val="28"/>
      <w:szCs w:val="24"/>
    </w:rPr>
  </w:style>
  <w:style w:type="character" w:customStyle="1" w:styleId="346">
    <w:name w:val="标题 4 Char"/>
    <w:qFormat/>
    <w:uiPriority w:val="0"/>
    <w:rPr>
      <w:b/>
      <w:kern w:val="2"/>
      <w:sz w:val="44"/>
    </w:rPr>
  </w:style>
  <w:style w:type="character" w:customStyle="1" w:styleId="347">
    <w:name w:val="齐标题1 Char"/>
    <w:link w:val="348"/>
    <w:qFormat/>
    <w:uiPriority w:val="0"/>
    <w:rPr>
      <w:rFonts w:ascii="Arial" w:hAnsi="Arial" w:cs="Arial"/>
      <w:b/>
      <w:bCs/>
      <w:caps/>
      <w:sz w:val="24"/>
      <w:szCs w:val="24"/>
    </w:rPr>
  </w:style>
  <w:style w:type="paragraph" w:customStyle="1" w:styleId="348">
    <w:name w:val="齐标题1"/>
    <w:basedOn w:val="29"/>
    <w:link w:val="347"/>
    <w:qFormat/>
    <w:uiPriority w:val="0"/>
    <w:pPr>
      <w:widowControl/>
      <w:tabs>
        <w:tab w:val="left" w:pos="420"/>
        <w:tab w:val="right" w:leader="dot" w:pos="9345"/>
      </w:tabs>
      <w:spacing w:line="360" w:lineRule="auto"/>
      <w:ind w:left="420" w:hanging="420"/>
      <w:jc w:val="left"/>
    </w:pPr>
    <w:rPr>
      <w:rFonts w:ascii="Arial" w:hAnsi="Arial" w:cs="Arial" w:eastAsiaTheme="minorEastAsia"/>
      <w:b/>
      <w:bCs/>
      <w:caps/>
      <w:sz w:val="24"/>
    </w:rPr>
  </w:style>
  <w:style w:type="character" w:customStyle="1" w:styleId="349">
    <w:name w:val="明显参考1"/>
    <w:qFormat/>
    <w:uiPriority w:val="32"/>
    <w:rPr>
      <w:b/>
      <w:bCs/>
      <w:smallCaps/>
      <w:color w:val="C0504D"/>
      <w:spacing w:val="5"/>
      <w:u w:val="single"/>
    </w:rPr>
  </w:style>
  <w:style w:type="character" w:customStyle="1" w:styleId="350">
    <w:name w:val="正文文本 3 Char"/>
    <w:qFormat/>
    <w:uiPriority w:val="99"/>
    <w:rPr>
      <w:kern w:val="2"/>
      <w:sz w:val="16"/>
      <w:szCs w:val="16"/>
    </w:rPr>
  </w:style>
  <w:style w:type="character" w:customStyle="1" w:styleId="351">
    <w:name w:val="Char Char"/>
    <w:qFormat/>
    <w:uiPriority w:val="0"/>
    <w:rPr>
      <w:rFonts w:ascii="Arial" w:hAnsi="Arial" w:eastAsia="宋体"/>
      <w:b/>
      <w:sz w:val="22"/>
      <w:lang w:val="de-DE" w:eastAsia="de-DE" w:bidi="ar-SA"/>
    </w:rPr>
  </w:style>
  <w:style w:type="character" w:customStyle="1" w:styleId="352">
    <w:name w:val="批注文字 Char"/>
    <w:qFormat/>
    <w:uiPriority w:val="0"/>
    <w:rPr>
      <w:kern w:val="2"/>
      <w:sz w:val="21"/>
      <w:szCs w:val="24"/>
    </w:rPr>
  </w:style>
  <w:style w:type="character" w:customStyle="1" w:styleId="353">
    <w:name w:val="明显参考2"/>
    <w:qFormat/>
    <w:uiPriority w:val="32"/>
    <w:rPr>
      <w:b/>
      <w:sz w:val="24"/>
      <w:u w:val="single"/>
    </w:rPr>
  </w:style>
  <w:style w:type="character" w:customStyle="1" w:styleId="354">
    <w:name w:val="引用 字符3"/>
    <w:link w:val="355"/>
    <w:qFormat/>
    <w:uiPriority w:val="29"/>
    <w:rPr>
      <w:rFonts w:ascii="Calibri" w:hAnsi="Calibri"/>
      <w:i/>
      <w:sz w:val="24"/>
      <w:szCs w:val="24"/>
      <w:lang w:eastAsia="en-US" w:bidi="en-US"/>
    </w:rPr>
  </w:style>
  <w:style w:type="paragraph" w:styleId="355">
    <w:name w:val="Quote"/>
    <w:basedOn w:val="1"/>
    <w:next w:val="1"/>
    <w:link w:val="354"/>
    <w:qFormat/>
    <w:uiPriority w:val="29"/>
    <w:pPr>
      <w:widowControl/>
      <w:spacing w:line="360" w:lineRule="auto"/>
      <w:jc w:val="left"/>
    </w:pPr>
    <w:rPr>
      <w:rFonts w:ascii="Calibri" w:hAnsi="Calibri" w:eastAsiaTheme="minorEastAsia" w:cstheme="minorBidi"/>
      <w:i/>
      <w:sz w:val="24"/>
      <w:lang w:eastAsia="en-US" w:bidi="en-US"/>
    </w:rPr>
  </w:style>
  <w:style w:type="character" w:customStyle="1" w:styleId="356">
    <w:name w:val="引用 字符"/>
    <w:basedOn w:val="46"/>
    <w:qFormat/>
    <w:uiPriority w:val="99"/>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customStyle="1" w:styleId="357">
    <w:name w:val="标题 7 Char"/>
    <w:qFormat/>
    <w:uiPriority w:val="0"/>
    <w:rPr>
      <w:b/>
      <w:kern w:val="2"/>
      <w:sz w:val="24"/>
      <w:szCs w:val="24"/>
    </w:rPr>
  </w:style>
  <w:style w:type="character" w:customStyle="1" w:styleId="358">
    <w:name w:val="doc_title"/>
    <w:qFormat/>
    <w:uiPriority w:val="0"/>
  </w:style>
  <w:style w:type="character" w:customStyle="1" w:styleId="359">
    <w:name w:val="font21"/>
    <w:qFormat/>
    <w:uiPriority w:val="0"/>
    <w:rPr>
      <w:rFonts w:hint="eastAsia" w:ascii="宋体" w:hAnsi="宋体" w:eastAsia="宋体" w:cs="宋体"/>
      <w:color w:val="000000"/>
      <w:sz w:val="21"/>
      <w:szCs w:val="21"/>
      <w:u w:val="none"/>
    </w:rPr>
  </w:style>
  <w:style w:type="character" w:customStyle="1" w:styleId="360">
    <w:name w:val="标题1 Char"/>
    <w:link w:val="361"/>
    <w:qFormat/>
    <w:uiPriority w:val="0"/>
    <w:rPr>
      <w:rFonts w:eastAsia="黑体"/>
      <w:sz w:val="24"/>
      <w:szCs w:val="30"/>
    </w:rPr>
  </w:style>
  <w:style w:type="paragraph" w:customStyle="1" w:styleId="361">
    <w:name w:val="标题1"/>
    <w:link w:val="360"/>
    <w:qFormat/>
    <w:uiPriority w:val="0"/>
    <w:pPr>
      <w:spacing w:beforeLines="100" w:afterLines="100" w:line="276" w:lineRule="auto"/>
      <w:outlineLvl w:val="0"/>
    </w:pPr>
    <w:rPr>
      <w:rFonts w:eastAsia="黑体" w:asciiTheme="minorHAnsi" w:hAnsiTheme="minorHAnsi" w:cstheme="minorBidi"/>
      <w:kern w:val="2"/>
      <w:sz w:val="24"/>
      <w:szCs w:val="30"/>
      <w:lang w:val="en-US" w:eastAsia="zh-CN" w:bidi="ar-SA"/>
    </w:rPr>
  </w:style>
  <w:style w:type="character" w:customStyle="1" w:styleId="362">
    <w:name w:val="书籍标题11"/>
    <w:qFormat/>
    <w:uiPriority w:val="33"/>
    <w:rPr>
      <w:b/>
      <w:bCs/>
      <w:smallCaps/>
      <w:spacing w:val="5"/>
    </w:rPr>
  </w:style>
  <w:style w:type="character" w:customStyle="1" w:styleId="363">
    <w:name w:val="Style 9.5 pt"/>
    <w:qFormat/>
    <w:uiPriority w:val="0"/>
    <w:rPr>
      <w:sz w:val="21"/>
    </w:rPr>
  </w:style>
  <w:style w:type="character" w:customStyle="1" w:styleId="364">
    <w:name w:val="HTML 预设格式 Char"/>
    <w:qFormat/>
    <w:uiPriority w:val="0"/>
    <w:rPr>
      <w:rFonts w:ascii="Courier New" w:hAnsi="Courier New" w:cs="Courier New"/>
    </w:rPr>
  </w:style>
  <w:style w:type="character" w:customStyle="1" w:styleId="365">
    <w:name w:val="封面 Char"/>
    <w:link w:val="366"/>
    <w:qFormat/>
    <w:uiPriority w:val="0"/>
    <w:rPr>
      <w:rFonts w:ascii="Calibri" w:hAnsi="Calibri" w:eastAsia="黑体"/>
      <w:b/>
      <w:sz w:val="48"/>
      <w:lang w:eastAsia="en-US" w:bidi="en-US"/>
    </w:rPr>
  </w:style>
  <w:style w:type="paragraph" w:customStyle="1" w:styleId="366">
    <w:name w:val="封面"/>
    <w:basedOn w:val="1"/>
    <w:link w:val="365"/>
    <w:qFormat/>
    <w:uiPriority w:val="0"/>
    <w:pPr>
      <w:widowControl/>
      <w:tabs>
        <w:tab w:val="center" w:pos="4677"/>
        <w:tab w:val="right" w:pos="9355"/>
      </w:tabs>
      <w:adjustRightInd w:val="0"/>
      <w:jc w:val="center"/>
      <w:textAlignment w:val="baseline"/>
    </w:pPr>
    <w:rPr>
      <w:rFonts w:ascii="Calibri" w:hAnsi="Calibri" w:eastAsia="黑体" w:cstheme="minorBidi"/>
      <w:b/>
      <w:sz w:val="48"/>
      <w:szCs w:val="22"/>
      <w:lang w:eastAsia="en-US" w:bidi="en-US"/>
    </w:rPr>
  </w:style>
  <w:style w:type="character" w:customStyle="1" w:styleId="367">
    <w:name w:val="样式6 Char"/>
    <w:link w:val="368"/>
    <w:qFormat/>
    <w:locked/>
    <w:uiPriority w:val="0"/>
    <w:rPr>
      <w:szCs w:val="24"/>
    </w:rPr>
  </w:style>
  <w:style w:type="paragraph" w:customStyle="1" w:styleId="368">
    <w:name w:val="样式6"/>
    <w:basedOn w:val="1"/>
    <w:link w:val="367"/>
    <w:qFormat/>
    <w:uiPriority w:val="0"/>
    <w:pPr>
      <w:widowControl/>
      <w:spacing w:beforeLines="20" w:line="360" w:lineRule="auto"/>
      <w:ind w:left="840" w:firstLine="420" w:firstLineChars="200"/>
    </w:pPr>
    <w:rPr>
      <w:rFonts w:asciiTheme="minorHAnsi" w:hAnsiTheme="minorHAnsi" w:eastAsiaTheme="minorEastAsia" w:cstheme="minorBidi"/>
    </w:rPr>
  </w:style>
  <w:style w:type="character" w:customStyle="1" w:styleId="369">
    <w:name w:val="font01"/>
    <w:qFormat/>
    <w:uiPriority w:val="0"/>
    <w:rPr>
      <w:rFonts w:hint="eastAsia" w:ascii="宋体" w:hAnsi="宋体" w:eastAsia="宋体" w:cs="宋体"/>
      <w:color w:val="000000"/>
      <w:sz w:val="21"/>
      <w:szCs w:val="21"/>
      <w:u w:val="none"/>
    </w:rPr>
  </w:style>
  <w:style w:type="character" w:customStyle="1" w:styleId="370">
    <w:name w:val="明显引用 字符3"/>
    <w:link w:val="371"/>
    <w:qFormat/>
    <w:uiPriority w:val="30"/>
    <w:rPr>
      <w:rFonts w:ascii="Calibri" w:hAnsi="Calibri"/>
      <w:b/>
      <w:i/>
      <w:sz w:val="24"/>
      <w:lang w:eastAsia="en-US" w:bidi="en-US"/>
    </w:rPr>
  </w:style>
  <w:style w:type="paragraph" w:styleId="371">
    <w:name w:val="Intense Quote"/>
    <w:basedOn w:val="1"/>
    <w:next w:val="1"/>
    <w:link w:val="370"/>
    <w:qFormat/>
    <w:uiPriority w:val="30"/>
    <w:pPr>
      <w:widowControl/>
      <w:spacing w:line="360" w:lineRule="auto"/>
      <w:ind w:left="720" w:right="720"/>
      <w:jc w:val="left"/>
    </w:pPr>
    <w:rPr>
      <w:rFonts w:ascii="Calibri" w:hAnsi="Calibri" w:eastAsiaTheme="minorEastAsia" w:cstheme="minorBidi"/>
      <w:b/>
      <w:i/>
      <w:sz w:val="24"/>
      <w:szCs w:val="22"/>
      <w:lang w:eastAsia="en-US" w:bidi="en-US"/>
    </w:rPr>
  </w:style>
  <w:style w:type="character" w:customStyle="1" w:styleId="372">
    <w:name w:val="明显引用 字符2"/>
    <w:basedOn w:val="46"/>
    <w:qFormat/>
    <w:uiPriority w:val="30"/>
    <w:rPr>
      <w:rFonts w:ascii="Times New Roman" w:hAnsi="Times New Roman" w:eastAsia="宋体" w:cs="Times New Roman"/>
      <w:i/>
      <w:iCs/>
      <w:color w:val="4874CB" w:themeColor="accent1"/>
      <w:szCs w:val="24"/>
      <w14:textFill>
        <w14:solidFill>
          <w14:schemeClr w14:val="accent1"/>
        </w14:solidFill>
      </w14:textFill>
    </w:rPr>
  </w:style>
  <w:style w:type="character" w:customStyle="1" w:styleId="373">
    <w:name w:val="영어만"/>
    <w:qFormat/>
    <w:uiPriority w:val="0"/>
    <w:rPr>
      <w:rFonts w:hint="default" w:ascii="Times New Roman" w:hAnsi="Times New Roman" w:cs="Times New Roman"/>
      <w:sz w:val="24"/>
    </w:rPr>
  </w:style>
  <w:style w:type="character" w:customStyle="1" w:styleId="374">
    <w:name w:val="个人撰写风格"/>
    <w:qFormat/>
    <w:uiPriority w:val="0"/>
    <w:rPr>
      <w:rFonts w:ascii="Arial" w:hAnsi="Arial" w:eastAsia="宋体"/>
      <w:color w:val="auto"/>
      <w:sz w:val="20"/>
    </w:rPr>
  </w:style>
  <w:style w:type="character" w:customStyle="1" w:styleId="375">
    <w:name w:val="标题 7 字符1"/>
    <w:qFormat/>
    <w:uiPriority w:val="0"/>
    <w:rPr>
      <w:b/>
      <w:kern w:val="2"/>
      <w:sz w:val="24"/>
      <w:szCs w:val="24"/>
    </w:rPr>
  </w:style>
  <w:style w:type="character" w:customStyle="1" w:styleId="376">
    <w:name w:val="纯文本 Char"/>
    <w:qFormat/>
    <w:uiPriority w:val="0"/>
    <w:rPr>
      <w:rFonts w:ascii="宋体" w:hAnsi="Courier New"/>
      <w:kern w:val="2"/>
      <w:sz w:val="21"/>
    </w:rPr>
  </w:style>
  <w:style w:type="character" w:customStyle="1" w:styleId="377">
    <w:name w:val="标题 8 字符1"/>
    <w:qFormat/>
    <w:uiPriority w:val="0"/>
    <w:rPr>
      <w:rFonts w:ascii="Arial" w:hAnsi="Arial" w:eastAsia="黑体"/>
      <w:kern w:val="2"/>
      <w:sz w:val="24"/>
      <w:szCs w:val="24"/>
    </w:rPr>
  </w:style>
  <w:style w:type="character" w:customStyle="1" w:styleId="378">
    <w:name w:val="标题 1 Char"/>
    <w:qFormat/>
    <w:uiPriority w:val="0"/>
    <w:rPr>
      <w:rFonts w:eastAsia="楷体_GB2312"/>
      <w:b/>
      <w:kern w:val="44"/>
      <w:sz w:val="32"/>
    </w:rPr>
  </w:style>
  <w:style w:type="paragraph" w:customStyle="1" w:styleId="379">
    <w:name w:val="列出段落6"/>
    <w:basedOn w:val="1"/>
    <w:qFormat/>
    <w:uiPriority w:val="34"/>
    <w:pPr>
      <w:widowControl/>
      <w:ind w:left="720"/>
      <w:contextualSpacing/>
      <w:jc w:val="left"/>
    </w:pPr>
    <w:rPr>
      <w:rFonts w:ascii="Calibri" w:hAnsi="Calibri"/>
      <w:kern w:val="0"/>
      <w:szCs w:val="20"/>
      <w:lang w:eastAsia="en-US" w:bidi="en-US"/>
    </w:rPr>
  </w:style>
  <w:style w:type="paragraph" w:customStyle="1" w:styleId="380">
    <w:name w:val="正文表标题"/>
    <w:next w:val="241"/>
    <w:qFormat/>
    <w:uiPriority w:val="0"/>
    <w:pPr>
      <w:spacing w:line="360" w:lineRule="auto"/>
      <w:ind w:left="840" w:hanging="420"/>
      <w:jc w:val="center"/>
    </w:pPr>
    <w:rPr>
      <w:rFonts w:ascii="黑体" w:hAnsi="Times New Roman" w:eastAsia="黑体" w:cs="Times New Roman"/>
      <w:sz w:val="21"/>
      <w:lang w:val="en-US" w:eastAsia="zh-CN" w:bidi="ar-SA"/>
    </w:rPr>
  </w:style>
  <w:style w:type="paragraph" w:customStyle="1" w:styleId="381">
    <w:name w:val="二级无标题条"/>
    <w:basedOn w:val="1"/>
    <w:qFormat/>
    <w:uiPriority w:val="0"/>
    <w:pPr>
      <w:widowControl/>
      <w:spacing w:line="360" w:lineRule="auto"/>
      <w:ind w:left="840" w:hanging="420"/>
    </w:pPr>
    <w:rPr>
      <w:rFonts w:eastAsia="黑体"/>
    </w:rPr>
  </w:style>
  <w:style w:type="paragraph" w:customStyle="1" w:styleId="382">
    <w:name w:val="标书2级"/>
    <w:basedOn w:val="1"/>
    <w:qFormat/>
    <w:uiPriority w:val="0"/>
    <w:pPr>
      <w:numPr>
        <w:ilvl w:val="1"/>
        <w:numId w:val="2"/>
      </w:numPr>
      <w:tabs>
        <w:tab w:val="left" w:pos="483"/>
        <w:tab w:val="left" w:pos="2269"/>
      </w:tabs>
      <w:spacing w:before="156" w:after="156" w:line="300" w:lineRule="auto"/>
      <w:jc w:val="left"/>
      <w:outlineLvl w:val="1"/>
    </w:pPr>
    <w:rPr>
      <w:rFonts w:ascii="Arial" w:hAnsi="Arial" w:cs="Arial"/>
      <w:b/>
      <w:bCs/>
      <w:sz w:val="24"/>
      <w:szCs w:val="20"/>
    </w:rPr>
  </w:style>
  <w:style w:type="paragraph" w:customStyle="1" w:styleId="383">
    <w:name w:val="CM49"/>
    <w:basedOn w:val="210"/>
    <w:next w:val="210"/>
    <w:qFormat/>
    <w:uiPriority w:val="0"/>
    <w:pPr>
      <w:spacing w:line="468" w:lineRule="atLeast"/>
    </w:pPr>
    <w:rPr>
      <w:rFonts w:ascii="宋体" w:cs="宋体"/>
      <w:color w:val="auto"/>
    </w:rPr>
  </w:style>
  <w:style w:type="paragraph" w:customStyle="1" w:styleId="384">
    <w:name w:val="Tegn Tegn"/>
    <w:basedOn w:val="1"/>
    <w:qFormat/>
    <w:uiPriority w:val="0"/>
    <w:rPr>
      <w:rFonts w:ascii="Tahoma" w:hAnsi="Tahoma"/>
      <w:sz w:val="24"/>
      <w:szCs w:val="20"/>
    </w:rPr>
  </w:style>
  <w:style w:type="paragraph" w:customStyle="1" w:styleId="385">
    <w:name w:val="Fließtext normal"/>
    <w:qFormat/>
    <w:uiPriority w:val="0"/>
    <w:pPr>
      <w:ind w:left="851"/>
      <w:jc w:val="both"/>
    </w:pPr>
    <w:rPr>
      <w:rFonts w:ascii="Arial" w:hAnsi="Arial" w:eastAsia="宋体" w:cs="Times New Roman"/>
      <w:sz w:val="22"/>
      <w:lang w:val="en-US" w:eastAsia="de-DE" w:bidi="ar-SA"/>
    </w:rPr>
  </w:style>
  <w:style w:type="paragraph" w:customStyle="1" w:styleId="386">
    <w:name w:val="样式3"/>
    <w:basedOn w:val="1"/>
    <w:next w:val="1"/>
    <w:qFormat/>
    <w:uiPriority w:val="0"/>
    <w:pPr>
      <w:widowControl/>
      <w:spacing w:beforeLines="50"/>
      <w:jc w:val="left"/>
    </w:pPr>
    <w:rPr>
      <w:rFonts w:ascii="Calibri" w:hAnsi="Calibri" w:eastAsia="黑体"/>
      <w:kern w:val="0"/>
      <w:sz w:val="28"/>
      <w:szCs w:val="96"/>
      <w:lang w:bidi="en-US"/>
    </w:rPr>
  </w:style>
  <w:style w:type="paragraph" w:customStyle="1" w:styleId="387">
    <w:name w:val="CM55"/>
    <w:basedOn w:val="210"/>
    <w:next w:val="210"/>
    <w:qFormat/>
    <w:uiPriority w:val="0"/>
    <w:pPr>
      <w:spacing w:line="466" w:lineRule="atLeast"/>
    </w:pPr>
    <w:rPr>
      <w:rFonts w:ascii="宋体" w:cs="宋体"/>
      <w:color w:val="auto"/>
    </w:rPr>
  </w:style>
  <w:style w:type="paragraph" w:customStyle="1" w:styleId="388">
    <w:name w:val="CM27"/>
    <w:basedOn w:val="210"/>
    <w:next w:val="210"/>
    <w:qFormat/>
    <w:uiPriority w:val="0"/>
    <w:pPr>
      <w:spacing w:line="468" w:lineRule="atLeast"/>
    </w:pPr>
    <w:rPr>
      <w:rFonts w:ascii="宋体" w:cs="宋体"/>
      <w:color w:val="auto"/>
    </w:rPr>
  </w:style>
  <w:style w:type="paragraph" w:customStyle="1" w:styleId="389">
    <w:name w:val="标题 11"/>
    <w:basedOn w:val="1"/>
    <w:qFormat/>
    <w:uiPriority w:val="1"/>
    <w:pPr>
      <w:autoSpaceDE w:val="0"/>
      <w:autoSpaceDN w:val="0"/>
      <w:spacing w:before="23"/>
      <w:ind w:left="487"/>
      <w:jc w:val="left"/>
      <w:outlineLvl w:val="1"/>
    </w:pPr>
    <w:rPr>
      <w:rFonts w:ascii="宋体" w:hAnsi="宋体" w:cs="宋体"/>
      <w:kern w:val="0"/>
      <w:sz w:val="26"/>
      <w:szCs w:val="26"/>
      <w:lang w:eastAsia="en-US"/>
    </w:rPr>
  </w:style>
  <w:style w:type="paragraph" w:customStyle="1" w:styleId="390">
    <w:name w:val="Header1"/>
    <w:basedOn w:val="210"/>
    <w:next w:val="210"/>
    <w:qFormat/>
    <w:uiPriority w:val="0"/>
    <w:pPr>
      <w:spacing w:line="360" w:lineRule="auto"/>
      <w:ind w:left="840" w:hanging="420"/>
      <w:jc w:val="both"/>
    </w:pPr>
    <w:rPr>
      <w:rFonts w:ascii="Want to be your sun" w:eastAsia="Want to be your sun"/>
      <w:color w:val="auto"/>
    </w:rPr>
  </w:style>
  <w:style w:type="paragraph" w:customStyle="1" w:styleId="391">
    <w:name w:val="标书正文+字母编号"/>
    <w:basedOn w:val="104"/>
    <w:qFormat/>
    <w:uiPriority w:val="0"/>
    <w:pPr>
      <w:widowControl/>
      <w:tabs>
        <w:tab w:val="left" w:pos="720"/>
      </w:tabs>
      <w:spacing w:line="300" w:lineRule="auto"/>
      <w:ind w:left="720" w:firstLine="0" w:firstLineChars="0"/>
      <w:jc w:val="left"/>
    </w:pPr>
    <w:rPr>
      <w:rFonts w:ascii="宋体" w:hAnsi="宋体" w:cs="Wonder Arial"/>
      <w:kern w:val="0"/>
      <w:sz w:val="21"/>
      <w:szCs w:val="21"/>
      <w:lang w:eastAsia="en-US" w:bidi="en-US"/>
    </w:rPr>
  </w:style>
  <w:style w:type="paragraph" w:customStyle="1" w:styleId="392">
    <w:name w:val="CM43"/>
    <w:basedOn w:val="210"/>
    <w:next w:val="210"/>
    <w:qFormat/>
    <w:uiPriority w:val="0"/>
    <w:pPr>
      <w:spacing w:line="466" w:lineRule="atLeast"/>
    </w:pPr>
    <w:rPr>
      <w:rFonts w:ascii="宋体" w:cs="宋体"/>
      <w:color w:val="auto"/>
    </w:rPr>
  </w:style>
  <w:style w:type="paragraph" w:customStyle="1" w:styleId="393">
    <w:name w:val="正文文本1"/>
    <w:basedOn w:val="1"/>
    <w:qFormat/>
    <w:uiPriority w:val="0"/>
    <w:pPr>
      <w:widowControl/>
      <w:spacing w:line="480" w:lineRule="auto"/>
      <w:jc w:val="left"/>
    </w:pPr>
    <w:rPr>
      <w:rFonts w:eastAsia="Ms"/>
      <w:kern w:val="0"/>
      <w:sz w:val="24"/>
      <w:szCs w:val="20"/>
      <w:lang w:eastAsia="ja-JP"/>
    </w:rPr>
  </w:style>
  <w:style w:type="paragraph" w:customStyle="1" w:styleId="394">
    <w:name w:val="CM2"/>
    <w:basedOn w:val="210"/>
    <w:next w:val="210"/>
    <w:qFormat/>
    <w:uiPriority w:val="0"/>
    <w:pPr>
      <w:spacing w:line="466" w:lineRule="atLeast"/>
    </w:pPr>
    <w:rPr>
      <w:rFonts w:ascii="宋体" w:cs="宋体"/>
      <w:color w:val="auto"/>
    </w:rPr>
  </w:style>
  <w:style w:type="paragraph" w:customStyle="1" w:styleId="395">
    <w:name w:val="CM62"/>
    <w:basedOn w:val="210"/>
    <w:next w:val="210"/>
    <w:qFormat/>
    <w:uiPriority w:val="0"/>
    <w:pPr>
      <w:spacing w:after="468"/>
    </w:pPr>
    <w:rPr>
      <w:rFonts w:ascii="宋体" w:cs="宋体"/>
      <w:color w:val="auto"/>
    </w:rPr>
  </w:style>
  <w:style w:type="paragraph" w:customStyle="1" w:styleId="396">
    <w:name w:val="正文首行缩进1"/>
    <w:basedOn w:val="17"/>
    <w:qFormat/>
    <w:uiPriority w:val="0"/>
    <w:pPr>
      <w:widowControl/>
      <w:spacing w:after="120" w:line="360" w:lineRule="atLeast"/>
      <w:ind w:firstLine="420"/>
      <w:jc w:val="left"/>
      <w:textAlignment w:val="baseline"/>
    </w:pPr>
    <w:rPr>
      <w:rFonts w:ascii="Calibri" w:hAnsi="Calibri"/>
      <w:szCs w:val="20"/>
      <w:lang w:eastAsia="en-US"/>
    </w:rPr>
  </w:style>
  <w:style w:type="paragraph" w:customStyle="1" w:styleId="397">
    <w:name w:val="CM21"/>
    <w:basedOn w:val="210"/>
    <w:next w:val="210"/>
    <w:qFormat/>
    <w:uiPriority w:val="0"/>
    <w:pPr>
      <w:spacing w:line="468" w:lineRule="atLeast"/>
    </w:pPr>
    <w:rPr>
      <w:rFonts w:ascii="宋体" w:cs="宋体"/>
      <w:color w:val="auto"/>
    </w:rPr>
  </w:style>
  <w:style w:type="paragraph" w:customStyle="1" w:styleId="398">
    <w:name w:val="CM59"/>
    <w:basedOn w:val="210"/>
    <w:next w:val="210"/>
    <w:qFormat/>
    <w:uiPriority w:val="0"/>
    <w:pPr>
      <w:spacing w:after="180"/>
    </w:pPr>
    <w:rPr>
      <w:rFonts w:ascii="宋体" w:cs="宋体"/>
      <w:color w:val="auto"/>
    </w:rPr>
  </w:style>
  <w:style w:type="paragraph" w:customStyle="1" w:styleId="399">
    <w:name w:val="p1"/>
    <w:basedOn w:val="1"/>
    <w:qFormat/>
    <w:uiPriority w:val="0"/>
    <w:pPr>
      <w:jc w:val="left"/>
    </w:pPr>
    <w:rPr>
      <w:rFonts w:ascii="Calibri" w:hAnsi="Calibri"/>
      <w:kern w:val="0"/>
    </w:rPr>
  </w:style>
  <w:style w:type="paragraph" w:customStyle="1" w:styleId="400">
    <w:name w:val="CM53"/>
    <w:basedOn w:val="210"/>
    <w:next w:val="210"/>
    <w:qFormat/>
    <w:uiPriority w:val="0"/>
    <w:pPr>
      <w:spacing w:line="416" w:lineRule="atLeast"/>
    </w:pPr>
    <w:rPr>
      <w:rFonts w:ascii="宋体" w:cs="宋体"/>
      <w:color w:val="auto"/>
    </w:rPr>
  </w:style>
  <w:style w:type="paragraph" w:customStyle="1" w:styleId="401">
    <w:name w:val="CM60"/>
    <w:basedOn w:val="210"/>
    <w:next w:val="210"/>
    <w:qFormat/>
    <w:uiPriority w:val="0"/>
    <w:pPr>
      <w:spacing w:after="355"/>
    </w:pPr>
    <w:rPr>
      <w:rFonts w:ascii="宋体" w:cs="宋体"/>
      <w:color w:val="auto"/>
    </w:rPr>
  </w:style>
  <w:style w:type="paragraph" w:customStyle="1" w:styleId="402">
    <w:name w:val="章标题"/>
    <w:next w:val="241"/>
    <w:qFormat/>
    <w:uiPriority w:val="0"/>
    <w:pPr>
      <w:widowControl w:val="0"/>
      <w:adjustRightInd w:val="0"/>
      <w:spacing w:before="100" w:after="100" w:line="360" w:lineRule="auto"/>
      <w:jc w:val="center"/>
      <w:outlineLvl w:val="0"/>
    </w:pPr>
    <w:rPr>
      <w:rFonts w:ascii="Times New Roman" w:hAnsi="Times New Roman" w:eastAsia="黑体" w:cs="Times New Roman"/>
      <w:kern w:val="44"/>
      <w:sz w:val="36"/>
      <w:szCs w:val="44"/>
      <w:lang w:val="en-US" w:eastAsia="zh-CN" w:bidi="ar-SA"/>
    </w:rPr>
  </w:style>
  <w:style w:type="paragraph" w:customStyle="1" w:styleId="403">
    <w:name w:val="CM4"/>
    <w:basedOn w:val="210"/>
    <w:next w:val="210"/>
    <w:qFormat/>
    <w:uiPriority w:val="0"/>
    <w:pPr>
      <w:spacing w:line="468" w:lineRule="atLeast"/>
    </w:pPr>
    <w:rPr>
      <w:rFonts w:ascii="宋体" w:cs="宋体"/>
      <w:color w:val="auto"/>
    </w:rPr>
  </w:style>
  <w:style w:type="paragraph" w:customStyle="1" w:styleId="404">
    <w:name w:val="样式4"/>
    <w:basedOn w:val="1"/>
    <w:next w:val="1"/>
    <w:qFormat/>
    <w:uiPriority w:val="0"/>
    <w:pPr>
      <w:widowControl/>
      <w:spacing w:beforeLines="50"/>
      <w:jc w:val="left"/>
    </w:pPr>
    <w:rPr>
      <w:rFonts w:ascii="Calibri" w:hAnsi="Calibri" w:eastAsia="黑体"/>
      <w:kern w:val="0"/>
      <w:sz w:val="24"/>
      <w:szCs w:val="22"/>
      <w:lang w:bidi="en-US"/>
    </w:rPr>
  </w:style>
  <w:style w:type="paragraph" w:customStyle="1" w:styleId="405">
    <w:name w:val="一级条标题"/>
    <w:basedOn w:val="402"/>
    <w:next w:val="241"/>
    <w:qFormat/>
    <w:uiPriority w:val="0"/>
    <w:pPr>
      <w:spacing w:before="0" w:after="0"/>
      <w:ind w:left="180" w:hanging="420"/>
      <w:outlineLvl w:val="2"/>
    </w:pPr>
  </w:style>
  <w:style w:type="paragraph" w:customStyle="1" w:styleId="406">
    <w:name w:val="CM13"/>
    <w:basedOn w:val="210"/>
    <w:next w:val="210"/>
    <w:qFormat/>
    <w:uiPriority w:val="0"/>
    <w:pPr>
      <w:spacing w:line="468" w:lineRule="atLeast"/>
    </w:pPr>
    <w:rPr>
      <w:rFonts w:ascii="宋体" w:cs="宋体"/>
      <w:color w:val="auto"/>
    </w:rPr>
  </w:style>
  <w:style w:type="paragraph" w:customStyle="1" w:styleId="407">
    <w:name w:val="标书1级"/>
    <w:basedOn w:val="1"/>
    <w:qFormat/>
    <w:uiPriority w:val="0"/>
    <w:pPr>
      <w:numPr>
        <w:ilvl w:val="0"/>
        <w:numId w:val="2"/>
      </w:numPr>
      <w:tabs>
        <w:tab w:val="left" w:pos="425"/>
        <w:tab w:val="left" w:pos="483"/>
      </w:tabs>
      <w:spacing w:before="156" w:after="156" w:line="300" w:lineRule="auto"/>
      <w:jc w:val="left"/>
      <w:outlineLvl w:val="0"/>
    </w:pPr>
    <w:rPr>
      <w:rFonts w:ascii="Arial" w:hAnsi="Arial" w:cs="Arial"/>
      <w:b/>
      <w:bCs/>
      <w:kern w:val="44"/>
      <w:sz w:val="28"/>
      <w:szCs w:val="20"/>
    </w:rPr>
  </w:style>
  <w:style w:type="paragraph" w:customStyle="1" w:styleId="408">
    <w:name w:val="样式 标题 3 + 首行缩进:  2 字符"/>
    <w:basedOn w:val="4"/>
    <w:semiHidden/>
    <w:qFormat/>
    <w:uiPriority w:val="0"/>
    <w:pPr>
      <w:keepLines w:val="0"/>
      <w:widowControl/>
      <w:spacing w:before="100" w:after="100" w:line="240" w:lineRule="auto"/>
      <w:jc w:val="left"/>
    </w:pPr>
    <w:rPr>
      <w:rFonts w:ascii="Cambria" w:hAnsi="Cambria" w:cs="宋体"/>
      <w:sz w:val="24"/>
      <w:szCs w:val="20"/>
      <w:lang w:eastAsia="en-US" w:bidi="en-US"/>
    </w:rPr>
  </w:style>
  <w:style w:type="paragraph" w:customStyle="1" w:styleId="409">
    <w:name w:val="F1"/>
    <w:basedOn w:val="1"/>
    <w:qFormat/>
    <w:uiPriority w:val="0"/>
    <w:pPr>
      <w:widowControl/>
      <w:tabs>
        <w:tab w:val="left" w:pos="1418"/>
        <w:tab w:val="left" w:pos="1985"/>
        <w:tab w:val="left" w:pos="2552"/>
      </w:tabs>
      <w:spacing w:after="240" w:line="240" w:lineRule="atLeast"/>
      <w:ind w:left="1418"/>
      <w:jc w:val="left"/>
    </w:pPr>
    <w:rPr>
      <w:rFonts w:ascii="Arial" w:hAnsi="Arial"/>
      <w:kern w:val="0"/>
      <w:sz w:val="22"/>
      <w:szCs w:val="20"/>
      <w:lang w:val="de-DE" w:eastAsia="de-DE"/>
    </w:rPr>
  </w:style>
  <w:style w:type="paragraph" w:customStyle="1" w:styleId="410">
    <w:name w:val="三级无标题条"/>
    <w:basedOn w:val="1"/>
    <w:qFormat/>
    <w:uiPriority w:val="0"/>
    <w:pPr>
      <w:widowControl/>
      <w:spacing w:line="360" w:lineRule="auto"/>
      <w:ind w:left="840" w:hanging="420"/>
    </w:pPr>
    <w:rPr>
      <w:rFonts w:eastAsia="黑体"/>
    </w:rPr>
  </w:style>
  <w:style w:type="paragraph" w:customStyle="1" w:styleId="411">
    <w:name w:val="ordinary-output"/>
    <w:basedOn w:val="1"/>
    <w:qFormat/>
    <w:uiPriority w:val="0"/>
    <w:pPr>
      <w:widowControl/>
      <w:spacing w:before="100" w:beforeAutospacing="1" w:after="75" w:line="330" w:lineRule="atLeast"/>
      <w:ind w:left="840" w:hanging="420"/>
    </w:pPr>
    <w:rPr>
      <w:rFonts w:ascii="宋体" w:hAnsi="宋体" w:cs="宋体"/>
      <w:color w:val="333333"/>
      <w:sz w:val="27"/>
      <w:szCs w:val="27"/>
    </w:rPr>
  </w:style>
  <w:style w:type="paragraph" w:customStyle="1" w:styleId="412">
    <w:name w:val="CM34"/>
    <w:basedOn w:val="210"/>
    <w:next w:val="210"/>
    <w:qFormat/>
    <w:uiPriority w:val="0"/>
    <w:pPr>
      <w:spacing w:line="468" w:lineRule="atLeast"/>
    </w:pPr>
    <w:rPr>
      <w:rFonts w:ascii="宋体" w:cs="宋体"/>
      <w:color w:val="auto"/>
    </w:rPr>
  </w:style>
  <w:style w:type="paragraph" w:customStyle="1" w:styleId="413">
    <w:name w:val="样式 标题 1 + Arial 小四 段前: 0 磅 段后: 0 磅 行距: 多倍行距 1.25 字行"/>
    <w:basedOn w:val="2"/>
    <w:qFormat/>
    <w:uiPriority w:val="99"/>
    <w:pPr>
      <w:widowControl/>
      <w:tabs>
        <w:tab w:val="left" w:pos="425"/>
      </w:tabs>
      <w:spacing w:before="50" w:beforeLines="50"/>
      <w:ind w:left="425" w:hanging="425"/>
    </w:pPr>
    <w:rPr>
      <w:rFonts w:ascii="Arial" w:hAnsi="宋体" w:cs="宋体"/>
      <w:sz w:val="24"/>
      <w:szCs w:val="20"/>
    </w:rPr>
  </w:style>
  <w:style w:type="paragraph" w:customStyle="1" w:styleId="414">
    <w:name w:val="CM31"/>
    <w:basedOn w:val="210"/>
    <w:next w:val="210"/>
    <w:qFormat/>
    <w:uiPriority w:val="0"/>
    <w:rPr>
      <w:rFonts w:ascii="宋体" w:cs="宋体"/>
      <w:color w:val="auto"/>
    </w:rPr>
  </w:style>
  <w:style w:type="paragraph" w:customStyle="1" w:styleId="415">
    <w:name w:val="xl36"/>
    <w:basedOn w:val="1"/>
    <w:qFormat/>
    <w:uiPriority w:val="0"/>
    <w:pPr>
      <w:widowControl/>
      <w:spacing w:before="100" w:beforeAutospacing="1" w:after="100" w:afterAutospacing="1"/>
      <w:jc w:val="center"/>
    </w:pPr>
    <w:rPr>
      <w:rFonts w:ascii="Wonder Arial" w:hAnsi="Wonder Arial" w:eastAsia="Wonder Arial" w:cs="Wonder Arial"/>
      <w:kern w:val="0"/>
      <w:sz w:val="44"/>
      <w:szCs w:val="44"/>
    </w:rPr>
  </w:style>
  <w:style w:type="paragraph" w:customStyle="1" w:styleId="416">
    <w:name w:val="reader-word-layer"/>
    <w:basedOn w:val="1"/>
    <w:qFormat/>
    <w:uiPriority w:val="0"/>
    <w:pPr>
      <w:widowControl/>
      <w:spacing w:before="100" w:beforeAutospacing="1" w:after="100" w:afterAutospacing="1" w:line="360" w:lineRule="auto"/>
      <w:ind w:left="840" w:hanging="420"/>
      <w:jc w:val="left"/>
    </w:pPr>
    <w:rPr>
      <w:rFonts w:ascii="宋体" w:hAnsi="宋体" w:cs="宋体"/>
      <w:kern w:val="0"/>
      <w:sz w:val="24"/>
    </w:rPr>
  </w:style>
  <w:style w:type="paragraph" w:customStyle="1" w:styleId="417">
    <w:name w:val="CM45"/>
    <w:basedOn w:val="210"/>
    <w:next w:val="210"/>
    <w:qFormat/>
    <w:uiPriority w:val="0"/>
    <w:pPr>
      <w:spacing w:line="468" w:lineRule="atLeast"/>
    </w:pPr>
    <w:rPr>
      <w:rFonts w:ascii="宋体" w:cs="宋体"/>
      <w:color w:val="auto"/>
    </w:rPr>
  </w:style>
  <w:style w:type="paragraph" w:customStyle="1" w:styleId="418">
    <w:name w:val="四级条标题"/>
    <w:basedOn w:val="419"/>
    <w:next w:val="241"/>
    <w:qFormat/>
    <w:uiPriority w:val="0"/>
    <w:pPr>
      <w:outlineLvl w:val="5"/>
    </w:pPr>
  </w:style>
  <w:style w:type="paragraph" w:customStyle="1" w:styleId="419">
    <w:name w:val="三级条标题"/>
    <w:basedOn w:val="420"/>
    <w:next w:val="241"/>
    <w:qFormat/>
    <w:uiPriority w:val="0"/>
    <w:pPr>
      <w:ind w:left="0" w:firstLine="0"/>
      <w:outlineLvl w:val="4"/>
    </w:pPr>
  </w:style>
  <w:style w:type="paragraph" w:customStyle="1" w:styleId="420">
    <w:name w:val="二级条标题"/>
    <w:basedOn w:val="405"/>
    <w:next w:val="241"/>
    <w:qFormat/>
    <w:uiPriority w:val="0"/>
    <w:pPr>
      <w:ind w:left="840" w:hanging="840"/>
      <w:outlineLvl w:val="3"/>
    </w:pPr>
    <w:rPr>
      <w:rFonts w:hAnsi="宋体"/>
    </w:rPr>
  </w:style>
  <w:style w:type="paragraph" w:customStyle="1" w:styleId="421">
    <w:name w:val="Body Text Indent 21"/>
    <w:basedOn w:val="1"/>
    <w:qFormat/>
    <w:uiPriority w:val="0"/>
    <w:pPr>
      <w:widowControl/>
      <w:tabs>
        <w:tab w:val="left" w:pos="851"/>
      </w:tabs>
      <w:ind w:left="1134"/>
    </w:pPr>
    <w:rPr>
      <w:rFonts w:ascii="Arial" w:hAnsi="Arial"/>
      <w:kern w:val="0"/>
      <w:sz w:val="24"/>
      <w:szCs w:val="20"/>
      <w:lang w:val="de-DE" w:eastAsia="de-DE"/>
    </w:rPr>
  </w:style>
  <w:style w:type="paragraph" w:customStyle="1" w:styleId="422">
    <w:name w:val="标书4级"/>
    <w:basedOn w:val="423"/>
    <w:qFormat/>
    <w:uiPriority w:val="0"/>
    <w:pPr>
      <w:numPr>
        <w:ilvl w:val="3"/>
      </w:numPr>
      <w:tabs>
        <w:tab w:val="left" w:pos="709"/>
        <w:tab w:val="left" w:pos="851"/>
      </w:tabs>
      <w:spacing w:before="100" w:beforeAutospacing="1" w:after="100" w:afterAutospacing="1"/>
      <w:outlineLvl w:val="3"/>
    </w:pPr>
    <w:rPr>
      <w:rFonts w:ascii="宋体" w:hAnsi="宋体" w:cs="Times New Roman"/>
      <w:kern w:val="2"/>
      <w:sz w:val="21"/>
      <w:szCs w:val="21"/>
    </w:rPr>
  </w:style>
  <w:style w:type="paragraph" w:customStyle="1" w:styleId="423">
    <w:name w:val="标书3级"/>
    <w:basedOn w:val="1"/>
    <w:qFormat/>
    <w:uiPriority w:val="0"/>
    <w:pPr>
      <w:numPr>
        <w:ilvl w:val="2"/>
        <w:numId w:val="2"/>
      </w:numPr>
      <w:tabs>
        <w:tab w:val="left" w:pos="709"/>
      </w:tabs>
      <w:spacing w:line="300" w:lineRule="auto"/>
      <w:jc w:val="left"/>
      <w:outlineLvl w:val="2"/>
    </w:pPr>
    <w:rPr>
      <w:rFonts w:ascii="Arial" w:hAnsi="Arial" w:cs="Arial"/>
      <w:bCs/>
      <w:kern w:val="0"/>
      <w:sz w:val="24"/>
      <w:szCs w:val="20"/>
    </w:rPr>
  </w:style>
  <w:style w:type="paragraph" w:customStyle="1" w:styleId="424">
    <w:name w:val="CM19"/>
    <w:basedOn w:val="210"/>
    <w:next w:val="210"/>
    <w:qFormat/>
    <w:uiPriority w:val="0"/>
    <w:pPr>
      <w:spacing w:line="471" w:lineRule="atLeast"/>
    </w:pPr>
    <w:rPr>
      <w:rFonts w:ascii="宋体" w:cs="宋体"/>
      <w:color w:val="auto"/>
    </w:rPr>
  </w:style>
  <w:style w:type="paragraph" w:customStyle="1" w:styleId="425">
    <w:name w:val="CM35"/>
    <w:basedOn w:val="210"/>
    <w:next w:val="210"/>
    <w:qFormat/>
    <w:uiPriority w:val="0"/>
    <w:pPr>
      <w:spacing w:line="468" w:lineRule="atLeast"/>
    </w:pPr>
    <w:rPr>
      <w:rFonts w:ascii="宋体" w:cs="宋体"/>
      <w:color w:val="auto"/>
    </w:rPr>
  </w:style>
  <w:style w:type="paragraph" w:customStyle="1" w:styleId="426">
    <w:name w:val="p2"/>
    <w:basedOn w:val="1"/>
    <w:qFormat/>
    <w:uiPriority w:val="0"/>
    <w:pPr>
      <w:jc w:val="left"/>
    </w:pPr>
    <w:rPr>
      <w:rFonts w:ascii="Calibri" w:hAnsi="Calibri"/>
      <w:kern w:val="0"/>
    </w:rPr>
  </w:style>
  <w:style w:type="paragraph" w:customStyle="1" w:styleId="427">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428">
    <w:name w:val="CM28"/>
    <w:basedOn w:val="210"/>
    <w:next w:val="210"/>
    <w:qFormat/>
    <w:uiPriority w:val="0"/>
    <w:pPr>
      <w:spacing w:line="468" w:lineRule="atLeast"/>
    </w:pPr>
    <w:rPr>
      <w:rFonts w:ascii="宋体" w:cs="宋体"/>
      <w:color w:val="auto"/>
    </w:rPr>
  </w:style>
  <w:style w:type="paragraph" w:customStyle="1" w:styleId="429">
    <w:name w:val="CM7"/>
    <w:basedOn w:val="210"/>
    <w:next w:val="210"/>
    <w:qFormat/>
    <w:uiPriority w:val="0"/>
    <w:pPr>
      <w:spacing w:line="468" w:lineRule="atLeast"/>
    </w:pPr>
    <w:rPr>
      <w:rFonts w:ascii="宋体" w:cs="宋体"/>
      <w:color w:val="auto"/>
    </w:rPr>
  </w:style>
  <w:style w:type="paragraph" w:customStyle="1" w:styleId="430">
    <w:name w:val="CM18"/>
    <w:basedOn w:val="210"/>
    <w:next w:val="210"/>
    <w:qFormat/>
    <w:uiPriority w:val="0"/>
    <w:pPr>
      <w:spacing w:line="468" w:lineRule="atLeast"/>
    </w:pPr>
    <w:rPr>
      <w:rFonts w:ascii="宋体" w:cs="宋体"/>
      <w:color w:val="auto"/>
    </w:rPr>
  </w:style>
  <w:style w:type="paragraph" w:customStyle="1" w:styleId="431">
    <w:name w:val="CM33"/>
    <w:basedOn w:val="210"/>
    <w:next w:val="210"/>
    <w:qFormat/>
    <w:uiPriority w:val="0"/>
    <w:pPr>
      <w:spacing w:line="468" w:lineRule="atLeast"/>
    </w:pPr>
    <w:rPr>
      <w:rFonts w:ascii="宋体" w:cs="宋体"/>
      <w:color w:val="auto"/>
    </w:rPr>
  </w:style>
  <w:style w:type="paragraph" w:customStyle="1" w:styleId="432">
    <w:name w:val="CM3"/>
    <w:basedOn w:val="210"/>
    <w:next w:val="210"/>
    <w:qFormat/>
    <w:uiPriority w:val="0"/>
    <w:rPr>
      <w:rFonts w:ascii="宋体" w:cs="宋体"/>
      <w:color w:val="auto"/>
    </w:rPr>
  </w:style>
  <w:style w:type="paragraph" w:customStyle="1" w:styleId="433">
    <w:name w:val="Style Style 四号 Bold Black Line spacing:  1.5 lines + 12 pt Right: ..."/>
    <w:basedOn w:val="1"/>
    <w:qFormat/>
    <w:uiPriority w:val="0"/>
    <w:pPr>
      <w:widowControl/>
      <w:spacing w:before="100" w:beforeAutospacing="1" w:after="100" w:afterAutospacing="1" w:line="360" w:lineRule="auto"/>
      <w:ind w:left="840" w:right="102" w:rightChars="102" w:hanging="420"/>
    </w:pPr>
    <w:rPr>
      <w:rFonts w:ascii="Arial" w:hAnsi="Arial" w:cs="宋体"/>
      <w:b/>
      <w:bCs/>
      <w:color w:val="000000"/>
      <w:kern w:val="0"/>
      <w:sz w:val="24"/>
      <w:szCs w:val="20"/>
    </w:rPr>
  </w:style>
  <w:style w:type="paragraph" w:customStyle="1" w:styleId="434">
    <w:name w:val="CM8"/>
    <w:basedOn w:val="210"/>
    <w:next w:val="210"/>
    <w:qFormat/>
    <w:uiPriority w:val="0"/>
    <w:pPr>
      <w:spacing w:line="466" w:lineRule="atLeast"/>
    </w:pPr>
    <w:rPr>
      <w:rFonts w:ascii="宋体" w:cs="宋体"/>
      <w:color w:val="auto"/>
    </w:rPr>
  </w:style>
  <w:style w:type="paragraph" w:customStyle="1" w:styleId="435">
    <w:name w:val="CM65"/>
    <w:basedOn w:val="210"/>
    <w:next w:val="210"/>
    <w:qFormat/>
    <w:uiPriority w:val="0"/>
    <w:pPr>
      <w:spacing w:after="735"/>
    </w:pPr>
    <w:rPr>
      <w:rFonts w:ascii="宋体" w:cs="宋体"/>
      <w:color w:val="auto"/>
    </w:rPr>
  </w:style>
  <w:style w:type="paragraph" w:customStyle="1" w:styleId="436">
    <w:name w:val="Char Char Char Char Char Char Char Char Char Char Char Char Char Char Char Char Char"/>
    <w:basedOn w:val="1"/>
    <w:qFormat/>
    <w:uiPriority w:val="0"/>
    <w:rPr>
      <w:rFonts w:ascii="仿宋_GB2312" w:hAnsi="宋体" w:eastAsia="仿宋_GB2312"/>
      <w:b/>
      <w:sz w:val="28"/>
      <w:szCs w:val="28"/>
    </w:rPr>
  </w:style>
  <w:style w:type="paragraph" w:customStyle="1" w:styleId="437">
    <w:name w:val="CM6"/>
    <w:basedOn w:val="210"/>
    <w:next w:val="210"/>
    <w:qFormat/>
    <w:uiPriority w:val="0"/>
    <w:pPr>
      <w:spacing w:line="468" w:lineRule="atLeast"/>
    </w:pPr>
    <w:rPr>
      <w:rFonts w:ascii="宋体" w:cs="宋体"/>
      <w:color w:val="auto"/>
    </w:rPr>
  </w:style>
  <w:style w:type="paragraph" w:customStyle="1" w:styleId="438">
    <w:name w:val="STANDARD 2"/>
    <w:basedOn w:val="1"/>
    <w:qFormat/>
    <w:uiPriority w:val="0"/>
    <w:pPr>
      <w:widowControl/>
      <w:spacing w:line="360" w:lineRule="auto"/>
      <w:ind w:left="1020" w:hanging="420"/>
    </w:pPr>
    <w:rPr>
      <w:kern w:val="0"/>
      <w:sz w:val="24"/>
      <w:szCs w:val="20"/>
      <w:lang w:val="fr-FR" w:eastAsia="en-US"/>
    </w:rPr>
  </w:style>
  <w:style w:type="character" w:customStyle="1" w:styleId="439">
    <w:name w:val="引用 字符2"/>
    <w:basedOn w:val="46"/>
    <w:qFormat/>
    <w:uiPriority w:val="29"/>
    <w:rPr>
      <w:i/>
      <w:iCs/>
      <w:color w:val="404040" w:themeColor="text1" w:themeTint="BF"/>
      <w:kern w:val="2"/>
      <w:sz w:val="21"/>
      <w:szCs w:val="24"/>
      <w14:textFill>
        <w14:solidFill>
          <w14:schemeClr w14:val="tx1">
            <w14:lumMod w14:val="75000"/>
            <w14:lumOff w14:val="25000"/>
          </w14:schemeClr>
        </w14:solidFill>
      </w14:textFill>
    </w:rPr>
  </w:style>
  <w:style w:type="paragraph" w:customStyle="1" w:styleId="440">
    <w:name w:val="Nrml Indnt"/>
    <w:basedOn w:val="1"/>
    <w:qFormat/>
    <w:uiPriority w:val="0"/>
    <w:pPr>
      <w:widowControl/>
      <w:ind w:left="1440"/>
      <w:jc w:val="left"/>
    </w:pPr>
    <w:rPr>
      <w:rFonts w:ascii="Arial" w:hAnsi="Arial" w:cs="Arial"/>
      <w:kern w:val="0"/>
      <w:sz w:val="24"/>
      <w:lang w:eastAsia="en-US"/>
    </w:rPr>
  </w:style>
  <w:style w:type="paragraph" w:customStyle="1" w:styleId="441">
    <w:name w:val="TOC 标题3"/>
    <w:basedOn w:val="2"/>
    <w:next w:val="1"/>
    <w:unhideWhenUsed/>
    <w:qFormat/>
    <w:uiPriority w:val="39"/>
    <w:pPr>
      <w:widowControl/>
      <w:spacing w:before="240" w:line="259" w:lineRule="auto"/>
      <w:ind w:left="840" w:hanging="420"/>
      <w:jc w:val="left"/>
      <w:outlineLvl w:val="9"/>
    </w:pPr>
    <w:rPr>
      <w:rFonts w:ascii="Cambria" w:hAnsi="Cambria"/>
      <w:color w:val="365F91"/>
      <w:kern w:val="0"/>
      <w:szCs w:val="32"/>
    </w:rPr>
  </w:style>
  <w:style w:type="paragraph" w:customStyle="1" w:styleId="442">
    <w:name w:val="文本块1"/>
    <w:basedOn w:val="1"/>
    <w:qFormat/>
    <w:uiPriority w:val="0"/>
    <w:pPr>
      <w:widowControl/>
      <w:tabs>
        <w:tab w:val="left" w:pos="1680"/>
        <w:tab w:val="left" w:pos="2280"/>
      </w:tabs>
      <w:spacing w:line="240" w:lineRule="atLeast"/>
      <w:ind w:left="1135" w:right="-1" w:hanging="1135"/>
      <w:jc w:val="left"/>
    </w:pPr>
    <w:rPr>
      <w:rFonts w:ascii="Arial" w:hAnsi="Arial"/>
      <w:kern w:val="0"/>
      <w:sz w:val="22"/>
      <w:szCs w:val="20"/>
      <w:lang w:val="de-DE"/>
    </w:rPr>
  </w:style>
  <w:style w:type="paragraph" w:customStyle="1" w:styleId="443">
    <w:name w:val="WW-文档结构图"/>
    <w:basedOn w:val="1"/>
    <w:next w:val="1"/>
    <w:qFormat/>
    <w:uiPriority w:val="0"/>
    <w:pPr>
      <w:spacing w:line="360" w:lineRule="auto"/>
    </w:pPr>
    <w:rPr>
      <w:kern w:val="0"/>
      <w:sz w:val="20"/>
      <w:szCs w:val="20"/>
      <w:u w:color="000000"/>
    </w:rPr>
  </w:style>
  <w:style w:type="paragraph" w:customStyle="1" w:styleId="444">
    <w:name w:val="CM46"/>
    <w:basedOn w:val="210"/>
    <w:next w:val="210"/>
    <w:qFormat/>
    <w:uiPriority w:val="0"/>
    <w:pPr>
      <w:spacing w:after="185"/>
    </w:pPr>
    <w:rPr>
      <w:rFonts w:ascii="宋体" w:cs="宋体"/>
      <w:color w:val="auto"/>
    </w:rPr>
  </w:style>
  <w:style w:type="paragraph" w:customStyle="1" w:styleId="445">
    <w:name w:val="标2"/>
    <w:basedOn w:val="446"/>
    <w:qFormat/>
    <w:uiPriority w:val="0"/>
  </w:style>
  <w:style w:type="paragraph" w:customStyle="1" w:styleId="446">
    <w:name w:val="样式 标题 2 + 首行缩进:  2 字符"/>
    <w:basedOn w:val="3"/>
    <w:semiHidden/>
    <w:qFormat/>
    <w:uiPriority w:val="0"/>
    <w:pPr>
      <w:widowControl/>
      <w:spacing w:before="200" w:after="200" w:line="360" w:lineRule="auto"/>
      <w:jc w:val="left"/>
    </w:pPr>
    <w:rPr>
      <w:rFonts w:ascii="Cambria" w:hAnsi="Cambria" w:eastAsia="宋体" w:cs="宋体"/>
      <w:i/>
      <w:iCs/>
      <w:sz w:val="28"/>
      <w:szCs w:val="20"/>
      <w:lang w:eastAsia="en-US" w:bidi="en-US"/>
    </w:rPr>
  </w:style>
  <w:style w:type="paragraph" w:customStyle="1" w:styleId="447">
    <w:name w:val="CM29"/>
    <w:basedOn w:val="210"/>
    <w:next w:val="210"/>
    <w:qFormat/>
    <w:uiPriority w:val="0"/>
    <w:pPr>
      <w:spacing w:line="466" w:lineRule="atLeast"/>
    </w:pPr>
    <w:rPr>
      <w:rFonts w:ascii="宋体" w:cs="宋体"/>
      <w:color w:val="auto"/>
    </w:rPr>
  </w:style>
  <w:style w:type="paragraph" w:customStyle="1" w:styleId="448">
    <w:name w:val="Aufzählung"/>
    <w:basedOn w:val="17"/>
    <w:qFormat/>
    <w:uiPriority w:val="0"/>
    <w:pPr>
      <w:widowControl/>
      <w:tabs>
        <w:tab w:val="left" w:pos="2268"/>
      </w:tabs>
      <w:spacing w:before="115" w:line="240" w:lineRule="auto"/>
      <w:ind w:left="2268" w:hanging="284"/>
    </w:pPr>
    <w:rPr>
      <w:rFonts w:ascii="宋体" w:hAnsi="宋体"/>
      <w:szCs w:val="20"/>
      <w:lang w:val="de-DE" w:eastAsia="de-DE"/>
    </w:rPr>
  </w:style>
  <w:style w:type="paragraph" w:customStyle="1" w:styleId="449">
    <w:name w:val="注释"/>
    <w:basedOn w:val="1"/>
    <w:next w:val="1"/>
    <w:qFormat/>
    <w:uiPriority w:val="0"/>
    <w:pPr>
      <w:widowControl/>
      <w:spacing w:line="360" w:lineRule="auto"/>
      <w:ind w:left="200" w:leftChars="200" w:hanging="420"/>
    </w:pPr>
    <w:rPr>
      <w:b/>
      <w:szCs w:val="20"/>
    </w:rPr>
  </w:style>
  <w:style w:type="paragraph" w:customStyle="1" w:styleId="450">
    <w:name w:val="四级无标题条"/>
    <w:basedOn w:val="1"/>
    <w:qFormat/>
    <w:uiPriority w:val="0"/>
    <w:pPr>
      <w:widowControl/>
      <w:spacing w:line="360" w:lineRule="auto"/>
      <w:ind w:left="840" w:hanging="420"/>
    </w:pPr>
    <w:rPr>
      <w:rFonts w:eastAsia="黑体"/>
    </w:rPr>
  </w:style>
  <w:style w:type="paragraph" w:customStyle="1" w:styleId="451">
    <w:name w:val="五级无标题条"/>
    <w:basedOn w:val="1"/>
    <w:qFormat/>
    <w:uiPriority w:val="0"/>
    <w:pPr>
      <w:widowControl/>
      <w:spacing w:line="360" w:lineRule="auto"/>
      <w:ind w:left="840" w:hanging="420"/>
    </w:pPr>
    <w:rPr>
      <w:rFonts w:eastAsia="黑体"/>
    </w:rPr>
  </w:style>
  <w:style w:type="paragraph" w:customStyle="1" w:styleId="452">
    <w:name w:val="Angeb-Text"/>
    <w:basedOn w:val="1"/>
    <w:qFormat/>
    <w:uiPriority w:val="0"/>
    <w:pPr>
      <w:tabs>
        <w:tab w:val="left" w:pos="-794"/>
        <w:tab w:val="left" w:pos="-283"/>
        <w:tab w:val="left" w:pos="1132"/>
        <w:tab w:val="left" w:pos="1417"/>
        <w:tab w:val="left" w:pos="1984"/>
        <w:tab w:val="left" w:pos="2551"/>
        <w:tab w:val="left" w:pos="3118"/>
        <w:tab w:val="left" w:pos="3685"/>
        <w:tab w:val="left" w:pos="4251"/>
        <w:tab w:val="left" w:pos="5385"/>
        <w:tab w:val="left" w:pos="5953"/>
        <w:tab w:val="left" w:pos="6519"/>
        <w:tab w:val="left" w:pos="7087"/>
        <w:tab w:val="left" w:pos="7653"/>
      </w:tabs>
      <w:spacing w:line="360" w:lineRule="auto"/>
      <w:ind w:left="-15" w:leftChars="-7" w:right="-142" w:firstLine="14" w:firstLineChars="6"/>
    </w:pPr>
    <w:rPr>
      <w:sz w:val="24"/>
    </w:rPr>
  </w:style>
  <w:style w:type="paragraph" w:customStyle="1" w:styleId="453">
    <w:name w:val="CM63"/>
    <w:basedOn w:val="210"/>
    <w:next w:val="210"/>
    <w:qFormat/>
    <w:uiPriority w:val="0"/>
    <w:pPr>
      <w:spacing w:after="278"/>
    </w:pPr>
    <w:rPr>
      <w:rFonts w:ascii="宋体" w:cs="宋体"/>
      <w:color w:val="auto"/>
    </w:rPr>
  </w:style>
  <w:style w:type="paragraph" w:customStyle="1" w:styleId="454">
    <w:name w:val="CM32"/>
    <w:basedOn w:val="210"/>
    <w:next w:val="210"/>
    <w:qFormat/>
    <w:uiPriority w:val="0"/>
    <w:pPr>
      <w:spacing w:line="468" w:lineRule="atLeast"/>
    </w:pPr>
    <w:rPr>
      <w:rFonts w:ascii="宋体" w:cs="宋体"/>
      <w:color w:val="auto"/>
    </w:rPr>
  </w:style>
  <w:style w:type="paragraph" w:customStyle="1" w:styleId="455">
    <w:name w:val="Table Paragraph"/>
    <w:basedOn w:val="1"/>
    <w:qFormat/>
    <w:uiPriority w:val="1"/>
    <w:pPr>
      <w:jc w:val="left"/>
    </w:pPr>
    <w:rPr>
      <w:rFonts w:ascii="Calibri" w:hAnsi="Calibri"/>
      <w:kern w:val="0"/>
      <w:sz w:val="22"/>
      <w:szCs w:val="22"/>
      <w:lang w:eastAsia="en-US"/>
    </w:rPr>
  </w:style>
  <w:style w:type="paragraph" w:customStyle="1" w:styleId="456">
    <w:name w:val="CM50"/>
    <w:basedOn w:val="210"/>
    <w:next w:val="210"/>
    <w:qFormat/>
    <w:uiPriority w:val="0"/>
    <w:pPr>
      <w:spacing w:line="468" w:lineRule="atLeast"/>
    </w:pPr>
    <w:rPr>
      <w:rFonts w:ascii="宋体" w:cs="宋体"/>
      <w:color w:val="auto"/>
    </w:rPr>
  </w:style>
  <w:style w:type="paragraph" w:customStyle="1" w:styleId="457">
    <w:name w:val="一级无标题条"/>
    <w:basedOn w:val="1"/>
    <w:qFormat/>
    <w:uiPriority w:val="0"/>
    <w:pPr>
      <w:widowControl/>
      <w:spacing w:line="360" w:lineRule="auto"/>
      <w:ind w:left="840" w:hanging="420"/>
    </w:pPr>
    <w:rPr>
      <w:rFonts w:eastAsia="黑体"/>
    </w:rPr>
  </w:style>
  <w:style w:type="paragraph" w:customStyle="1" w:styleId="458">
    <w:name w:val="Einzug 1"/>
    <w:basedOn w:val="1"/>
    <w:qFormat/>
    <w:uiPriority w:val="0"/>
    <w:pPr>
      <w:widowControl/>
      <w:ind w:left="567" w:hanging="567"/>
      <w:jc w:val="left"/>
    </w:pPr>
    <w:rPr>
      <w:rFonts w:ascii="Arial" w:hAnsi="Arial"/>
      <w:kern w:val="0"/>
      <w:sz w:val="22"/>
      <w:szCs w:val="20"/>
      <w:lang w:val="de-DE"/>
    </w:rPr>
  </w:style>
  <w:style w:type="paragraph" w:customStyle="1" w:styleId="459">
    <w:name w:val="二级标题"/>
    <w:basedOn w:val="1"/>
    <w:qFormat/>
    <w:uiPriority w:val="0"/>
    <w:pPr>
      <w:widowControl/>
      <w:spacing w:line="480" w:lineRule="auto"/>
      <w:ind w:left="840" w:hanging="420"/>
      <w:jc w:val="left"/>
    </w:pPr>
    <w:rPr>
      <w:rFonts w:ascii="Calibri" w:hAnsi="Calibri" w:cs="Arial"/>
      <w:kern w:val="0"/>
      <w:sz w:val="24"/>
      <w:szCs w:val="20"/>
    </w:rPr>
  </w:style>
  <w:style w:type="paragraph" w:customStyle="1" w:styleId="460">
    <w:name w:val="样式 标题 2 + (中文) 宋体 小四 段前: 7.8 磅 段后: 7.8 磅 行距: 单倍行距"/>
    <w:basedOn w:val="3"/>
    <w:qFormat/>
    <w:uiPriority w:val="99"/>
    <w:pPr>
      <w:widowControl/>
      <w:tabs>
        <w:tab w:val="left" w:pos="567"/>
      </w:tabs>
      <w:spacing w:before="156" w:beforeLines="50" w:after="156" w:line="240" w:lineRule="auto"/>
      <w:ind w:left="567" w:hanging="567"/>
    </w:pPr>
    <w:rPr>
      <w:rFonts w:hAnsi="宋体" w:eastAsia="宋体" w:cs="宋体"/>
      <w:sz w:val="24"/>
      <w:szCs w:val="20"/>
    </w:rPr>
  </w:style>
  <w:style w:type="paragraph" w:customStyle="1" w:styleId="461">
    <w:name w:val="Blt 2"/>
    <w:basedOn w:val="1"/>
    <w:qFormat/>
    <w:uiPriority w:val="99"/>
    <w:pPr>
      <w:widowControl/>
      <w:numPr>
        <w:ilvl w:val="0"/>
        <w:numId w:val="3"/>
      </w:numPr>
      <w:tabs>
        <w:tab w:val="left" w:pos="2241"/>
      </w:tabs>
      <w:jc w:val="left"/>
    </w:pPr>
    <w:rPr>
      <w:rFonts w:ascii="Arial" w:hAnsi="Arial" w:cs="Arial"/>
      <w:kern w:val="0"/>
      <w:sz w:val="24"/>
      <w:lang w:eastAsia="en-US"/>
    </w:rPr>
  </w:style>
  <w:style w:type="character" w:customStyle="1" w:styleId="462">
    <w:name w:val="副标题 字符2"/>
    <w:basedOn w:val="46"/>
    <w:qFormat/>
    <w:uiPriority w:val="11"/>
    <w:rPr>
      <w:rFonts w:asciiTheme="minorHAnsi" w:hAnsiTheme="minorHAnsi" w:eastAsiaTheme="minorEastAsia" w:cstheme="minorBidi"/>
      <w:b/>
      <w:bCs/>
      <w:kern w:val="28"/>
      <w:sz w:val="32"/>
      <w:szCs w:val="32"/>
    </w:rPr>
  </w:style>
  <w:style w:type="paragraph" w:customStyle="1" w:styleId="463">
    <w:name w:val="Retrait1"/>
    <w:basedOn w:val="1"/>
    <w:qFormat/>
    <w:uiPriority w:val="99"/>
    <w:pPr>
      <w:widowControl/>
      <w:numPr>
        <w:ilvl w:val="0"/>
        <w:numId w:val="4"/>
      </w:numPr>
      <w:tabs>
        <w:tab w:val="left" w:pos="180"/>
      </w:tabs>
      <w:spacing w:line="360" w:lineRule="auto"/>
    </w:pPr>
    <w:rPr>
      <w:rFonts w:ascii="Arial" w:hAnsi="Arial"/>
      <w:kern w:val="0"/>
      <w:sz w:val="20"/>
      <w:szCs w:val="20"/>
      <w:lang w:val="fr-FR" w:eastAsia="fr-FR"/>
    </w:rPr>
  </w:style>
  <w:style w:type="paragraph" w:customStyle="1" w:styleId="464">
    <w:name w:val="无间隔1"/>
    <w:qFormat/>
    <w:uiPriority w:val="1"/>
    <w:pPr>
      <w:widowControl w:val="0"/>
      <w:spacing w:after="120" w:line="276" w:lineRule="auto"/>
      <w:jc w:val="both"/>
    </w:pPr>
    <w:rPr>
      <w:rFonts w:ascii="Calibri" w:hAnsi="Calibri" w:eastAsia="宋体" w:cs="Times New Roman"/>
      <w:kern w:val="2"/>
      <w:sz w:val="21"/>
      <w:szCs w:val="22"/>
      <w:lang w:val="en-US" w:eastAsia="zh-CN" w:bidi="ar-SA"/>
    </w:rPr>
  </w:style>
  <w:style w:type="paragraph" w:customStyle="1" w:styleId="465">
    <w:name w:val="CM17"/>
    <w:basedOn w:val="210"/>
    <w:next w:val="210"/>
    <w:qFormat/>
    <w:uiPriority w:val="0"/>
    <w:pPr>
      <w:spacing w:line="468" w:lineRule="atLeast"/>
    </w:pPr>
    <w:rPr>
      <w:rFonts w:ascii="宋体" w:cs="宋体"/>
      <w:color w:val="auto"/>
    </w:rPr>
  </w:style>
  <w:style w:type="paragraph" w:customStyle="1" w:styleId="466">
    <w:name w:val="前言、引言标题"/>
    <w:next w:val="1"/>
    <w:qFormat/>
    <w:uiPriority w:val="0"/>
    <w:pPr>
      <w:shd w:val="clear" w:color="FFFFFF" w:fill="FFFFFF"/>
      <w:spacing w:before="640" w:after="560" w:line="360" w:lineRule="auto"/>
      <w:ind w:left="840" w:hanging="420"/>
      <w:jc w:val="center"/>
      <w:outlineLvl w:val="0"/>
    </w:pPr>
    <w:rPr>
      <w:rFonts w:ascii="黑体" w:hAnsi="Times New Roman" w:eastAsia="黑体" w:cs="Times New Roman"/>
      <w:sz w:val="32"/>
      <w:lang w:val="en-US" w:eastAsia="zh-CN" w:bidi="ar-SA"/>
    </w:rPr>
  </w:style>
  <w:style w:type="paragraph" w:customStyle="1" w:styleId="467">
    <w:name w:val="CM14"/>
    <w:basedOn w:val="210"/>
    <w:next w:val="210"/>
    <w:qFormat/>
    <w:uiPriority w:val="0"/>
    <w:pPr>
      <w:spacing w:line="466" w:lineRule="atLeast"/>
    </w:pPr>
    <w:rPr>
      <w:rFonts w:ascii="宋体" w:cs="宋体"/>
      <w:color w:val="auto"/>
    </w:rPr>
  </w:style>
  <w:style w:type="character" w:customStyle="1" w:styleId="468">
    <w:name w:val="标题 字符2"/>
    <w:basedOn w:val="46"/>
    <w:qFormat/>
    <w:uiPriority w:val="10"/>
    <w:rPr>
      <w:rFonts w:asciiTheme="majorHAnsi" w:hAnsiTheme="majorHAnsi" w:eastAsiaTheme="majorEastAsia" w:cstheme="majorBidi"/>
      <w:b/>
      <w:bCs/>
      <w:kern w:val="2"/>
      <w:sz w:val="32"/>
      <w:szCs w:val="32"/>
    </w:rPr>
  </w:style>
  <w:style w:type="paragraph" w:customStyle="1" w:styleId="469">
    <w:name w:val="Überschrift - Kapitel"/>
    <w:basedOn w:val="1"/>
    <w:qFormat/>
    <w:uiPriority w:val="0"/>
    <w:pPr>
      <w:widowControl/>
      <w:tabs>
        <w:tab w:val="left" w:pos="1247"/>
        <w:tab w:val="left" w:pos="1814"/>
        <w:tab w:val="left" w:pos="2835"/>
        <w:tab w:val="left" w:pos="3969"/>
        <w:tab w:val="left" w:pos="5387"/>
        <w:tab w:val="left" w:pos="6804"/>
        <w:tab w:val="right" w:pos="9072"/>
      </w:tabs>
      <w:suppressAutoHyphens/>
      <w:spacing w:after="2400"/>
      <w:ind w:left="3969" w:hanging="1134"/>
      <w:jc w:val="left"/>
    </w:pPr>
    <w:rPr>
      <w:rFonts w:ascii="Arial" w:hAnsi="Arial"/>
      <w:b/>
      <w:caps/>
      <w:kern w:val="0"/>
      <w:sz w:val="24"/>
      <w:szCs w:val="20"/>
      <w:lang w:val="de-DE" w:eastAsia="de-DE"/>
    </w:rPr>
  </w:style>
  <w:style w:type="paragraph" w:customStyle="1" w:styleId="470">
    <w:name w:val="CM58"/>
    <w:basedOn w:val="210"/>
    <w:next w:val="210"/>
    <w:qFormat/>
    <w:uiPriority w:val="0"/>
    <w:pPr>
      <w:spacing w:after="418"/>
    </w:pPr>
    <w:rPr>
      <w:rFonts w:ascii="宋体" w:cs="宋体"/>
      <w:color w:val="auto"/>
    </w:rPr>
  </w:style>
  <w:style w:type="paragraph" w:customStyle="1" w:styleId="471">
    <w:name w:val="CM1"/>
    <w:basedOn w:val="210"/>
    <w:next w:val="210"/>
    <w:qFormat/>
    <w:uiPriority w:val="0"/>
    <w:pPr>
      <w:spacing w:line="468" w:lineRule="atLeast"/>
    </w:pPr>
    <w:rPr>
      <w:rFonts w:ascii="宋体" w:cs="宋体"/>
      <w:color w:val="auto"/>
    </w:rPr>
  </w:style>
  <w:style w:type="paragraph" w:customStyle="1" w:styleId="472">
    <w:name w:val="_Style 3"/>
    <w:basedOn w:val="1"/>
    <w:qFormat/>
    <w:uiPriority w:val="0"/>
    <w:pPr>
      <w:widowControl/>
      <w:spacing w:line="360" w:lineRule="auto"/>
      <w:ind w:left="840" w:firstLine="420" w:firstLineChars="200"/>
    </w:pPr>
    <w:rPr>
      <w:szCs w:val="20"/>
    </w:rPr>
  </w:style>
  <w:style w:type="paragraph" w:customStyle="1" w:styleId="473">
    <w:name w:val="WPSOffice手动目录 1"/>
    <w:qFormat/>
    <w:uiPriority w:val="0"/>
    <w:rPr>
      <w:rFonts w:hint="eastAsia" w:ascii="宋体" w:hAnsi="宋体" w:eastAsia="宋体" w:cs="Times New Roman"/>
      <w:bCs/>
      <w:szCs w:val="21"/>
      <w:lang w:val="en-US" w:eastAsia="zh-CN" w:bidi="ar-SA"/>
    </w:rPr>
  </w:style>
  <w:style w:type="paragraph" w:customStyle="1" w:styleId="474">
    <w:name w:val="CM61"/>
    <w:basedOn w:val="210"/>
    <w:next w:val="210"/>
    <w:qFormat/>
    <w:uiPriority w:val="0"/>
    <w:pPr>
      <w:spacing w:after="287"/>
    </w:pPr>
    <w:rPr>
      <w:rFonts w:ascii="宋体" w:cs="宋体"/>
      <w:color w:val="auto"/>
    </w:rPr>
  </w:style>
  <w:style w:type="paragraph" w:customStyle="1" w:styleId="475">
    <w:name w:val="CM54"/>
    <w:basedOn w:val="210"/>
    <w:next w:val="210"/>
    <w:qFormat/>
    <w:uiPriority w:val="0"/>
    <w:pPr>
      <w:spacing w:line="466" w:lineRule="atLeast"/>
    </w:pPr>
    <w:rPr>
      <w:rFonts w:ascii="宋体" w:cs="宋体"/>
      <w:color w:val="auto"/>
    </w:rPr>
  </w:style>
  <w:style w:type="paragraph" w:customStyle="1" w:styleId="476">
    <w:name w:val="Body Text 21"/>
    <w:basedOn w:val="1"/>
    <w:qFormat/>
    <w:uiPriority w:val="0"/>
    <w:pPr>
      <w:widowControl/>
      <w:spacing w:line="240" w:lineRule="exact"/>
      <w:ind w:left="1418" w:hanging="1418"/>
      <w:jc w:val="left"/>
    </w:pPr>
    <w:rPr>
      <w:rFonts w:ascii="Arial" w:hAnsi="Arial"/>
      <w:kern w:val="0"/>
      <w:sz w:val="24"/>
      <w:szCs w:val="20"/>
      <w:lang w:val="de-DE" w:eastAsia="de-DE"/>
    </w:rPr>
  </w:style>
  <w:style w:type="paragraph" w:customStyle="1" w:styleId="477">
    <w:name w:val="CM22"/>
    <w:basedOn w:val="210"/>
    <w:next w:val="210"/>
    <w:qFormat/>
    <w:uiPriority w:val="0"/>
    <w:pPr>
      <w:spacing w:line="468" w:lineRule="atLeast"/>
    </w:pPr>
    <w:rPr>
      <w:rFonts w:ascii="宋体" w:cs="宋体"/>
      <w:color w:val="auto"/>
    </w:rPr>
  </w:style>
  <w:style w:type="paragraph" w:customStyle="1" w:styleId="478">
    <w:name w:val="五级条标题"/>
    <w:basedOn w:val="418"/>
    <w:next w:val="241"/>
    <w:qFormat/>
    <w:uiPriority w:val="0"/>
    <w:pPr>
      <w:outlineLvl w:val="6"/>
    </w:pPr>
  </w:style>
  <w:style w:type="paragraph" w:customStyle="1" w:styleId="479">
    <w:name w:val="不明显强调11"/>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customStyle="1" w:styleId="480">
    <w:name w:val="标1"/>
    <w:basedOn w:val="2"/>
    <w:qFormat/>
    <w:uiPriority w:val="0"/>
    <w:pPr>
      <w:widowControl/>
      <w:spacing w:before="240" w:after="60" w:line="360" w:lineRule="auto"/>
      <w:jc w:val="left"/>
    </w:pPr>
    <w:rPr>
      <w:rFonts w:ascii="Cambria" w:hAnsi="Cambria" w:cs="宋体"/>
      <w:kern w:val="32"/>
      <w:szCs w:val="20"/>
      <w:lang w:eastAsia="en-US" w:bidi="en-US"/>
    </w:rPr>
  </w:style>
  <w:style w:type="paragraph" w:customStyle="1" w:styleId="481">
    <w:name w:val="CM12"/>
    <w:basedOn w:val="210"/>
    <w:next w:val="210"/>
    <w:qFormat/>
    <w:uiPriority w:val="0"/>
    <w:pPr>
      <w:spacing w:line="468" w:lineRule="atLeast"/>
    </w:pPr>
    <w:rPr>
      <w:rFonts w:ascii="宋体" w:cs="宋体"/>
      <w:color w:val="auto"/>
    </w:rPr>
  </w:style>
  <w:style w:type="paragraph" w:customStyle="1" w:styleId="482">
    <w:name w:val="CM39"/>
    <w:basedOn w:val="210"/>
    <w:next w:val="210"/>
    <w:qFormat/>
    <w:uiPriority w:val="0"/>
    <w:pPr>
      <w:spacing w:line="468" w:lineRule="atLeast"/>
    </w:pPr>
    <w:rPr>
      <w:rFonts w:ascii="宋体" w:cs="宋体"/>
      <w:color w:val="auto"/>
    </w:rPr>
  </w:style>
  <w:style w:type="paragraph" w:customStyle="1" w:styleId="483">
    <w:name w:val="Char Char3 Char Char Char Char Char Char"/>
    <w:basedOn w:val="1"/>
    <w:qFormat/>
    <w:uiPriority w:val="0"/>
    <w:rPr>
      <w:szCs w:val="20"/>
    </w:rPr>
  </w:style>
  <w:style w:type="paragraph" w:customStyle="1" w:styleId="484">
    <w:name w:val="标题 51"/>
    <w:basedOn w:val="1"/>
    <w:qFormat/>
    <w:uiPriority w:val="1"/>
    <w:pPr>
      <w:spacing w:before="26"/>
      <w:ind w:left="356"/>
      <w:jc w:val="left"/>
      <w:outlineLvl w:val="5"/>
    </w:pPr>
    <w:rPr>
      <w:rFonts w:ascii="楷体" w:hAnsi="楷体" w:eastAsia="楷体"/>
      <w:b/>
      <w:bCs/>
      <w:kern w:val="0"/>
      <w:sz w:val="24"/>
      <w:lang w:eastAsia="en-US"/>
    </w:rPr>
  </w:style>
  <w:style w:type="paragraph" w:customStyle="1" w:styleId="485">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486">
    <w:name w:val="CM23"/>
    <w:basedOn w:val="210"/>
    <w:next w:val="210"/>
    <w:qFormat/>
    <w:uiPriority w:val="0"/>
    <w:pPr>
      <w:spacing w:line="468" w:lineRule="atLeast"/>
      <w:ind w:left="840" w:hanging="420"/>
      <w:jc w:val="both"/>
    </w:pPr>
    <w:rPr>
      <w:rFonts w:ascii="宋体" w:cs="宋体"/>
      <w:color w:val="auto"/>
    </w:rPr>
  </w:style>
  <w:style w:type="paragraph" w:customStyle="1" w:styleId="487">
    <w:name w:val="Text"/>
    <w:basedOn w:val="1"/>
    <w:qFormat/>
    <w:uiPriority w:val="0"/>
    <w:pPr>
      <w:widowControl/>
    </w:pPr>
    <w:rPr>
      <w:rFonts w:ascii="Arial" w:hAnsi="Arial"/>
      <w:kern w:val="0"/>
      <w:sz w:val="20"/>
      <w:szCs w:val="20"/>
      <w:lang w:val="en-GB" w:eastAsia="de-DE"/>
    </w:rPr>
  </w:style>
  <w:style w:type="paragraph" w:customStyle="1" w:styleId="488">
    <w:name w:val="Aufzählung1"/>
    <w:basedOn w:val="1"/>
    <w:qFormat/>
    <w:uiPriority w:val="0"/>
    <w:pPr>
      <w:numPr>
        <w:ilvl w:val="0"/>
        <w:numId w:val="5"/>
      </w:numPr>
      <w:tabs>
        <w:tab w:val="left" w:pos="-794"/>
        <w:tab w:val="left" w:pos="-283"/>
        <w:tab w:val="left" w:pos="0"/>
        <w:tab w:val="left" w:pos="1132"/>
        <w:tab w:val="left" w:pos="1417"/>
        <w:tab w:val="left" w:pos="1984"/>
        <w:tab w:val="left" w:pos="2551"/>
        <w:tab w:val="left" w:pos="3118"/>
        <w:tab w:val="left" w:pos="3685"/>
        <w:tab w:val="left" w:pos="4251"/>
        <w:tab w:val="left" w:pos="4819"/>
        <w:tab w:val="left" w:pos="5385"/>
        <w:tab w:val="left" w:pos="5953"/>
        <w:tab w:val="left" w:pos="6519"/>
        <w:tab w:val="left" w:pos="7087"/>
        <w:tab w:val="left" w:pos="7653"/>
      </w:tabs>
      <w:spacing w:line="283" w:lineRule="exact"/>
      <w:ind w:right="-142"/>
      <w:jc w:val="left"/>
    </w:pPr>
    <w:rPr>
      <w:rFonts w:ascii="Arial" w:hAnsi="Arial"/>
      <w:kern w:val="0"/>
      <w:sz w:val="24"/>
      <w:szCs w:val="20"/>
      <w:lang w:eastAsia="de-DE"/>
    </w:rPr>
  </w:style>
  <w:style w:type="paragraph" w:customStyle="1" w:styleId="489">
    <w:name w:val="CM10"/>
    <w:basedOn w:val="210"/>
    <w:next w:val="210"/>
    <w:qFormat/>
    <w:uiPriority w:val="0"/>
    <w:pPr>
      <w:spacing w:line="466" w:lineRule="atLeast"/>
    </w:pPr>
    <w:rPr>
      <w:rFonts w:ascii="宋体" w:cs="宋体"/>
      <w:color w:val="auto"/>
    </w:rPr>
  </w:style>
  <w:style w:type="paragraph" w:customStyle="1" w:styleId="490">
    <w:name w:val="CM30"/>
    <w:basedOn w:val="210"/>
    <w:next w:val="210"/>
    <w:qFormat/>
    <w:uiPriority w:val="0"/>
    <w:rPr>
      <w:rFonts w:ascii="宋体" w:cs="宋体"/>
      <w:color w:val="auto"/>
    </w:rPr>
  </w:style>
  <w:style w:type="paragraph" w:customStyle="1" w:styleId="491">
    <w:name w:val="CM47"/>
    <w:basedOn w:val="210"/>
    <w:next w:val="210"/>
    <w:qFormat/>
    <w:uiPriority w:val="0"/>
    <w:pPr>
      <w:spacing w:line="468" w:lineRule="atLeast"/>
    </w:pPr>
    <w:rPr>
      <w:rFonts w:ascii="宋体" w:cs="宋体"/>
      <w:color w:val="auto"/>
    </w:rPr>
  </w:style>
  <w:style w:type="paragraph" w:customStyle="1" w:styleId="492">
    <w:name w:val="Aufzählung3"/>
    <w:basedOn w:val="493"/>
    <w:qFormat/>
    <w:uiPriority w:val="0"/>
    <w:pPr>
      <w:tabs>
        <w:tab w:val="left" w:pos="-794"/>
        <w:tab w:val="left" w:pos="-283"/>
        <w:tab w:val="left" w:pos="0"/>
        <w:tab w:val="left" w:pos="1701"/>
        <w:tab w:val="left" w:pos="1984"/>
        <w:tab w:val="left" w:pos="2061"/>
        <w:tab w:val="left" w:pos="2551"/>
        <w:tab w:val="left" w:pos="3118"/>
        <w:tab w:val="left" w:pos="3685"/>
        <w:tab w:val="left" w:pos="4251"/>
        <w:tab w:val="left" w:pos="4819"/>
        <w:tab w:val="left" w:pos="5385"/>
        <w:tab w:val="left" w:pos="5953"/>
        <w:tab w:val="left" w:pos="6519"/>
        <w:tab w:val="left" w:pos="7087"/>
        <w:tab w:val="left" w:pos="7653"/>
      </w:tabs>
      <w:ind w:left="2061" w:hanging="360"/>
    </w:pPr>
  </w:style>
  <w:style w:type="paragraph" w:customStyle="1" w:styleId="493">
    <w:name w:val="Aufzählung2"/>
    <w:basedOn w:val="488"/>
    <w:qFormat/>
    <w:uiPriority w:val="0"/>
    <w:pPr>
      <w:numPr>
        <w:numId w:val="0"/>
      </w:numPr>
      <w:tabs>
        <w:tab w:val="left" w:pos="1701"/>
        <w:tab w:val="clear" w:pos="1132"/>
        <w:tab w:val="clear" w:pos="1417"/>
      </w:tabs>
      <w:ind w:left="1701" w:hanging="283"/>
    </w:pPr>
  </w:style>
  <w:style w:type="paragraph" w:customStyle="1" w:styleId="494">
    <w:name w:val="_Style 1"/>
    <w:basedOn w:val="1"/>
    <w:qFormat/>
    <w:uiPriority w:val="0"/>
    <w:pPr>
      <w:widowControl/>
      <w:spacing w:line="360" w:lineRule="auto"/>
      <w:ind w:left="840" w:firstLine="420" w:firstLineChars="200"/>
    </w:pPr>
    <w:rPr>
      <w:szCs w:val="20"/>
    </w:rPr>
  </w:style>
  <w:style w:type="paragraph" w:customStyle="1" w:styleId="495">
    <w:name w:val="封面标准名称"/>
    <w:qFormat/>
    <w:uiPriority w:val="0"/>
    <w:pPr>
      <w:widowControl w:val="0"/>
      <w:spacing w:line="680" w:lineRule="exact"/>
      <w:ind w:left="840" w:hanging="420"/>
      <w:jc w:val="center"/>
      <w:textAlignment w:val="center"/>
    </w:pPr>
    <w:rPr>
      <w:rFonts w:ascii="黑体" w:hAnsi="Times New Roman" w:eastAsia="黑体" w:cs="Times New Roman"/>
      <w:sz w:val="52"/>
      <w:lang w:val="en-US" w:eastAsia="zh-CN" w:bidi="ar-SA"/>
    </w:rPr>
  </w:style>
  <w:style w:type="paragraph" w:customStyle="1" w:styleId="496">
    <w:name w:val="CM11"/>
    <w:basedOn w:val="210"/>
    <w:next w:val="210"/>
    <w:qFormat/>
    <w:uiPriority w:val="0"/>
    <w:pPr>
      <w:spacing w:line="468" w:lineRule="atLeast"/>
    </w:pPr>
    <w:rPr>
      <w:rFonts w:ascii="宋体" w:cs="宋体"/>
      <w:color w:val="auto"/>
    </w:rPr>
  </w:style>
  <w:style w:type="paragraph" w:customStyle="1" w:styleId="497">
    <w:name w:val="CM48"/>
    <w:basedOn w:val="210"/>
    <w:next w:val="210"/>
    <w:qFormat/>
    <w:uiPriority w:val="0"/>
    <w:pPr>
      <w:spacing w:line="468" w:lineRule="atLeast"/>
    </w:pPr>
    <w:rPr>
      <w:rFonts w:ascii="宋体" w:cs="宋体"/>
      <w:color w:val="auto"/>
    </w:rPr>
  </w:style>
  <w:style w:type="paragraph" w:customStyle="1" w:styleId="498">
    <w:name w:val="(文字) (文字)"/>
    <w:basedOn w:val="14"/>
    <w:qFormat/>
    <w:uiPriority w:val="0"/>
    <w:pPr>
      <w:widowControl/>
      <w:spacing w:line="360" w:lineRule="auto"/>
      <w:ind w:left="840" w:hanging="420"/>
    </w:pPr>
    <w:rPr>
      <w:szCs w:val="20"/>
    </w:rPr>
  </w:style>
  <w:style w:type="paragraph" w:customStyle="1" w:styleId="499">
    <w:name w:val="CM51"/>
    <w:basedOn w:val="210"/>
    <w:next w:val="210"/>
    <w:qFormat/>
    <w:uiPriority w:val="0"/>
    <w:pPr>
      <w:spacing w:line="466" w:lineRule="atLeast"/>
    </w:pPr>
    <w:rPr>
      <w:rFonts w:ascii="宋体" w:cs="宋体"/>
      <w:color w:val="auto"/>
    </w:rPr>
  </w:style>
  <w:style w:type="paragraph" w:customStyle="1" w:styleId="500">
    <w:name w:val="CM56"/>
    <w:basedOn w:val="210"/>
    <w:next w:val="210"/>
    <w:qFormat/>
    <w:uiPriority w:val="0"/>
    <w:rPr>
      <w:rFonts w:ascii="宋体" w:cs="宋体"/>
      <w:color w:val="auto"/>
    </w:rPr>
  </w:style>
  <w:style w:type="paragraph" w:customStyle="1" w:styleId="501">
    <w:name w:val="CM9"/>
    <w:basedOn w:val="210"/>
    <w:next w:val="210"/>
    <w:qFormat/>
    <w:uiPriority w:val="0"/>
    <w:pPr>
      <w:spacing w:line="466" w:lineRule="atLeast"/>
    </w:pPr>
    <w:rPr>
      <w:rFonts w:ascii="宋体" w:cs="宋体"/>
      <w:color w:val="auto"/>
    </w:rPr>
  </w:style>
  <w:style w:type="paragraph" w:customStyle="1" w:styleId="502">
    <w:name w:val="CM16"/>
    <w:basedOn w:val="210"/>
    <w:next w:val="210"/>
    <w:qFormat/>
    <w:uiPriority w:val="0"/>
    <w:pPr>
      <w:spacing w:line="471" w:lineRule="atLeast"/>
    </w:pPr>
    <w:rPr>
      <w:rFonts w:ascii="宋体" w:cs="宋体"/>
      <w:color w:val="auto"/>
    </w:rPr>
  </w:style>
  <w:style w:type="paragraph" w:customStyle="1" w:styleId="503">
    <w:name w:val="TOC 标题2"/>
    <w:basedOn w:val="2"/>
    <w:next w:val="1"/>
    <w:unhideWhenUsed/>
    <w:qFormat/>
    <w:uiPriority w:val="39"/>
    <w:pPr>
      <w:widowControl/>
      <w:spacing w:before="480" w:line="276" w:lineRule="auto"/>
      <w:ind w:left="840" w:hanging="420"/>
      <w:jc w:val="left"/>
      <w:outlineLvl w:val="9"/>
    </w:pPr>
    <w:rPr>
      <w:rFonts w:ascii="Cambria" w:hAnsi="Cambria"/>
      <w:color w:val="365F91"/>
      <w:kern w:val="0"/>
      <w:sz w:val="28"/>
      <w:szCs w:val="28"/>
    </w:rPr>
  </w:style>
  <w:style w:type="paragraph" w:customStyle="1" w:styleId="504">
    <w:name w:val="Block Text1"/>
    <w:basedOn w:val="1"/>
    <w:qFormat/>
    <w:uiPriority w:val="0"/>
    <w:pPr>
      <w:widowControl/>
      <w:tabs>
        <w:tab w:val="left" w:pos="1680"/>
        <w:tab w:val="left" w:pos="2280"/>
      </w:tabs>
      <w:spacing w:line="240" w:lineRule="atLeast"/>
      <w:ind w:left="1135" w:right="-1" w:hanging="1135"/>
      <w:jc w:val="left"/>
    </w:pPr>
    <w:rPr>
      <w:rFonts w:ascii="Arial" w:hAnsi="Arial"/>
      <w:kern w:val="0"/>
      <w:sz w:val="22"/>
      <w:szCs w:val="20"/>
      <w:lang w:val="de-DE" w:eastAsia="de-DE"/>
    </w:rPr>
  </w:style>
  <w:style w:type="paragraph" w:customStyle="1" w:styleId="505">
    <w:name w:val="CM42"/>
    <w:basedOn w:val="210"/>
    <w:next w:val="210"/>
    <w:qFormat/>
    <w:uiPriority w:val="0"/>
    <w:pPr>
      <w:spacing w:line="468" w:lineRule="atLeast"/>
    </w:pPr>
    <w:rPr>
      <w:rFonts w:ascii="宋体" w:cs="宋体"/>
      <w:color w:val="auto"/>
    </w:rPr>
  </w:style>
  <w:style w:type="paragraph" w:customStyle="1" w:styleId="506">
    <w:name w:val="CM40"/>
    <w:basedOn w:val="210"/>
    <w:next w:val="210"/>
    <w:qFormat/>
    <w:uiPriority w:val="0"/>
    <w:pPr>
      <w:spacing w:after="75" w:line="360" w:lineRule="auto"/>
      <w:ind w:left="840" w:hanging="420"/>
      <w:jc w:val="both"/>
    </w:pPr>
    <w:rPr>
      <w:rFonts w:ascii="楷体_GB2312" w:hAnsi="Calibri" w:eastAsia="楷体_GB2312" w:cs="楷体_GB2312"/>
      <w:color w:val="auto"/>
    </w:rPr>
  </w:style>
  <w:style w:type="paragraph" w:customStyle="1" w:styleId="507">
    <w:name w:val="!Block:Text"/>
    <w:qFormat/>
    <w:uiPriority w:val="0"/>
    <w:pPr>
      <w:tabs>
        <w:tab w:val="left" w:pos="284"/>
        <w:tab w:val="left" w:pos="567"/>
        <w:tab w:val="left" w:pos="851"/>
        <w:tab w:val="left" w:pos="1134"/>
        <w:tab w:val="left" w:pos="1418"/>
        <w:tab w:val="left" w:pos="1701"/>
        <w:tab w:val="left" w:pos="2268"/>
        <w:tab w:val="left" w:pos="2835"/>
        <w:tab w:val="left" w:pos="3402"/>
        <w:tab w:val="left" w:pos="3969"/>
        <w:tab w:val="left" w:pos="4536"/>
        <w:tab w:val="left" w:pos="5103"/>
        <w:tab w:val="left" w:pos="5670"/>
        <w:tab w:val="left" w:pos="6237"/>
        <w:tab w:val="left" w:pos="6804"/>
        <w:tab w:val="right" w:pos="8789"/>
      </w:tabs>
      <w:spacing w:line="360" w:lineRule="auto"/>
      <w:ind w:left="840" w:hanging="420"/>
      <w:jc w:val="both"/>
    </w:pPr>
    <w:rPr>
      <w:rFonts w:ascii="Arial" w:hAnsi="Arial" w:eastAsia="宋体" w:cs="Times New Roman"/>
      <w:color w:val="000000"/>
      <w:sz w:val="22"/>
      <w:lang w:val="de-DE" w:eastAsia="de-DE" w:bidi="ar-SA"/>
    </w:rPr>
  </w:style>
  <w:style w:type="paragraph" w:customStyle="1" w:styleId="508">
    <w:name w:val="internal use"/>
    <w:basedOn w:val="13"/>
    <w:qFormat/>
    <w:uiPriority w:val="0"/>
    <w:pPr>
      <w:snapToGrid w:val="0"/>
      <w:spacing w:before="0" w:after="0" w:line="360" w:lineRule="auto"/>
      <w:ind w:hanging="420"/>
      <w:jc w:val="center"/>
    </w:pPr>
    <w:rPr>
      <w:rFonts w:eastAsia="Times New Roman" w:cs="Times New Roman"/>
      <w:b/>
      <w:kern w:val="0"/>
      <w:sz w:val="44"/>
      <w:lang w:eastAsia="en-US"/>
    </w:rPr>
  </w:style>
  <w:style w:type="paragraph" w:customStyle="1" w:styleId="509">
    <w:name w:val="tababsatz"/>
    <w:basedOn w:val="1"/>
    <w:qFormat/>
    <w:uiPriority w:val="0"/>
    <w:pPr>
      <w:widowControl/>
      <w:tabs>
        <w:tab w:val="center" w:pos="4252"/>
        <w:tab w:val="right" w:pos="8504"/>
      </w:tabs>
      <w:spacing w:after="80"/>
      <w:ind w:left="113" w:right="2268"/>
      <w:jc w:val="left"/>
    </w:pPr>
    <w:rPr>
      <w:rFonts w:ascii="Arial" w:hAnsi="Arial"/>
      <w:kern w:val="0"/>
      <w:sz w:val="24"/>
      <w:szCs w:val="20"/>
      <w:lang w:val="de-DE" w:eastAsia="de-DE"/>
    </w:rPr>
  </w:style>
  <w:style w:type="paragraph" w:customStyle="1" w:styleId="510">
    <w:name w:val="CM52"/>
    <w:basedOn w:val="210"/>
    <w:next w:val="210"/>
    <w:qFormat/>
    <w:uiPriority w:val="0"/>
    <w:pPr>
      <w:spacing w:line="466" w:lineRule="atLeast"/>
    </w:pPr>
    <w:rPr>
      <w:rFonts w:ascii="宋体" w:cs="宋体"/>
      <w:color w:val="auto"/>
    </w:rPr>
  </w:style>
  <w:style w:type="paragraph" w:customStyle="1" w:styleId="511">
    <w:name w:val="CM20"/>
    <w:basedOn w:val="210"/>
    <w:next w:val="210"/>
    <w:qFormat/>
    <w:uiPriority w:val="0"/>
    <w:pPr>
      <w:spacing w:line="468" w:lineRule="atLeast"/>
    </w:pPr>
    <w:rPr>
      <w:rFonts w:ascii="宋体" w:cs="宋体"/>
      <w:color w:val="auto"/>
    </w:rPr>
  </w:style>
  <w:style w:type="paragraph" w:customStyle="1" w:styleId="512">
    <w:name w:val="标3"/>
    <w:basedOn w:val="408"/>
    <w:qFormat/>
    <w:uiPriority w:val="0"/>
    <w:pPr>
      <w:ind w:firstLine="482"/>
    </w:pPr>
  </w:style>
  <w:style w:type="paragraph" w:customStyle="1" w:styleId="513">
    <w:name w:val="x_msonormal"/>
    <w:basedOn w:val="1"/>
    <w:qFormat/>
    <w:uiPriority w:val="0"/>
    <w:pPr>
      <w:widowControl/>
      <w:spacing w:before="100" w:beforeAutospacing="1" w:after="100" w:afterAutospacing="1"/>
      <w:jc w:val="left"/>
    </w:pPr>
    <w:rPr>
      <w:rFonts w:ascii="宋体" w:hAnsi="宋体" w:cs="宋体"/>
      <w:kern w:val="0"/>
      <w:sz w:val="24"/>
      <w:lang w:eastAsia="en-US" w:bidi="en-US"/>
    </w:rPr>
  </w:style>
  <w:style w:type="paragraph" w:customStyle="1" w:styleId="514">
    <w:name w:val="CM15"/>
    <w:basedOn w:val="210"/>
    <w:next w:val="210"/>
    <w:qFormat/>
    <w:uiPriority w:val="0"/>
    <w:pPr>
      <w:spacing w:line="468" w:lineRule="atLeast"/>
    </w:pPr>
    <w:rPr>
      <w:rFonts w:ascii="宋体" w:cs="宋体"/>
      <w:color w:val="auto"/>
    </w:rPr>
  </w:style>
  <w:style w:type="paragraph" w:customStyle="1" w:styleId="515">
    <w:name w:val="纯文本2"/>
    <w:basedOn w:val="1"/>
    <w:qFormat/>
    <w:uiPriority w:val="0"/>
    <w:pPr>
      <w:widowControl/>
      <w:jc w:val="left"/>
    </w:pPr>
    <w:rPr>
      <w:rFonts w:ascii="宋体" w:hAnsi="宋体"/>
      <w:kern w:val="0"/>
      <w:szCs w:val="20"/>
      <w:lang w:eastAsia="en-US" w:bidi="en-US"/>
    </w:rPr>
  </w:style>
  <w:style w:type="paragraph" w:customStyle="1" w:styleId="516">
    <w:name w:val="CM5"/>
    <w:basedOn w:val="210"/>
    <w:next w:val="210"/>
    <w:qFormat/>
    <w:uiPriority w:val="0"/>
    <w:pPr>
      <w:spacing w:line="468" w:lineRule="atLeast"/>
    </w:pPr>
    <w:rPr>
      <w:rFonts w:ascii="宋体" w:cs="宋体"/>
      <w:color w:val="auto"/>
    </w:rPr>
  </w:style>
  <w:style w:type="paragraph" w:customStyle="1" w:styleId="517">
    <w:name w:val="修订4"/>
    <w:hidden/>
    <w:unhideWhenUsed/>
    <w:qFormat/>
    <w:uiPriority w:val="99"/>
    <w:rPr>
      <w:rFonts w:ascii="Times New Roman" w:hAnsi="Times New Roman" w:eastAsia="宋体" w:cs="Times New Roman"/>
      <w:kern w:val="2"/>
      <w:sz w:val="21"/>
      <w:szCs w:val="24"/>
      <w:lang w:val="en-US" w:eastAsia="zh-CN" w:bidi="ar-SA"/>
    </w:rPr>
  </w:style>
  <w:style w:type="character" w:customStyle="1" w:styleId="518">
    <w:name w:val="未处理的提及1"/>
    <w:basedOn w:val="46"/>
    <w:semiHidden/>
    <w:unhideWhenUsed/>
    <w:qFormat/>
    <w:uiPriority w:val="99"/>
    <w:rPr>
      <w:color w:val="605E5C"/>
      <w:shd w:val="clear" w:color="auto" w:fill="E1DFDD"/>
    </w:rPr>
  </w:style>
  <w:style w:type="paragraph" w:customStyle="1" w:styleId="519">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table" w:customStyle="1" w:styleId="520">
    <w:name w:val="Table Normal"/>
    <w:unhideWhenUsed/>
    <w:qFormat/>
    <w:uiPriority w:val="0"/>
    <w:pPr>
      <w:widowControl w:val="0"/>
      <w:spacing w:after="200" w:line="276" w:lineRule="auto"/>
    </w:pPr>
    <w:rPr>
      <w:rFonts w:ascii="Calibri" w:hAnsi="Calibri"/>
      <w:sz w:val="22"/>
      <w:lang w:eastAsia="en-US"/>
    </w:rPr>
    <w:tblPr>
      <w:tblCellMar>
        <w:top w:w="0" w:type="dxa"/>
        <w:left w:w="0" w:type="dxa"/>
        <w:bottom w:w="0" w:type="dxa"/>
        <w:right w:w="0" w:type="dxa"/>
      </w:tblCellMar>
    </w:tblPr>
  </w:style>
  <w:style w:type="character" w:customStyle="1" w:styleId="521">
    <w:name w:val="p121"/>
    <w:qFormat/>
    <w:uiPriority w:val="0"/>
    <w:rPr>
      <w:rFonts w:hint="default"/>
      <w:sz w:val="24"/>
      <w:szCs w:val="24"/>
      <w:u w:val="none"/>
    </w:rPr>
  </w:style>
  <w:style w:type="paragraph" w:customStyle="1" w:styleId="522">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val="en-US" w:eastAsia="zh-CN" w:bidi="ar-SA"/>
    </w:rPr>
  </w:style>
  <w:style w:type="character" w:customStyle="1" w:styleId="523">
    <w:name w:val="正文文本_"/>
    <w:link w:val="524"/>
    <w:qFormat/>
    <w:uiPriority w:val="0"/>
    <w:rPr>
      <w:rFonts w:ascii="MingLiU" w:hAnsi="MingLiU" w:eastAsia="MingLiU" w:cs="MingLiU"/>
      <w:sz w:val="19"/>
      <w:szCs w:val="19"/>
      <w:shd w:val="clear" w:color="auto" w:fill="FFFFFF"/>
    </w:rPr>
  </w:style>
  <w:style w:type="paragraph" w:customStyle="1" w:styleId="524">
    <w:name w:val="正文文本3"/>
    <w:basedOn w:val="1"/>
    <w:link w:val="523"/>
    <w:qFormat/>
    <w:uiPriority w:val="0"/>
    <w:pPr>
      <w:shd w:val="clear" w:color="auto" w:fill="FFFFFF"/>
      <w:spacing w:line="466" w:lineRule="exact"/>
      <w:ind w:hanging="400"/>
      <w:jc w:val="distribute"/>
    </w:pPr>
    <w:rPr>
      <w:rFonts w:ascii="MingLiU" w:hAnsi="MingLiU" w:eastAsia="MingLiU" w:cs="MingLiU"/>
      <w:kern w:val="0"/>
      <w:sz w:val="19"/>
      <w:szCs w:val="19"/>
    </w:rPr>
  </w:style>
  <w:style w:type="paragraph" w:customStyle="1" w:styleId="525">
    <w:name w:val="不明显强调1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26">
    <w:name w:val="Table Text"/>
    <w:basedOn w:val="1"/>
    <w:qFormat/>
    <w:uiPriority w:val="0"/>
    <w:rPr>
      <w:rFonts w:ascii="Arial" w:hAnsi="Arial" w:eastAsia="Arial" w:cs="Arial"/>
      <w:sz w:val="24"/>
    </w:rPr>
  </w:style>
  <w:style w:type="character" w:customStyle="1" w:styleId="527">
    <w:name w:val="font51"/>
    <w:basedOn w:val="46"/>
    <w:qFormat/>
    <w:uiPriority w:val="0"/>
    <w:rPr>
      <w:rFonts w:hint="eastAsia" w:ascii="宋体" w:hAnsi="宋体" w:eastAsia="宋体" w:cs="宋体"/>
      <w:color w:val="000000"/>
      <w:sz w:val="20"/>
      <w:szCs w:val="20"/>
      <w:u w:val="none"/>
    </w:rPr>
  </w:style>
  <w:style w:type="character" w:customStyle="1" w:styleId="528">
    <w:name w:val="font61"/>
    <w:basedOn w:val="46"/>
    <w:qFormat/>
    <w:uiPriority w:val="0"/>
    <w:rPr>
      <w:rFonts w:hint="eastAsia" w:ascii="宋体" w:hAnsi="宋体" w:eastAsia="宋体" w:cs="宋体"/>
      <w:color w:val="000000"/>
      <w:sz w:val="20"/>
      <w:szCs w:val="20"/>
      <w:u w:val="none"/>
    </w:rPr>
  </w:style>
  <w:style w:type="character" w:customStyle="1" w:styleId="529">
    <w:name w:val="font31"/>
    <w:basedOn w:val="46"/>
    <w:qFormat/>
    <w:uiPriority w:val="0"/>
    <w:rPr>
      <w:rFonts w:hint="eastAsia" w:ascii="宋体" w:hAnsi="宋体" w:eastAsia="宋体" w:cs="宋体"/>
      <w:color w:val="000000"/>
      <w:sz w:val="20"/>
      <w:szCs w:val="20"/>
      <w:u w:val="none"/>
    </w:rPr>
  </w:style>
  <w:style w:type="paragraph" w:customStyle="1" w:styleId="530">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rPr>
  </w:style>
  <w:style w:type="paragraph" w:customStyle="1" w:styleId="531">
    <w:name w:val="图片标题"/>
    <w:next w:val="1"/>
    <w:qFormat/>
    <w:uiPriority w:val="0"/>
    <w:pPr>
      <w:widowControl w:val="0"/>
      <w:spacing w:after="120" w:line="300" w:lineRule="auto"/>
      <w:jc w:val="center"/>
    </w:pPr>
    <w:rPr>
      <w:rFonts w:ascii="宋体" w:hAnsi="宋体" w:eastAsia="宋体" w:cs="宋体"/>
      <w:sz w:val="24"/>
      <w:szCs w:val="22"/>
    </w:rPr>
  </w:style>
  <w:style w:type="paragraph" w:customStyle="1" w:styleId="532">
    <w:name w:val="表格文字"/>
    <w:qFormat/>
    <w:uiPriority w:val="0"/>
    <w:pPr>
      <w:widowControl w:val="0"/>
      <w:spacing w:line="360" w:lineRule="auto"/>
      <w:ind w:left="735"/>
      <w:jc w:val="both"/>
    </w:pPr>
    <w:rPr>
      <w:rFonts w:ascii="Times New Roman" w:hAnsi="Times New Roman" w:eastAsia="宋体" w:cs="Times New Roman"/>
      <w:kern w:val="2"/>
      <w:sz w:val="21"/>
      <w:szCs w:val="24"/>
      <w:lang w:val="en-US" w:eastAsia="zh-CN" w:bidi="ar-SA"/>
    </w:rPr>
  </w:style>
  <w:style w:type="table" w:customStyle="1" w:styleId="533">
    <w:name w:val="网格型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4">
    <w:name w:val="表格标题"/>
    <w:next w:val="1"/>
    <w:qFormat/>
    <w:uiPriority w:val="0"/>
    <w:pPr>
      <w:widowControl w:val="0"/>
      <w:spacing w:after="120" w:line="300" w:lineRule="auto"/>
      <w:jc w:val="center"/>
    </w:pPr>
    <w:rPr>
      <w:rFonts w:ascii="宋体" w:hAnsi="宋体" w:eastAsia="宋体" w:cs="宋体"/>
      <w:b/>
      <w:sz w:val="24"/>
      <w:szCs w:val="22"/>
    </w:rPr>
  </w:style>
  <w:style w:type="table" w:customStyle="1" w:styleId="535">
    <w:name w:val="网格型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6">
    <w:name w:val="网格型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37">
    <w:name w:val="网格型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2" Type="http://schemas.openxmlformats.org/officeDocument/2006/relationships/fontTable" Target="fontTable.xml"/><Relationship Id="rId81" Type="http://schemas.openxmlformats.org/officeDocument/2006/relationships/customXml" Target="../customXml/item2.xml"/><Relationship Id="rId80" Type="http://schemas.openxmlformats.org/officeDocument/2006/relationships/numbering" Target="numbering.xml"/><Relationship Id="rId8" Type="http://schemas.openxmlformats.org/officeDocument/2006/relationships/image" Target="media/image4.png"/><Relationship Id="rId79" Type="http://schemas.openxmlformats.org/officeDocument/2006/relationships/customXml" Target="../customXml/item1.xml"/><Relationship Id="rId78" Type="http://schemas.openxmlformats.org/officeDocument/2006/relationships/image" Target="media/image74.jpeg"/><Relationship Id="rId77" Type="http://schemas.openxmlformats.org/officeDocument/2006/relationships/image" Target="media/image73.jpeg"/><Relationship Id="rId76" Type="http://schemas.openxmlformats.org/officeDocument/2006/relationships/image" Target="media/image72.jpeg"/><Relationship Id="rId75" Type="http://schemas.openxmlformats.org/officeDocument/2006/relationships/image" Target="media/image71.jpeg"/><Relationship Id="rId74" Type="http://schemas.openxmlformats.org/officeDocument/2006/relationships/image" Target="media/image70.jpe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GIF"/><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image" Target="media/image1.png"/><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header" Target="head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jpe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73FFA9-111A-43F6-827F-28BC5C052CB1}">
  <ds:schemaRefs/>
</ds:datastoreItem>
</file>

<file path=docProps/app.xml><?xml version="1.0" encoding="utf-8"?>
<Properties xmlns="http://schemas.openxmlformats.org/officeDocument/2006/extended-properties" xmlns:vt="http://schemas.openxmlformats.org/officeDocument/2006/docPropsVTypes">
  <Template>Normal</Template>
  <Pages>400</Pages>
  <Words>6684</Words>
  <Characters>6810</Characters>
  <Lines>189</Lines>
  <Paragraphs>53</Paragraphs>
  <TotalTime>28</TotalTime>
  <ScaleCrop>false</ScaleCrop>
  <LinksUpToDate>false</LinksUpToDate>
  <CharactersWithSpaces>6812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2025-02-18T06:54:00Z</dcterms:created>
  <dc:creator>Administrator</dc:creator>
  <cp:lastModifiedBy>WPS_1712025400</cp:lastModifiedBy>
  <dcterms:modified xsi:type="dcterms:W3CDTF">2025-04-03T05:36:41Z</dcterms:modified>
  <cp:revision>230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eyJoZGlkIjoiYWRlMzBlMWRiNmYyMWMzZTZkYzJlZTg2NmFjOTczOTAiLCJ1c2VySWQiOiIxNTkwMTQ2NzExIn0=</vt:lpwstr>
  </property>
  <property fmtid="{D5CDD505-2E9C-101B-9397-08002B2CF9AE}" pid="3" name="KSOProductBuildVer">
    <vt:lpwstr>2052-12.1.0.20305</vt:lpwstr>
  </property>
  <property fmtid="{D5CDD505-2E9C-101B-9397-08002B2CF9AE}" pid="4" name="ICV">
    <vt:lpwstr>8D560CEDE2FB4BFD9DFCE709C5BB8B8B_13</vt:lpwstr>
  </property>
</Properties>
</file>